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222" w:leader="none"/>
        </w:tabs>
        <w:spacing w:lineRule="auto" w:line="240" w:before="0" w:after="0"/>
        <w:rPr>
          <w:rFonts w:ascii="Times New Roman" w:hAnsi="Times New Roman" w:eastAsia="Times New Roman"/>
          <w:b/>
          <w:bCs/>
          <w:sz w:val="36"/>
          <w:szCs w:val="24"/>
          <w:lang w:eastAsia="ru-RU"/>
        </w:rPr>
      </w:pPr>
      <w:r>
        <w:rPr>
          <w:rFonts w:eastAsia="Times New Roman" w:ascii="Times New Roman" w:hAnsi="Times New Roman"/>
          <w:b/>
          <w:sz w:val="8"/>
          <w:szCs w:val="24"/>
          <w:lang w:eastAsia="ru-RU"/>
        </w:rPr>
        <w:tab/>
      </w:r>
      <w:r>
        <w:rPr>
          <w:rFonts w:eastAsia="Times New Roman" w:ascii="Times New Roman" w:hAnsi="Times New Roman"/>
          <w:sz w:val="28"/>
          <w:szCs w:val="20"/>
          <w:lang w:eastAsia="ru-RU"/>
        </w:rPr>
        <w:t xml:space="preserve">                                                   </w:t>
      </w:r>
    </w:p>
    <w:p>
      <w:pPr>
        <w:pStyle w:val="Normal"/>
        <w:tabs>
          <w:tab w:val="clear" w:pos="708"/>
          <w:tab w:val="left" w:pos="9900" w:leader="none"/>
        </w:tabs>
        <w:spacing w:lineRule="auto" w:line="240" w:before="0" w:after="0"/>
        <w:ind w:right="22" w:hanging="0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5943600" cy="2133600"/>
            <wp:effectExtent l="0" t="0" r="0" b="0"/>
            <wp:docPr id="1" name="Рисунок 2" descr="Описание: 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900" w:leader="none"/>
        </w:tabs>
        <w:spacing w:lineRule="auto" w:line="240" w:before="0" w:after="0"/>
        <w:ind w:right="22" w:hanging="0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9900" w:leader="none"/>
        </w:tabs>
        <w:spacing w:lineRule="auto" w:line="240" w:before="0" w:after="0"/>
        <w:ind w:right="22" w:hanging="0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9900" w:leader="none"/>
        </w:tabs>
        <w:spacing w:lineRule="auto" w:line="240" w:before="0" w:after="0"/>
        <w:ind w:right="22" w:hanging="0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О передаче Контрольно-счетной Палате Верхнеуслонского</w:t>
      </w:r>
    </w:p>
    <w:p>
      <w:pPr>
        <w:pStyle w:val="Normal"/>
        <w:tabs>
          <w:tab w:val="clear" w:pos="708"/>
          <w:tab w:val="left" w:pos="9900" w:leader="none"/>
        </w:tabs>
        <w:spacing w:lineRule="auto" w:line="240" w:before="0" w:after="0"/>
        <w:ind w:right="22" w:hanging="0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муниципального района Республики Татарстан полномочий</w:t>
      </w:r>
    </w:p>
    <w:p>
      <w:pPr>
        <w:pStyle w:val="Normal"/>
        <w:tabs>
          <w:tab w:val="clear" w:pos="708"/>
          <w:tab w:val="left" w:pos="9900" w:leader="none"/>
        </w:tabs>
        <w:spacing w:lineRule="auto" w:line="240" w:before="0" w:after="0"/>
        <w:ind w:right="22" w:hanging="0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ревизионных органов поселения по осуществлению</w:t>
      </w:r>
    </w:p>
    <w:p>
      <w:pPr>
        <w:pStyle w:val="Normal"/>
        <w:tabs>
          <w:tab w:val="clear" w:pos="708"/>
          <w:tab w:val="left" w:pos="9900" w:leader="none"/>
        </w:tabs>
        <w:spacing w:lineRule="auto" w:line="240" w:before="0" w:after="0"/>
        <w:ind w:right="22" w:hanging="0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внешнего муниципального финансового контроля</w:t>
      </w:r>
    </w:p>
    <w:p>
      <w:pPr>
        <w:pStyle w:val="Normal"/>
        <w:spacing w:lineRule="auto" w:line="240" w:before="0" w:after="0"/>
        <w:ind w:right="3401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567"/>
        <w:jc w:val="both"/>
        <w:outlineLvl w:val="2"/>
        <w:rPr>
          <w:rFonts w:ascii="Times New Roman" w:hAnsi="Times New Roman" w:eastAsia="Times New Roman"/>
          <w:b/>
          <w:bCs/>
          <w:sz w:val="36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Бюджетного кодекса РФ,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 от 07.12.2011г.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Верхнеуслонского  муниципального района, с учетом обращений органов местного самоуправления сельских поселений Верхнеуслонского муниципального района,</w:t>
      </w:r>
    </w:p>
    <w:p>
      <w:pPr>
        <w:pStyle w:val="Normal"/>
        <w:spacing w:lineRule="auto" w:line="240" w:before="0" w:after="0"/>
        <w:ind w:left="-426" w:firstLine="71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Совет</w:t>
      </w:r>
    </w:p>
    <w:p>
      <w:pPr>
        <w:pStyle w:val="Normal"/>
        <w:spacing w:lineRule="auto" w:line="240" w:before="0" w:after="0"/>
        <w:ind w:left="-426" w:firstLine="710"/>
        <w:jc w:val="center"/>
        <w:rPr>
          <w:rFonts w:ascii="Times New Roman" w:hAnsi="Times New Roman" w:eastAsia="Times New Roman"/>
          <w:b/>
          <w:sz w:val="28"/>
          <w:szCs w:val="28"/>
          <w:lang w:val="tt-RU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>
      <w:pPr>
        <w:pStyle w:val="Normal"/>
        <w:spacing w:lineRule="auto" w:line="240" w:before="0" w:after="0"/>
        <w:ind w:left="-426" w:firstLine="71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Решил: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1. Принять полномочия ревизионных органов Большемеминского, Верхнеуслонского, Введенско-Слободского, Вахитовского, Кураловского, Кильдеевского, Коргузинского, Канашского, Макуловского, Майданского, Новорусско-Маматкозинского, Октябрьского, Соболевского, Бурнашевского, Печищинского, Набережно-Морквашского, Нижнеуслонского, Шеланговского, Ямбулатовского сельских поселений Верхнеуслонского муниципального района по осуществлению внешнего муниципального финансового контроля и передать Контрольно-счетной Палате Верхнеуслонского муниципального района Республики Татарстан.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 Аппарату Совета Верхнеуслонского муниципального района обеспечить заключение соглашений о передаче полномочий по осуществлению внешнего муниципального финансового контроля в соответствии с действующим законодательством.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/>
        </w:rPr>
      </w:pPr>
      <w:r>
        <w:rPr>
          <w:rFonts w:eastAsia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 Контроль за исполнением настоящего решения возложить на постоянную комиссию Совета </w:t>
      </w:r>
      <w:r>
        <w:rPr>
          <w:rFonts w:eastAsia="Times New Roman" w:ascii="Times New Roman" w:hAnsi="Times New Roman"/>
          <w:sz w:val="28"/>
          <w:szCs w:val="28"/>
        </w:rPr>
        <w:t>Верхнеуслонского муниципального по законности, правопорядку и регламенту.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Совета,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Верхнеуслонского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района</w:t>
        <w:tab/>
        <w:t xml:space="preserve">   </w:t>
        <w:tab/>
        <w:t xml:space="preserve">                              М.Г. Зиатдинов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196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1964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19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LibreOffice/7.5.6.2$Linux_X86_64 LibreOffice_project/50$Build-2</Application>
  <AppVersion>15.0000</AppVersion>
  <Pages>2</Pages>
  <Words>176</Words>
  <Characters>1633</Characters>
  <CharactersWithSpaces>1911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2021-03-31T05:51:00Z</dcterms:created>
  <dc:creator>YuristSovet</dc:creator>
  <dc:description/>
  <dc:language>ru-RU</dc:language>
  <cp:lastModifiedBy/>
  <dcterms:modified xsi:type="dcterms:W3CDTF">2024-03-21T14:50:35Z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