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B4" w:rsidRDefault="00D809A4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1527810</wp:posOffset>
                </wp:positionV>
                <wp:extent cx="4470400" cy="279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AB4" w:rsidRPr="006D7AB4" w:rsidRDefault="00D809A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13.12.2019</w:t>
                            </w:r>
                            <w:r w:rsidRPr="006D7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6D7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6D7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6D7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6D7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</w:r>
                            <w:r w:rsidRPr="006D7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ab/>
                              <w:t xml:space="preserve">       № 52-599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.95pt;margin-top:120.3pt;width:352pt;height:2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" fillcolor="white [3201]" stroked="f" strokeweight=".5pt">
                <v:fill opacity="0"/>
                <v:textbox>
                  <w:txbxContent>
                    <w:p w:rsidR="006D7AB4" w:rsidRPr="006D7AB4" w:rsidRDefault="00D809A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AB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13.12.2019</w:t>
                      </w:r>
                      <w:r w:rsidRPr="006D7AB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6D7AB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6D7AB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6D7AB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6D7AB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</w:r>
                      <w:r w:rsidRPr="006D7AB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ab/>
                        <w:t xml:space="preserve">       № 52-599</w:t>
                      </w:r>
                    </w:p>
                  </w:txbxContent>
                </v:textbox>
              </v:shape>
            </w:pict>
          </mc:Fallback>
        </mc:AlternateContent>
      </w:r>
      <w:r w:rsidRPr="00CB1BE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213246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B4" w:rsidRPr="00004FE2" w:rsidRDefault="00D809A4" w:rsidP="006D7AB4">
      <w:pPr>
        <w:pStyle w:val="1"/>
        <w:spacing w:line="240" w:lineRule="auto"/>
        <w:ind w:right="255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04FE2">
        <w:rPr>
          <w:rFonts w:ascii="Arial" w:hAnsi="Arial" w:cs="Arial"/>
          <w:sz w:val="24"/>
          <w:szCs w:val="24"/>
          <w:lang w:val="tt-RU"/>
        </w:rPr>
        <w:t>Татарстан Республикасы Югары Ослан муниципаль районы бюджетыннан хәрби комиссариатлар булмаган территорияләрдә беренчел хәрби исәпкә алуны гамәлгә ашыру буенча вәкаләтләрне тормышка ашыру өчен шәһәр һәм авыл җирлекләре</w:t>
      </w:r>
      <w:r w:rsidRPr="00004FE2">
        <w:rPr>
          <w:rFonts w:ascii="Arial" w:hAnsi="Arial" w:cs="Arial"/>
          <w:sz w:val="24"/>
          <w:szCs w:val="24"/>
          <w:lang w:val="tt-RU"/>
        </w:rPr>
        <w:t xml:space="preserve"> бюджетларына субвенцияләр бирү Кагыйдәләре турында</w:t>
      </w:r>
    </w:p>
    <w:p w:rsidR="006D7AB4" w:rsidRPr="00004FE2" w:rsidRDefault="00D809A4" w:rsidP="006D7AB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AB4" w:rsidRPr="00004FE2" w:rsidRDefault="00D809A4" w:rsidP="006D7AB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         Россия Фе</w:t>
      </w:r>
      <w:r w:rsidR="00004FE2">
        <w:rPr>
          <w:rFonts w:ascii="Arial" w:eastAsia="Calibri" w:hAnsi="Arial" w:cs="Arial"/>
          <w:sz w:val="24"/>
          <w:szCs w:val="24"/>
          <w:lang w:val="tt-RU"/>
        </w:rPr>
        <w:t>дерациясе Бюджет кодексының 142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нче </w:t>
      </w:r>
      <w:r w:rsidR="00004FE2">
        <w:rPr>
          <w:rFonts w:ascii="Arial" w:eastAsia="Calibri" w:hAnsi="Arial" w:cs="Arial"/>
          <w:sz w:val="24"/>
          <w:szCs w:val="24"/>
          <w:lang w:val="tt-RU"/>
        </w:rPr>
        <w:t xml:space="preserve">статьясы 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нигезендә </w:t>
      </w:r>
    </w:p>
    <w:p w:rsidR="006D7AB4" w:rsidRPr="00004FE2" w:rsidRDefault="00D809A4" w:rsidP="006D7AB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7AB4" w:rsidRPr="00004FE2" w:rsidRDefault="00D809A4" w:rsidP="006D7AB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4FE2">
        <w:rPr>
          <w:rFonts w:ascii="Arial" w:eastAsia="Times New Roman" w:hAnsi="Arial" w:cs="Arial"/>
          <w:bCs/>
          <w:sz w:val="24"/>
          <w:szCs w:val="24"/>
          <w:lang w:val="tt-RU" w:eastAsia="ru-RU"/>
        </w:rPr>
        <w:t>Югары Ослан муниципаль районы</w:t>
      </w:r>
      <w:r w:rsidR="00004FE2" w:rsidRPr="00004FE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="00004FE2" w:rsidRPr="00004FE2">
        <w:rPr>
          <w:rFonts w:ascii="Arial" w:eastAsia="Times New Roman" w:hAnsi="Arial" w:cs="Arial"/>
          <w:bCs/>
          <w:sz w:val="24"/>
          <w:szCs w:val="24"/>
          <w:lang w:val="tt-RU" w:eastAsia="ru-RU"/>
        </w:rPr>
        <w:t>Советы</w:t>
      </w:r>
    </w:p>
    <w:p w:rsidR="00004FE2" w:rsidRDefault="00D809A4" w:rsidP="006D7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004FE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                                                              карар итте:</w:t>
      </w:r>
    </w:p>
    <w:p w:rsidR="006D7AB4" w:rsidRPr="00004FE2" w:rsidRDefault="00D809A4" w:rsidP="006D7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Times New Roman" w:hAnsi="Arial" w:cs="Arial"/>
          <w:bCs/>
          <w:sz w:val="24"/>
          <w:szCs w:val="24"/>
          <w:lang w:val="tt-RU" w:eastAsia="ru-RU"/>
        </w:rPr>
        <w:tab/>
      </w:r>
    </w:p>
    <w:p w:rsidR="00004FE2" w:rsidRDefault="00D809A4" w:rsidP="006D7A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1. 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Татарстан Республикасы Югары Ослан муниципаль районы бюджетыннан шәһәр һәм авыл җирлекләре бюджетларына хәрби комиссариатлар булмаган территорияләрдә беренчел хәрби исәпкә алуны гамәлгә ашыру буенча вәкаләтләрне тормышка ашыру өчен субвенцияләр бирү кагыйд</w:t>
      </w:r>
      <w:r w:rsidR="00004FE2">
        <w:rPr>
          <w:rFonts w:ascii="Arial" w:eastAsia="Times New Roman" w:hAnsi="Arial" w:cs="Arial"/>
          <w:sz w:val="24"/>
          <w:szCs w:val="24"/>
          <w:lang w:val="tt-RU" w:eastAsia="ru-RU"/>
        </w:rPr>
        <w:t>әләрен расларга.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2. Әлеге карар нигезләмәләре 2020 елга һәм 2021, 2022 еллар план чорына бюджетлардан башлап бюджет төзегәндә, раслаганда һәм үтәлгәндә барлыкка килә торган хокук мөнәсәбәтләренә карата кулла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ныла.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3. Әлеге карарны Татарстан Республикасы хокукый мәгълүмат рәсми порталында һәм Югары Ослан муниципаль районының рәсми сайтында урнаштырырга.</w:t>
      </w:r>
    </w:p>
    <w:p w:rsidR="006D7AB4" w:rsidRPr="00004FE2" w:rsidRDefault="00D809A4" w:rsidP="006D7AB4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4. Бу карарның үтәлешен тикшереп торуны Югары Ослан муниципаль районы Советының бюджет-финанс мәсьәләләре буе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нча даими комиссиясенә йөкләргә.</w:t>
      </w:r>
    </w:p>
    <w:p w:rsidR="006D7AB4" w:rsidRPr="00004FE2" w:rsidRDefault="00D809A4" w:rsidP="006D7AB4">
      <w:pPr>
        <w:ind w:left="510"/>
        <w:contextualSpacing/>
        <w:rPr>
          <w:rFonts w:ascii="Arial" w:eastAsia="Calibri" w:hAnsi="Arial" w:cs="Arial"/>
          <w:sz w:val="24"/>
          <w:szCs w:val="24"/>
        </w:rPr>
      </w:pPr>
    </w:p>
    <w:p w:rsidR="006D7AB4" w:rsidRPr="00004FE2" w:rsidRDefault="00D809A4" w:rsidP="006D7AB4">
      <w:pPr>
        <w:ind w:left="510"/>
        <w:contextualSpacing/>
        <w:rPr>
          <w:rFonts w:ascii="Arial" w:eastAsia="Calibri" w:hAnsi="Arial" w:cs="Arial"/>
          <w:sz w:val="24"/>
          <w:szCs w:val="24"/>
        </w:rPr>
      </w:pPr>
    </w:p>
    <w:p w:rsidR="006D7AB4" w:rsidRPr="00004FE2" w:rsidRDefault="00D809A4" w:rsidP="006D7AB4">
      <w:pPr>
        <w:ind w:left="510"/>
        <w:contextualSpacing/>
        <w:rPr>
          <w:rFonts w:ascii="Arial" w:eastAsia="Calibri" w:hAnsi="Arial" w:cs="Arial"/>
          <w:sz w:val="24"/>
          <w:szCs w:val="24"/>
        </w:rPr>
      </w:pPr>
    </w:p>
    <w:p w:rsidR="006D7AB4" w:rsidRPr="00004FE2" w:rsidRDefault="00D809A4" w:rsidP="006D7AB4">
      <w:pPr>
        <w:spacing w:line="240" w:lineRule="auto"/>
        <w:ind w:left="510"/>
        <w:contextualSpacing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Совет Рәисе,</w:t>
      </w:r>
    </w:p>
    <w:p w:rsidR="00004FE2" w:rsidRDefault="00D809A4" w:rsidP="006D7AB4">
      <w:pPr>
        <w:spacing w:line="240" w:lineRule="auto"/>
        <w:ind w:left="510"/>
        <w:contextualSpacing/>
        <w:rPr>
          <w:rFonts w:ascii="Arial" w:eastAsia="Calibri" w:hAnsi="Arial" w:cs="Arial"/>
          <w:sz w:val="24"/>
          <w:szCs w:val="24"/>
          <w:lang w:val="tt-RU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Югары Ослан</w:t>
      </w:r>
      <w:r w:rsidR="00004FE2" w:rsidRPr="00004FE2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004FE2" w:rsidRPr="00004FE2">
        <w:rPr>
          <w:rFonts w:ascii="Arial" w:eastAsia="Calibri" w:hAnsi="Arial" w:cs="Arial"/>
          <w:sz w:val="24"/>
          <w:szCs w:val="24"/>
          <w:lang w:val="tt-RU"/>
        </w:rPr>
        <w:t>муниципаль район</w:t>
      </w:r>
      <w:r w:rsidR="00004FE2">
        <w:rPr>
          <w:rFonts w:ascii="Arial" w:eastAsia="Calibri" w:hAnsi="Arial" w:cs="Arial"/>
          <w:sz w:val="24"/>
          <w:szCs w:val="24"/>
          <w:lang w:val="tt-RU"/>
        </w:rPr>
        <w:t>ы</w:t>
      </w:r>
    </w:p>
    <w:p w:rsidR="006D7AB4" w:rsidRPr="00004FE2" w:rsidRDefault="00D809A4" w:rsidP="00004FE2">
      <w:pPr>
        <w:spacing w:line="240" w:lineRule="auto"/>
        <w:ind w:left="510"/>
        <w:contextualSpacing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Башлыгы</w:t>
      </w:r>
      <w:r w:rsidR="00004FE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М. Г. Зыятдинов</w:t>
      </w:r>
    </w:p>
    <w:p w:rsidR="006D7AB4" w:rsidRPr="00004FE2" w:rsidRDefault="00D809A4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7AB4" w:rsidRPr="00004FE2" w:rsidRDefault="00D809A4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7AB4" w:rsidRDefault="00D809A4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04FE2" w:rsidRDefault="00004FE2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04FE2" w:rsidRDefault="00004FE2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04FE2" w:rsidRDefault="00004FE2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04FE2" w:rsidRDefault="00004FE2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04FE2" w:rsidRDefault="00004FE2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04FE2" w:rsidRPr="00004FE2" w:rsidRDefault="00004FE2" w:rsidP="006D7AB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04FE2" w:rsidRDefault="00D809A4" w:rsidP="00004FE2">
      <w:pPr>
        <w:spacing w:after="0" w:line="240" w:lineRule="auto"/>
        <w:ind w:left="5670" w:right="255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lastRenderedPageBreak/>
        <w:t xml:space="preserve">Татарстан Республикасы </w:t>
      </w:r>
    </w:p>
    <w:p w:rsidR="00004FE2" w:rsidRDefault="00004FE2" w:rsidP="00004FE2">
      <w:pPr>
        <w:spacing w:after="0" w:line="240" w:lineRule="auto"/>
        <w:ind w:left="5670" w:right="255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Югары Ослан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муниципаль район Советы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ның </w:t>
      </w:r>
      <w:r w:rsidR="00D809A4"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2019 елның </w:t>
      </w:r>
    </w:p>
    <w:p w:rsidR="00004FE2" w:rsidRPr="00004FE2" w:rsidRDefault="00D809A4" w:rsidP="00004FE2">
      <w:pPr>
        <w:spacing w:after="0" w:line="240" w:lineRule="auto"/>
        <w:ind w:left="5670" w:right="255"/>
        <w:rPr>
          <w:rFonts w:ascii="Arial" w:eastAsia="Times New Roman" w:hAnsi="Arial" w:cs="Arial"/>
          <w:sz w:val="24"/>
          <w:szCs w:val="24"/>
          <w:lang w:eastAsia="ru-RU"/>
        </w:rPr>
      </w:pP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13 декабре</w:t>
      </w:r>
      <w:r w:rsid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ндәге 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52-599</w:t>
      </w:r>
      <w:r w:rsid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нчы номерлы </w:t>
      </w:r>
      <w:r w:rsidR="00004FE2"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карарына </w:t>
      </w:r>
    </w:p>
    <w:p w:rsidR="00004FE2" w:rsidRPr="00004FE2" w:rsidRDefault="00004FE2" w:rsidP="00004FE2">
      <w:pPr>
        <w:spacing w:after="0" w:line="240" w:lineRule="auto"/>
        <w:ind w:right="25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                                                        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1нче кушымта  </w:t>
      </w:r>
    </w:p>
    <w:p w:rsidR="006D7AB4" w:rsidRPr="00004FE2" w:rsidRDefault="00D809A4" w:rsidP="006D7AB4">
      <w:pPr>
        <w:spacing w:after="0" w:line="240" w:lineRule="auto"/>
        <w:ind w:right="25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AB4" w:rsidRPr="00004FE2" w:rsidRDefault="00D809A4" w:rsidP="006D7AB4">
      <w:pPr>
        <w:spacing w:after="0" w:line="240" w:lineRule="auto"/>
        <w:ind w:right="25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AB4" w:rsidRPr="00004FE2" w:rsidRDefault="00004FE2" w:rsidP="006D7AB4">
      <w:pPr>
        <w:spacing w:after="0" w:line="240" w:lineRule="auto"/>
        <w:ind w:right="255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Татарстан Республикасы Югары Ослан муниципаль районы бюджетыннан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х</w:t>
      </w:r>
      <w:r w:rsidR="00D809A4"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әрби комиссариатлары булмаган территорияләрдә беренчел хәрби исәпкә алуны гамәлгә ашыру вәкаләтләрен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тормышка </w:t>
      </w:r>
      <w:r w:rsidR="00D809A4"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ашыру өчен </w:t>
      </w:r>
      <w:r w:rsidR="00D809A4" w:rsidRPr="00004FE2">
        <w:rPr>
          <w:rFonts w:ascii="Arial" w:eastAsia="Times New Roman" w:hAnsi="Arial" w:cs="Arial"/>
          <w:sz w:val="24"/>
          <w:szCs w:val="24"/>
          <w:lang w:val="tt-RU" w:eastAsia="ru-RU"/>
        </w:rPr>
        <w:t>шәһәр һәм авыл җирлеклә</w:t>
      </w:r>
      <w:r w:rsidR="00D809A4" w:rsidRPr="00004FE2">
        <w:rPr>
          <w:rFonts w:ascii="Arial" w:eastAsia="Times New Roman" w:hAnsi="Arial" w:cs="Arial"/>
          <w:sz w:val="24"/>
          <w:szCs w:val="24"/>
          <w:lang w:val="tt-RU" w:eastAsia="ru-RU"/>
        </w:rPr>
        <w:t>ре бюджетларына субвенцияләр бирү</w:t>
      </w:r>
    </w:p>
    <w:p w:rsidR="00004FE2" w:rsidRPr="00004FE2" w:rsidRDefault="00004FE2" w:rsidP="00004FE2">
      <w:pPr>
        <w:spacing w:after="0" w:line="240" w:lineRule="auto"/>
        <w:ind w:right="25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Кагыйдәләр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е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6D7AB4" w:rsidRPr="00004FE2" w:rsidRDefault="00D809A4" w:rsidP="006D7A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7AB4" w:rsidRPr="00004FE2" w:rsidRDefault="00D809A4" w:rsidP="006D7A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1. Әлеге кагыйдәләр Татарстан Республикасы Югары Ослан муниципаль районы бюджетыннан Татарстан Республикасы Югары Ослан муниципаль районының шәһәр һәм авыл җирлекләре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бюджетларына хәрби комиссариатлар 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>булмаган территорияләрдә беренчел хәрби исәпкә алуны гамәлгә ашыру буенча вәкаләтләрне тормышка ашыру өчен субвенцияләр</w:t>
      </w:r>
      <w:r w:rsid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004FE2"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(алга таба – субвенцияләр, җирлек) </w:t>
      </w:r>
      <w:r w:rsidRPr="00004FE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бирү максатларын, тәртибен һәм шартларын билгели.</w:t>
      </w:r>
    </w:p>
    <w:p w:rsidR="006D7AB4" w:rsidRPr="00004FE2" w:rsidRDefault="00D809A4" w:rsidP="006D7AB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2. Субвенцияләр хәрби комиссариатлар булмаган территорияләрдә бе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ренчел хәрби исәпкә алуны гамәлгә ашыру вәкаләтләрен </w:t>
      </w:r>
      <w:r w:rsidR="00004FE2">
        <w:rPr>
          <w:rFonts w:ascii="Arial" w:eastAsia="Calibri" w:hAnsi="Arial" w:cs="Arial"/>
          <w:sz w:val="24"/>
          <w:szCs w:val="24"/>
          <w:lang w:val="tt-RU"/>
        </w:rPr>
        <w:t>тормышка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ашыру максатларында җирлекләр бюджетларына бирелә. </w:t>
      </w:r>
    </w:p>
    <w:p w:rsidR="006D7AB4" w:rsidRPr="00004FE2" w:rsidRDefault="00D809A4" w:rsidP="006D7AB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3. Җирлекләр бюджетларына субвенцияләр бирү чыгымнарын финанс ягыннан тәэмин итү чыганагы-Татарстан Республикасы Югары Ослан муниципаль районы бюджетына бирелә торган хәрби комиссариатлары булмаган территорияләрдә беренчел хәрби исәпкә алу вәкаләтләрен гам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әлгә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ашыру өчен федераль бюджеттан субвенция. </w:t>
      </w:r>
    </w:p>
    <w:p w:rsidR="006D7AB4" w:rsidRPr="00004FE2" w:rsidRDefault="00D809A4" w:rsidP="006D7AB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4. Әлеге Кагыйдәләр нигезендә бирелә торган бюджет акчаларын төп бүлүче-Татарстан Республикасы Югары Ослан муниципаль районының Финанс – бюджет палатасы (алга таба-Палата).</w:t>
      </w:r>
    </w:p>
    <w:p w:rsidR="006D7AB4" w:rsidRPr="00004FE2" w:rsidRDefault="00D809A4" w:rsidP="006D7AB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5. Җирлек бюджетына субвенция күләме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«Татарстан Республикасы муниципаль районнарының җирле үзидарә органнарына хәрби комиссариатлары булмаган территорияләрдә беренчел хәрби исәпкә алуны гамәлгә ашыру буенча вәкаләтләрне </w:t>
      </w:r>
      <w:r w:rsidR="00004FE2">
        <w:rPr>
          <w:rFonts w:ascii="Arial" w:eastAsia="Calibri" w:hAnsi="Arial" w:cs="Arial"/>
          <w:sz w:val="24"/>
          <w:szCs w:val="24"/>
          <w:lang w:val="tt-RU"/>
        </w:rPr>
        <w:t>тормышка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ашыру өчен муниципаль район составына керүче җирлекләр бюджетлар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ына субвенцияләр исәпләү һәм бирү буенча Татарстан Республикасының аерым дәүләт вәкаләтләрен бирү турында» 2006 елның 11 декабр</w:t>
      </w:r>
      <w:r w:rsidR="00004FE2">
        <w:rPr>
          <w:rFonts w:ascii="Arial" w:eastAsia="Calibri" w:hAnsi="Arial" w:cs="Arial"/>
          <w:sz w:val="24"/>
          <w:szCs w:val="24"/>
          <w:lang w:val="tt-RU"/>
        </w:rPr>
        <w:t>ендәге 78-ТРЗ номерлы Законга 1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нче кушымта нигезендә җирлек бюджетына муниципаль район бюджетыннан субвенция күләмен билгеләү ме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тодикасы нигезендә билгеләнә</w:t>
      </w:r>
      <w:r w:rsidR="00004FE2">
        <w:rPr>
          <w:rFonts w:ascii="Arial" w:eastAsia="Calibri" w:hAnsi="Arial" w:cs="Arial"/>
          <w:sz w:val="24"/>
          <w:szCs w:val="24"/>
          <w:lang w:val="tt-RU"/>
        </w:rPr>
        <w:t>.</w:t>
      </w:r>
    </w:p>
    <w:p w:rsidR="006D7AB4" w:rsidRPr="00004FE2" w:rsidRDefault="00D809A4" w:rsidP="006D7AB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6. Муниципаль район составына керүче җирлекләр бюджетларына субвенцияләрне бүлү Татарстан Республикасы Югары Ослан муниципаль районы Советының тиешле финанс елына һәм план чорына муниципаль район бюджеты турындагы карары белән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раслана.</w:t>
      </w:r>
    </w:p>
    <w:p w:rsidR="006D7AB4" w:rsidRPr="00004FE2" w:rsidRDefault="00D809A4" w:rsidP="006D7AB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7. Субвенцияләр тиешле финанс елына һәм план чорына Татарстан Республикасы Югары Ослан муниципаль районы бюджетында каралган бюджет ассигнованиеләре һәм әлеге Кагыйдәләрнең 2нче пунктында каралган максатларга палатага билгеләнгән тәртиптә бирелгә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н бюджет йөкләмәләре лимитлары чикләрендә җирлекләр бюджетларына бирелә.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8. Субвенцияләр түбәндәге чыгымнарны гамәлгә ашыру өчен җирлекләр бюджетларына бирелә: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lastRenderedPageBreak/>
        <w:t>хезмәткә түләү фондына тиешле түләүләрне дә кертеп, хәрби-учет хезмәткәрләренә хезмәт өчен түләү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;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биналарны арендалау өчен түләү;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элемтә хезмәтләре өчен түләү;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транспорт хезмәтләре өчен түләү;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командировка чыгымнары;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коммуналь хезмәтләр өчен түләү;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җиһаз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, инвентарь, оргтехника, элемтә чаралары, чыгым материаллары белән тәэмин итү.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9. Субвенцияләрне т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оту Федераль казначылыкның Татарстан Республикасы буенча идарәсенең территориаль органнарының (алга таба – казначылык) шәхси счетлары аша башкарыла. 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10. Казначылыктан финанслауның иң чик күләмнәрен билгеләү өчен чыгым расписаниесен алганнан соң, палата Ка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значылыкка субвенцияләр исәбеннән җирлекләр бюджетларына субвенцияләр күчерү өчен касса чыгымына гариза бирә.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11. Җирлекләрнең җирле үзидарә органнары хисап чорыннан соң килүче айның 5нче числосыннан да соңга калмыйча палатага хәрби комиссариатлар булмаган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территорияләрдә беренчел хәрби исәпкә алуны гамәлгә ашыру вәкаләтләрен гамәлгә ашыруга бәйле рәвештә, финанс тәэминаты чыганагы субвенция булган территорияләрдә Россия Федерациясе Оборона министрлыгы белән килешү буенча Россия Федерациясе Финанс министрлы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гы тарафыннан билгеләнгән форма буенча җирлекләр бюджетларының чыгымнары турында хисап тапшыралар.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12. Тапшырыла торган белешмәләрнең дөреслеге өчен җаваплылык җирлекләрнең җирле үзидарә органнарына йөкләнә.</w:t>
      </w:r>
    </w:p>
    <w:p w:rsidR="006D7AB4" w:rsidRPr="00004FE2" w:rsidRDefault="00D809A4" w:rsidP="006D7AB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>13.  Субвенцияләр бирү шартларын бозган очракта,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тиешле акчалар Россия Федерациясе бюджет законнарында билгеләнгән тәртиптә муниципаль район бюджеты кеременә күчерелергә тиеш.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r:id="rId6" w:history="1"/>
      <w:r w:rsidRPr="00004FE2">
        <w:rPr>
          <w:rFonts w:ascii="Arial" w:eastAsia="Calibri" w:hAnsi="Arial" w:cs="Arial"/>
          <w:sz w:val="24"/>
          <w:szCs w:val="24"/>
          <w:lang w:val="tt-RU"/>
        </w:rPr>
        <w:t>14. Субвенцияләр бирү елыннан соң килүче елның 1нче гыйнварына билгеләнмәгән субвенцияләрнең калган өлеше, Россия Федерациясе Бюджет кодексында билгеләнгән таләпләр нигезендә, муниципаль район бюджеты кеременә кире кайтарылырга тиеш.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r:id="rId7" w:history="1"/>
      <w:r w:rsidRPr="00004FE2">
        <w:rPr>
          <w:rFonts w:ascii="Arial" w:eastAsia="Calibri" w:hAnsi="Arial" w:cs="Arial"/>
          <w:sz w:val="24"/>
          <w:szCs w:val="24"/>
          <w:lang w:val="tt-RU"/>
        </w:rPr>
        <w:t>15. Субвенцияләр максатчан характерга ия һәм, әлеге Кагыйдәләрнең 2нче пунктында күрсәтелгәннәрд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ән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 тыш, башка максатларда кулланыла алмый.</w:t>
      </w:r>
    </w:p>
    <w:p w:rsidR="006D7AB4" w:rsidRPr="00004FE2" w:rsidRDefault="00D809A4" w:rsidP="006D7A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  <w:lang w:val="tt-RU"/>
        </w:rPr>
        <w:t xml:space="preserve">16. Субвенцияләрнең максатчан кулланылышын закон нигезендә Татарстан Республикасы Югары Ослан муниципаль районының Контроль-хисап палатасы һәм Татарстан Республикасы Югары Ослан муниципаль районының Финанс-бюджет </w:t>
      </w:r>
      <w:r w:rsidRPr="00004FE2">
        <w:rPr>
          <w:rFonts w:ascii="Arial" w:eastAsia="Calibri" w:hAnsi="Arial" w:cs="Arial"/>
          <w:sz w:val="24"/>
          <w:szCs w:val="24"/>
          <w:lang w:val="tt-RU"/>
        </w:rPr>
        <w:t>палатасы контрольдә тота.</w:t>
      </w:r>
    </w:p>
    <w:p w:rsidR="006D7AB4" w:rsidRPr="00004FE2" w:rsidRDefault="00D809A4" w:rsidP="006D7AB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7AB4" w:rsidRPr="00004FE2" w:rsidRDefault="00D809A4" w:rsidP="006D7AB4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4FE2"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</w:p>
    <w:bookmarkEnd w:id="0"/>
    <w:p w:rsidR="004D342B" w:rsidRPr="00004FE2" w:rsidRDefault="00D809A4" w:rsidP="006D7AB4">
      <w:pPr>
        <w:tabs>
          <w:tab w:val="left" w:pos="1360"/>
        </w:tabs>
        <w:rPr>
          <w:rFonts w:ascii="Arial" w:hAnsi="Arial" w:cs="Arial"/>
          <w:sz w:val="24"/>
          <w:szCs w:val="24"/>
        </w:rPr>
      </w:pPr>
    </w:p>
    <w:sectPr w:rsidR="004D342B" w:rsidRPr="00004FE2" w:rsidSect="00004F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2"/>
    <w:rsid w:val="00004FE2"/>
    <w:rsid w:val="00D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B4"/>
    <w:rPr>
      <w:rFonts w:ascii="Tahoma" w:hAnsi="Tahoma" w:cs="Tahoma"/>
      <w:sz w:val="16"/>
      <w:szCs w:val="16"/>
    </w:rPr>
  </w:style>
  <w:style w:type="paragraph" w:customStyle="1" w:styleId="1">
    <w:name w:val="Ñòèëü1"/>
    <w:basedOn w:val="a"/>
    <w:link w:val="10"/>
    <w:rsid w:val="006D7AB4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link w:val="1"/>
    <w:rsid w:val="006D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B4"/>
    <w:rPr>
      <w:rFonts w:ascii="Tahoma" w:hAnsi="Tahoma" w:cs="Tahoma"/>
      <w:sz w:val="16"/>
      <w:szCs w:val="16"/>
    </w:rPr>
  </w:style>
  <w:style w:type="paragraph" w:customStyle="1" w:styleId="1">
    <w:name w:val="Ñòèëü1"/>
    <w:basedOn w:val="a"/>
    <w:link w:val="10"/>
    <w:rsid w:val="006D7AB4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link w:val="1"/>
    <w:rsid w:val="006D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FBF26DC88E0C8E379368DDF0170016AD56C234004302AEB4275B426C63838139537B4FA9611C14D6F69261D6F8E6DD6255185F56730C4F0FF37E9Z3X4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2B8558CAD77BEF89504C37C1849AEE1AEAC02EF98439CE204ACEF1D7EAF0738B2179959CE211407EABE705BDW2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3</cp:revision>
  <cp:lastPrinted>2019-12-24T05:20:00Z</cp:lastPrinted>
  <dcterms:created xsi:type="dcterms:W3CDTF">2019-12-16T08:01:00Z</dcterms:created>
  <dcterms:modified xsi:type="dcterms:W3CDTF">2019-12-24T05:22:00Z</dcterms:modified>
</cp:coreProperties>
</file>