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AB4" w:rsidRDefault="006D7AB4">
      <w:r>
        <w:rPr>
          <w:rFonts w:ascii="Calibri" w:eastAsia="Calibri" w:hAnsi="Calibri" w:cs="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685165</wp:posOffset>
                </wp:positionH>
                <wp:positionV relativeFrom="paragraph">
                  <wp:posOffset>1527810</wp:posOffset>
                </wp:positionV>
                <wp:extent cx="4470400" cy="279400"/>
                <wp:effectExtent l="0" t="0" r="0" b="0"/>
                <wp:wrapNone/>
                <wp:docPr id="2" name="Поле 2"/>
                <wp:cNvGraphicFramePr/>
                <a:graphic xmlns:a="http://schemas.openxmlformats.org/drawingml/2006/main">
                  <a:graphicData uri="http://schemas.microsoft.com/office/word/2010/wordprocessingShape">
                    <wps:wsp>
                      <wps:cNvSpPr txBox="1"/>
                      <wps:spPr>
                        <a:xfrm>
                          <a:off x="0" y="0"/>
                          <a:ext cx="4470400" cy="2794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D7AB4" w:rsidRPr="006D7AB4" w:rsidRDefault="006D7AB4">
                            <w:pPr>
                              <w:rPr>
                                <w:rFonts w:ascii="Times New Roman" w:hAnsi="Times New Roman" w:cs="Times New Roman"/>
                                <w:sz w:val="28"/>
                                <w:szCs w:val="28"/>
                              </w:rPr>
                            </w:pPr>
                            <w:r w:rsidRPr="006D7AB4">
                              <w:rPr>
                                <w:rFonts w:ascii="Times New Roman" w:hAnsi="Times New Roman" w:cs="Times New Roman"/>
                                <w:sz w:val="28"/>
                                <w:szCs w:val="28"/>
                              </w:rPr>
                              <w:t>13.12.2019</w:t>
                            </w:r>
                            <w:r w:rsidRPr="006D7AB4">
                              <w:rPr>
                                <w:rFonts w:ascii="Times New Roman" w:hAnsi="Times New Roman" w:cs="Times New Roman"/>
                                <w:sz w:val="28"/>
                                <w:szCs w:val="28"/>
                              </w:rPr>
                              <w:tab/>
                            </w:r>
                            <w:r w:rsidRPr="006D7AB4">
                              <w:rPr>
                                <w:rFonts w:ascii="Times New Roman" w:hAnsi="Times New Roman" w:cs="Times New Roman"/>
                                <w:sz w:val="28"/>
                                <w:szCs w:val="28"/>
                              </w:rPr>
                              <w:tab/>
                            </w:r>
                            <w:r w:rsidRPr="006D7AB4">
                              <w:rPr>
                                <w:rFonts w:ascii="Times New Roman" w:hAnsi="Times New Roman" w:cs="Times New Roman"/>
                                <w:sz w:val="28"/>
                                <w:szCs w:val="28"/>
                              </w:rPr>
                              <w:tab/>
                            </w:r>
                            <w:r w:rsidRPr="006D7AB4">
                              <w:rPr>
                                <w:rFonts w:ascii="Times New Roman" w:hAnsi="Times New Roman" w:cs="Times New Roman"/>
                                <w:sz w:val="28"/>
                                <w:szCs w:val="28"/>
                              </w:rPr>
                              <w:tab/>
                            </w:r>
                            <w:r w:rsidRPr="006D7AB4">
                              <w:rPr>
                                <w:rFonts w:ascii="Times New Roman" w:hAnsi="Times New Roman" w:cs="Times New Roman"/>
                                <w:sz w:val="28"/>
                                <w:szCs w:val="28"/>
                              </w:rPr>
                              <w:tab/>
                            </w:r>
                            <w:r w:rsidRPr="006D7AB4">
                              <w:rPr>
                                <w:rFonts w:ascii="Times New Roman" w:hAnsi="Times New Roman" w:cs="Times New Roman"/>
                                <w:sz w:val="28"/>
                                <w:szCs w:val="28"/>
                              </w:rPr>
                              <w:tab/>
                            </w:r>
                            <w:r>
                              <w:rPr>
                                <w:rFonts w:ascii="Times New Roman" w:hAnsi="Times New Roman" w:cs="Times New Roman"/>
                                <w:sz w:val="28"/>
                                <w:szCs w:val="28"/>
                              </w:rPr>
                              <w:t xml:space="preserve">       </w:t>
                            </w:r>
                            <w:r w:rsidRPr="006D7AB4">
                              <w:rPr>
                                <w:rFonts w:ascii="Times New Roman" w:hAnsi="Times New Roman" w:cs="Times New Roman"/>
                                <w:sz w:val="28"/>
                                <w:szCs w:val="28"/>
                              </w:rPr>
                              <w:t>№ 52-599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53.95pt;margin-top:120.3pt;width:352pt;height:2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" fillcolor="white [3201]" stroked="f" strokeweight=".5pt">
                <v:fill opacity="0"/>
                <v:textbox>
                  <w:txbxContent>
                    <w:p w:rsidR="006D7AB4" w:rsidRPr="006D7AB4" w:rsidRDefault="006D7AB4">
                      <w:pPr>
                        <w:rPr>
                          <w:rFonts w:ascii="Times New Roman" w:hAnsi="Times New Roman" w:cs="Times New Roman"/>
                          <w:sz w:val="28"/>
                          <w:szCs w:val="28"/>
                        </w:rPr>
                      </w:pPr>
                      <w:r w:rsidRPr="006D7AB4">
                        <w:rPr>
                          <w:rFonts w:ascii="Times New Roman" w:hAnsi="Times New Roman" w:cs="Times New Roman"/>
                          <w:sz w:val="28"/>
                          <w:szCs w:val="28"/>
                        </w:rPr>
                        <w:t>13.12.2019</w:t>
                      </w:r>
                      <w:r w:rsidRPr="006D7AB4">
                        <w:rPr>
                          <w:rFonts w:ascii="Times New Roman" w:hAnsi="Times New Roman" w:cs="Times New Roman"/>
                          <w:sz w:val="28"/>
                          <w:szCs w:val="28"/>
                        </w:rPr>
                        <w:tab/>
                      </w:r>
                      <w:r w:rsidRPr="006D7AB4">
                        <w:rPr>
                          <w:rFonts w:ascii="Times New Roman" w:hAnsi="Times New Roman" w:cs="Times New Roman"/>
                          <w:sz w:val="28"/>
                          <w:szCs w:val="28"/>
                        </w:rPr>
                        <w:tab/>
                      </w:r>
                      <w:r w:rsidRPr="006D7AB4">
                        <w:rPr>
                          <w:rFonts w:ascii="Times New Roman" w:hAnsi="Times New Roman" w:cs="Times New Roman"/>
                          <w:sz w:val="28"/>
                          <w:szCs w:val="28"/>
                        </w:rPr>
                        <w:tab/>
                      </w:r>
                      <w:r w:rsidRPr="006D7AB4">
                        <w:rPr>
                          <w:rFonts w:ascii="Times New Roman" w:hAnsi="Times New Roman" w:cs="Times New Roman"/>
                          <w:sz w:val="28"/>
                          <w:szCs w:val="28"/>
                        </w:rPr>
                        <w:tab/>
                      </w:r>
                      <w:r w:rsidRPr="006D7AB4">
                        <w:rPr>
                          <w:rFonts w:ascii="Times New Roman" w:hAnsi="Times New Roman" w:cs="Times New Roman"/>
                          <w:sz w:val="28"/>
                          <w:szCs w:val="28"/>
                        </w:rPr>
                        <w:tab/>
                      </w:r>
                      <w:r w:rsidRPr="006D7AB4">
                        <w:rPr>
                          <w:rFonts w:ascii="Times New Roman" w:hAnsi="Times New Roman" w:cs="Times New Roman"/>
                          <w:sz w:val="28"/>
                          <w:szCs w:val="28"/>
                        </w:rPr>
                        <w:tab/>
                      </w:r>
                      <w:r>
                        <w:rPr>
                          <w:rFonts w:ascii="Times New Roman" w:hAnsi="Times New Roman" w:cs="Times New Roman"/>
                          <w:sz w:val="28"/>
                          <w:szCs w:val="28"/>
                        </w:rPr>
                        <w:t xml:space="preserve">       </w:t>
                      </w:r>
                      <w:r w:rsidRPr="006D7AB4">
                        <w:rPr>
                          <w:rFonts w:ascii="Times New Roman" w:hAnsi="Times New Roman" w:cs="Times New Roman"/>
                          <w:sz w:val="28"/>
                          <w:szCs w:val="28"/>
                        </w:rPr>
                        <w:t>№ 52-599</w:t>
                      </w:r>
                    </w:p>
                  </w:txbxContent>
                </v:textbox>
              </v:shape>
            </w:pict>
          </mc:Fallback>
        </mc:AlternateContent>
      </w:r>
      <w:r w:rsidRPr="00CB1BE3">
        <w:rPr>
          <w:rFonts w:ascii="Calibri" w:eastAsia="Calibri" w:hAnsi="Calibri" w:cs="Times New Roman"/>
          <w:noProof/>
          <w:lang w:eastAsia="ru-RU"/>
        </w:rPr>
        <w:drawing>
          <wp:inline distT="0" distB="0" distL="0" distR="0" wp14:anchorId="5C777058" wp14:editId="6D1DD47B">
            <wp:extent cx="5940425" cy="2132460"/>
            <wp:effectExtent l="0" t="0" r="3175" b="0"/>
            <wp:docPr id="1" name="Рисунок 1" descr="Описание: СОВЕТ 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ОВЕТ РЕШЕНИЕ"/>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2132460"/>
                    </a:xfrm>
                    <a:prstGeom prst="rect">
                      <a:avLst/>
                    </a:prstGeom>
                    <a:noFill/>
                    <a:ln>
                      <a:noFill/>
                    </a:ln>
                  </pic:spPr>
                </pic:pic>
              </a:graphicData>
            </a:graphic>
          </wp:inline>
        </w:drawing>
      </w:r>
    </w:p>
    <w:p w:rsidR="006D7AB4" w:rsidRPr="006D7AB4" w:rsidRDefault="006D7AB4" w:rsidP="006D7AB4">
      <w:pPr>
        <w:pStyle w:val="1"/>
        <w:spacing w:line="240" w:lineRule="auto"/>
        <w:ind w:right="255"/>
        <w:jc w:val="center"/>
        <w:rPr>
          <w:b/>
          <w:szCs w:val="28"/>
        </w:rPr>
      </w:pPr>
      <w:r w:rsidRPr="006D7AB4">
        <w:rPr>
          <w:b/>
        </w:rPr>
        <w:t xml:space="preserve">О </w:t>
      </w:r>
      <w:proofErr w:type="gramStart"/>
      <w:r w:rsidRPr="006D7AB4">
        <w:rPr>
          <w:b/>
        </w:rPr>
        <w:t>Правилах</w:t>
      </w:r>
      <w:proofErr w:type="gramEnd"/>
      <w:r w:rsidRPr="006D7AB4">
        <w:rPr>
          <w:b/>
        </w:rPr>
        <w:t xml:space="preserve"> предоставления</w:t>
      </w:r>
      <w:r w:rsidRPr="006D7AB4">
        <w:rPr>
          <w:b/>
          <w:szCs w:val="28"/>
        </w:rPr>
        <w:t xml:space="preserve"> субвенций из бюджета Верхнеуслонского муниципального района Республики Татарстан бюджетам городских и сельских поселений на реализацию полномочий по осуществлению первичного воинского учета на территориях, на которых отсутствуют военные комиссариаты</w:t>
      </w:r>
    </w:p>
    <w:p w:rsidR="006D7AB4" w:rsidRPr="006D7AB4" w:rsidRDefault="006D7AB4" w:rsidP="006D7AB4">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p>
    <w:p w:rsidR="006D7AB4" w:rsidRPr="006D7AB4" w:rsidRDefault="006D7AB4" w:rsidP="006D7AB4">
      <w:pPr>
        <w:keepNext/>
        <w:widowControl w:val="0"/>
        <w:autoSpaceDE w:val="0"/>
        <w:autoSpaceDN w:val="0"/>
        <w:adjustRightInd w:val="0"/>
        <w:spacing w:after="0" w:line="240" w:lineRule="auto"/>
        <w:jc w:val="both"/>
        <w:outlineLvl w:val="3"/>
        <w:rPr>
          <w:rFonts w:ascii="Times New Roman" w:eastAsia="Calibri" w:hAnsi="Times New Roman" w:cs="Times New Roman"/>
          <w:sz w:val="28"/>
          <w:szCs w:val="28"/>
        </w:rPr>
      </w:pPr>
      <w:r w:rsidRPr="006D7AB4">
        <w:rPr>
          <w:rFonts w:ascii="Times New Roman" w:eastAsia="Calibri" w:hAnsi="Times New Roman" w:cs="Times New Roman"/>
          <w:b/>
          <w:sz w:val="28"/>
          <w:szCs w:val="28"/>
        </w:rPr>
        <w:t xml:space="preserve">          </w:t>
      </w:r>
      <w:r w:rsidRPr="006D7AB4">
        <w:rPr>
          <w:rFonts w:ascii="Times New Roman" w:eastAsia="Calibri" w:hAnsi="Times New Roman" w:cs="Times New Roman"/>
          <w:sz w:val="28"/>
          <w:szCs w:val="28"/>
        </w:rPr>
        <w:t xml:space="preserve">В </w:t>
      </w:r>
      <w:proofErr w:type="gramStart"/>
      <w:r w:rsidRPr="006D7AB4">
        <w:rPr>
          <w:rFonts w:ascii="Times New Roman" w:eastAsia="Calibri" w:hAnsi="Times New Roman" w:cs="Times New Roman"/>
          <w:sz w:val="28"/>
          <w:szCs w:val="28"/>
        </w:rPr>
        <w:t>соответствии</w:t>
      </w:r>
      <w:proofErr w:type="gramEnd"/>
      <w:r w:rsidRPr="006D7AB4">
        <w:rPr>
          <w:rFonts w:ascii="Times New Roman" w:eastAsia="Calibri" w:hAnsi="Times New Roman" w:cs="Times New Roman"/>
          <w:sz w:val="28"/>
          <w:szCs w:val="28"/>
        </w:rPr>
        <w:t xml:space="preserve"> со статьей 142 Бюджетного кодекса Российской Федерации </w:t>
      </w:r>
    </w:p>
    <w:p w:rsidR="006D7AB4" w:rsidRPr="006D7AB4" w:rsidRDefault="006D7AB4" w:rsidP="006D7AB4">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4"/>
          <w:lang w:eastAsia="ru-RU"/>
        </w:rPr>
      </w:pPr>
      <w:r w:rsidRPr="006D7AB4">
        <w:rPr>
          <w:rFonts w:ascii="Times New Roman" w:eastAsia="Times New Roman" w:hAnsi="Times New Roman" w:cs="Times New Roman"/>
          <w:b/>
          <w:bCs/>
          <w:sz w:val="28"/>
          <w:szCs w:val="24"/>
          <w:lang w:eastAsia="ru-RU"/>
        </w:rPr>
        <w:t xml:space="preserve">Совет </w:t>
      </w:r>
    </w:p>
    <w:p w:rsidR="006D7AB4" w:rsidRPr="006D7AB4" w:rsidRDefault="006D7AB4" w:rsidP="006D7AB4">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4"/>
          <w:lang w:eastAsia="ru-RU"/>
        </w:rPr>
      </w:pPr>
      <w:r w:rsidRPr="006D7AB4">
        <w:rPr>
          <w:rFonts w:ascii="Times New Roman" w:eastAsia="Times New Roman" w:hAnsi="Times New Roman" w:cs="Times New Roman"/>
          <w:b/>
          <w:bCs/>
          <w:sz w:val="28"/>
          <w:szCs w:val="24"/>
          <w:lang w:eastAsia="ru-RU"/>
        </w:rPr>
        <w:t>Верхнеуслонского муниципального района</w:t>
      </w:r>
    </w:p>
    <w:p w:rsidR="006D7AB4" w:rsidRPr="006D7AB4" w:rsidRDefault="006D7AB4" w:rsidP="006D7AB4">
      <w:pPr>
        <w:widowControl w:val="0"/>
        <w:autoSpaceDE w:val="0"/>
        <w:autoSpaceDN w:val="0"/>
        <w:adjustRightInd w:val="0"/>
        <w:spacing w:after="0" w:line="240" w:lineRule="auto"/>
        <w:rPr>
          <w:rFonts w:ascii="Times New Roman" w:eastAsia="Calibri" w:hAnsi="Times New Roman" w:cs="Times New Roman"/>
          <w:b/>
          <w:sz w:val="28"/>
          <w:szCs w:val="28"/>
        </w:rPr>
      </w:pPr>
      <w:r w:rsidRPr="006D7AB4">
        <w:rPr>
          <w:rFonts w:ascii="Times New Roman" w:eastAsia="Times New Roman" w:hAnsi="Times New Roman" w:cs="Times New Roman"/>
          <w:b/>
          <w:bCs/>
          <w:sz w:val="28"/>
          <w:szCs w:val="20"/>
          <w:lang w:eastAsia="ru-RU"/>
        </w:rPr>
        <w:t xml:space="preserve">                                                                   решил:</w:t>
      </w:r>
      <w:r w:rsidRPr="006D7AB4">
        <w:rPr>
          <w:rFonts w:ascii="Times New Roman" w:eastAsia="Calibri" w:hAnsi="Times New Roman" w:cs="Times New Roman"/>
          <w:b/>
          <w:sz w:val="28"/>
          <w:szCs w:val="28"/>
        </w:rPr>
        <w:tab/>
      </w:r>
    </w:p>
    <w:p w:rsidR="006D7AB4" w:rsidRPr="006D7AB4" w:rsidRDefault="006D7AB4" w:rsidP="006D7AB4">
      <w:pPr>
        <w:spacing w:after="0" w:line="240" w:lineRule="auto"/>
        <w:ind w:firstLine="709"/>
        <w:jc w:val="both"/>
        <w:rPr>
          <w:rFonts w:ascii="Times New Roman" w:eastAsia="Times New Roman" w:hAnsi="Times New Roman" w:cs="Times New Roman"/>
          <w:sz w:val="28"/>
          <w:szCs w:val="28"/>
          <w:lang w:eastAsia="ru-RU"/>
        </w:rPr>
      </w:pPr>
      <w:r w:rsidRPr="006D7AB4">
        <w:rPr>
          <w:rFonts w:ascii="Times New Roman" w:eastAsia="Times New Roman" w:hAnsi="Times New Roman" w:cs="Times New Roman"/>
          <w:sz w:val="28"/>
          <w:szCs w:val="28"/>
          <w:lang w:eastAsia="ru-RU"/>
        </w:rPr>
        <w:t xml:space="preserve">1. Утвердить </w:t>
      </w:r>
      <w:r w:rsidRPr="006D7AB4">
        <w:rPr>
          <w:rFonts w:ascii="Times New Roman" w:eastAsia="Times New Roman" w:hAnsi="Times New Roman" w:cs="Times New Roman"/>
          <w:sz w:val="28"/>
          <w:szCs w:val="20"/>
          <w:lang w:eastAsia="ru-RU"/>
        </w:rPr>
        <w:t>Правила предоставления</w:t>
      </w:r>
      <w:r w:rsidRPr="006D7AB4">
        <w:rPr>
          <w:rFonts w:ascii="Times New Roman" w:eastAsia="Times New Roman" w:hAnsi="Times New Roman" w:cs="Times New Roman"/>
          <w:sz w:val="28"/>
          <w:szCs w:val="28"/>
          <w:lang w:eastAsia="ru-RU"/>
        </w:rPr>
        <w:t xml:space="preserve"> субвенций из бюджета Верхнеуслонского муниципального района Республики Татарстан бюджетам городских и сельских поселений на реализацию полномочий по осуществлению первичного воинского учета на территориях, на которых отсутствуют военные комиссариаты</w:t>
      </w:r>
      <w:r w:rsidRPr="006D7AB4">
        <w:rPr>
          <w:rFonts w:ascii="Times New Roman" w:eastAsia="Times New Roman" w:hAnsi="Times New Roman" w:cs="Times New Roman"/>
          <w:bCs/>
          <w:sz w:val="28"/>
          <w:szCs w:val="28"/>
          <w:lang w:eastAsia="ru-RU"/>
        </w:rPr>
        <w:t>.</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2. Положения настоящего Решения применяются к правоотношениям, возникающим при составлении, утверждении и исполнении бюджетов, начиная с бюджетов на 2020 год и на плановый период 2021 и 2022 годов.</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3. </w:t>
      </w:r>
      <w:proofErr w:type="gramStart"/>
      <w:r w:rsidRPr="006D7AB4">
        <w:rPr>
          <w:rFonts w:ascii="Times New Roman" w:eastAsia="Calibri" w:hAnsi="Times New Roman" w:cs="Times New Roman"/>
          <w:sz w:val="28"/>
          <w:szCs w:val="28"/>
        </w:rPr>
        <w:t>Разместить</w:t>
      </w:r>
      <w:proofErr w:type="gramEnd"/>
      <w:r w:rsidRPr="006D7AB4">
        <w:rPr>
          <w:rFonts w:ascii="Times New Roman" w:eastAsia="Calibri" w:hAnsi="Times New Roman" w:cs="Times New Roman"/>
          <w:sz w:val="28"/>
          <w:szCs w:val="28"/>
        </w:rPr>
        <w:t xml:space="preserve"> настоящее решение на официальном портале правовой информации Республики Татарстан и на официальном сайте Верхнеуслонского муниципального района.</w:t>
      </w:r>
    </w:p>
    <w:p w:rsidR="006D7AB4" w:rsidRPr="006D7AB4" w:rsidRDefault="006D7AB4" w:rsidP="006D7AB4">
      <w:pPr>
        <w:widowControl w:val="0"/>
        <w:spacing w:after="0" w:line="240" w:lineRule="auto"/>
        <w:ind w:firstLine="708"/>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4. </w:t>
      </w:r>
      <w:proofErr w:type="gramStart"/>
      <w:r w:rsidRPr="006D7AB4">
        <w:rPr>
          <w:rFonts w:ascii="Times New Roman" w:eastAsia="Calibri" w:hAnsi="Times New Roman" w:cs="Times New Roman"/>
          <w:sz w:val="28"/>
          <w:szCs w:val="28"/>
        </w:rPr>
        <w:t>Контроль за</w:t>
      </w:r>
      <w:proofErr w:type="gramEnd"/>
      <w:r w:rsidRPr="006D7AB4">
        <w:rPr>
          <w:rFonts w:ascii="Times New Roman" w:eastAsia="Calibri" w:hAnsi="Times New Roman" w:cs="Times New Roman"/>
          <w:sz w:val="28"/>
          <w:szCs w:val="28"/>
        </w:rPr>
        <w:t xml:space="preserve"> исполнением настоящего решения возложить на постоянную комиссию Совета Верхнеуслонского муниципального района по бюджетно-финансовым вопросам.</w:t>
      </w:r>
    </w:p>
    <w:p w:rsidR="006D7AB4" w:rsidRPr="006D7AB4" w:rsidRDefault="006D7AB4" w:rsidP="006D7AB4">
      <w:pPr>
        <w:ind w:left="510"/>
        <w:contextualSpacing/>
        <w:rPr>
          <w:rFonts w:ascii="Times New Roman" w:eastAsia="Calibri" w:hAnsi="Times New Roman" w:cs="Times New Roman"/>
          <w:b/>
          <w:sz w:val="28"/>
          <w:szCs w:val="28"/>
        </w:rPr>
      </w:pPr>
    </w:p>
    <w:p w:rsidR="006D7AB4" w:rsidRPr="006D7AB4" w:rsidRDefault="006D7AB4" w:rsidP="006D7AB4">
      <w:pPr>
        <w:ind w:left="510"/>
        <w:contextualSpacing/>
        <w:rPr>
          <w:rFonts w:ascii="Times New Roman" w:eastAsia="Calibri" w:hAnsi="Times New Roman" w:cs="Times New Roman"/>
          <w:b/>
          <w:sz w:val="28"/>
          <w:szCs w:val="28"/>
        </w:rPr>
      </w:pPr>
    </w:p>
    <w:p w:rsidR="006D7AB4" w:rsidRPr="006D7AB4" w:rsidRDefault="006D7AB4" w:rsidP="006D7AB4">
      <w:pPr>
        <w:ind w:left="510"/>
        <w:contextualSpacing/>
        <w:rPr>
          <w:rFonts w:ascii="Times New Roman" w:eastAsia="Calibri" w:hAnsi="Times New Roman" w:cs="Times New Roman"/>
          <w:b/>
          <w:sz w:val="28"/>
          <w:szCs w:val="28"/>
        </w:rPr>
      </w:pPr>
    </w:p>
    <w:p w:rsidR="006D7AB4" w:rsidRPr="006D7AB4" w:rsidRDefault="006D7AB4" w:rsidP="006D7AB4">
      <w:pPr>
        <w:spacing w:line="240" w:lineRule="auto"/>
        <w:ind w:left="510"/>
        <w:contextualSpacing/>
        <w:rPr>
          <w:rFonts w:ascii="Times New Roman" w:eastAsia="Calibri" w:hAnsi="Times New Roman" w:cs="Times New Roman"/>
          <w:b/>
          <w:sz w:val="28"/>
          <w:szCs w:val="28"/>
        </w:rPr>
      </w:pPr>
      <w:r w:rsidRPr="006D7AB4">
        <w:rPr>
          <w:rFonts w:ascii="Times New Roman" w:eastAsia="Calibri" w:hAnsi="Times New Roman" w:cs="Times New Roman"/>
          <w:b/>
          <w:sz w:val="28"/>
          <w:szCs w:val="28"/>
        </w:rPr>
        <w:t>Председатель Совета,</w:t>
      </w:r>
    </w:p>
    <w:p w:rsidR="006D7AB4" w:rsidRPr="006D7AB4" w:rsidRDefault="006D7AB4" w:rsidP="006D7AB4">
      <w:pPr>
        <w:spacing w:line="240" w:lineRule="auto"/>
        <w:ind w:left="510"/>
        <w:contextualSpacing/>
        <w:rPr>
          <w:rFonts w:ascii="Times New Roman" w:eastAsia="Calibri" w:hAnsi="Times New Roman" w:cs="Times New Roman"/>
          <w:b/>
          <w:sz w:val="28"/>
          <w:szCs w:val="28"/>
        </w:rPr>
      </w:pPr>
      <w:r w:rsidRPr="006D7AB4">
        <w:rPr>
          <w:rFonts w:ascii="Times New Roman" w:eastAsia="Calibri" w:hAnsi="Times New Roman" w:cs="Times New Roman"/>
          <w:b/>
          <w:sz w:val="28"/>
          <w:szCs w:val="28"/>
        </w:rPr>
        <w:t>Глава  Верхнеуслонского</w:t>
      </w:r>
    </w:p>
    <w:p w:rsidR="006D7AB4" w:rsidRPr="006D7AB4" w:rsidRDefault="006D7AB4" w:rsidP="006D7AB4">
      <w:pPr>
        <w:spacing w:line="240" w:lineRule="auto"/>
        <w:contextualSpacing/>
        <w:jc w:val="both"/>
        <w:rPr>
          <w:rFonts w:ascii="Times New Roman" w:eastAsia="Calibri" w:hAnsi="Times New Roman" w:cs="Times New Roman"/>
          <w:b/>
          <w:sz w:val="28"/>
          <w:szCs w:val="28"/>
        </w:rPr>
      </w:pPr>
      <w:r w:rsidRPr="006D7AB4">
        <w:rPr>
          <w:rFonts w:ascii="Times New Roman" w:eastAsia="Calibri" w:hAnsi="Times New Roman" w:cs="Times New Roman"/>
          <w:b/>
          <w:sz w:val="28"/>
          <w:szCs w:val="28"/>
        </w:rPr>
        <w:t xml:space="preserve">       муниципального  района</w:t>
      </w:r>
      <w:r w:rsidRPr="006D7AB4">
        <w:rPr>
          <w:rFonts w:ascii="Times New Roman" w:eastAsia="Calibri" w:hAnsi="Times New Roman" w:cs="Times New Roman"/>
          <w:b/>
          <w:sz w:val="28"/>
          <w:szCs w:val="28"/>
        </w:rPr>
        <w:tab/>
      </w:r>
      <w:r w:rsidRPr="006D7AB4">
        <w:rPr>
          <w:rFonts w:ascii="Times New Roman" w:eastAsia="Calibri" w:hAnsi="Times New Roman" w:cs="Times New Roman"/>
          <w:b/>
          <w:sz w:val="28"/>
          <w:szCs w:val="28"/>
        </w:rPr>
        <w:tab/>
        <w:t xml:space="preserve">                                 М.Г. </w:t>
      </w:r>
      <w:proofErr w:type="spellStart"/>
      <w:r w:rsidRPr="006D7AB4">
        <w:rPr>
          <w:rFonts w:ascii="Times New Roman" w:eastAsia="Calibri" w:hAnsi="Times New Roman" w:cs="Times New Roman"/>
          <w:b/>
          <w:sz w:val="28"/>
          <w:szCs w:val="28"/>
        </w:rPr>
        <w:t>Зиатдинов</w:t>
      </w:r>
      <w:proofErr w:type="spellEnd"/>
    </w:p>
    <w:p w:rsidR="006D7AB4" w:rsidRPr="006D7AB4" w:rsidRDefault="006D7AB4" w:rsidP="006D7AB4">
      <w:pPr>
        <w:spacing w:line="240" w:lineRule="auto"/>
        <w:contextualSpacing/>
        <w:jc w:val="both"/>
        <w:rPr>
          <w:rFonts w:ascii="Times New Roman" w:eastAsia="Calibri" w:hAnsi="Times New Roman" w:cs="Times New Roman"/>
          <w:b/>
          <w:sz w:val="28"/>
          <w:szCs w:val="28"/>
        </w:rPr>
      </w:pPr>
    </w:p>
    <w:p w:rsidR="006D7AB4" w:rsidRPr="006D7AB4" w:rsidRDefault="006D7AB4" w:rsidP="006D7AB4">
      <w:pPr>
        <w:spacing w:line="240" w:lineRule="auto"/>
        <w:contextualSpacing/>
        <w:jc w:val="both"/>
        <w:rPr>
          <w:rFonts w:ascii="Times New Roman" w:eastAsia="Calibri" w:hAnsi="Times New Roman" w:cs="Times New Roman"/>
          <w:b/>
          <w:sz w:val="28"/>
          <w:szCs w:val="28"/>
        </w:rPr>
      </w:pPr>
    </w:p>
    <w:p w:rsidR="006D7AB4" w:rsidRPr="006D7AB4" w:rsidRDefault="006D7AB4" w:rsidP="006D7AB4">
      <w:pPr>
        <w:spacing w:line="240" w:lineRule="auto"/>
        <w:contextualSpacing/>
        <w:jc w:val="both"/>
        <w:rPr>
          <w:rFonts w:ascii="Times New Roman" w:eastAsia="Calibri" w:hAnsi="Times New Roman" w:cs="Times New Roman"/>
          <w:b/>
          <w:sz w:val="28"/>
          <w:szCs w:val="28"/>
        </w:rPr>
      </w:pPr>
    </w:p>
    <w:p w:rsidR="006D7AB4" w:rsidRPr="006D7AB4" w:rsidRDefault="006D7AB4" w:rsidP="006D7AB4">
      <w:pPr>
        <w:spacing w:after="0" w:line="240" w:lineRule="auto"/>
        <w:ind w:left="5670" w:right="255"/>
        <w:rPr>
          <w:rFonts w:ascii="Times New Roman" w:eastAsia="Times New Roman" w:hAnsi="Times New Roman" w:cs="Times New Roman"/>
          <w:sz w:val="24"/>
          <w:szCs w:val="24"/>
          <w:lang w:eastAsia="ru-RU"/>
        </w:rPr>
      </w:pPr>
      <w:r w:rsidRPr="006D7AB4">
        <w:rPr>
          <w:rFonts w:ascii="Times New Roman" w:eastAsia="Times New Roman" w:hAnsi="Times New Roman" w:cs="Times New Roman"/>
          <w:sz w:val="24"/>
          <w:szCs w:val="24"/>
          <w:lang w:eastAsia="ru-RU"/>
        </w:rPr>
        <w:t xml:space="preserve">Приложение № 1 </w:t>
      </w:r>
    </w:p>
    <w:p w:rsidR="006D7AB4" w:rsidRPr="006D7AB4" w:rsidRDefault="006D7AB4" w:rsidP="006D7AB4">
      <w:pPr>
        <w:spacing w:after="0" w:line="240" w:lineRule="auto"/>
        <w:ind w:left="5670" w:right="255"/>
        <w:rPr>
          <w:rFonts w:ascii="Times New Roman" w:eastAsia="Times New Roman" w:hAnsi="Times New Roman" w:cs="Times New Roman"/>
          <w:sz w:val="24"/>
          <w:szCs w:val="24"/>
          <w:lang w:eastAsia="ru-RU"/>
        </w:rPr>
      </w:pPr>
      <w:r w:rsidRPr="006D7AB4">
        <w:rPr>
          <w:rFonts w:ascii="Times New Roman" w:eastAsia="Times New Roman" w:hAnsi="Times New Roman" w:cs="Times New Roman"/>
          <w:sz w:val="24"/>
          <w:szCs w:val="24"/>
          <w:lang w:eastAsia="ru-RU"/>
        </w:rPr>
        <w:t>к решению Совета Верхнеуслонского</w:t>
      </w:r>
    </w:p>
    <w:p w:rsidR="006D7AB4" w:rsidRPr="006D7AB4" w:rsidRDefault="006D7AB4" w:rsidP="006D7AB4">
      <w:pPr>
        <w:spacing w:after="0" w:line="240" w:lineRule="auto"/>
        <w:ind w:left="5670" w:right="255"/>
        <w:rPr>
          <w:rFonts w:ascii="Times New Roman" w:eastAsia="Times New Roman" w:hAnsi="Times New Roman" w:cs="Times New Roman"/>
          <w:sz w:val="24"/>
          <w:szCs w:val="24"/>
          <w:lang w:eastAsia="ru-RU"/>
        </w:rPr>
      </w:pPr>
      <w:r w:rsidRPr="006D7AB4">
        <w:rPr>
          <w:rFonts w:ascii="Times New Roman" w:eastAsia="Times New Roman" w:hAnsi="Times New Roman" w:cs="Times New Roman"/>
          <w:sz w:val="24"/>
          <w:szCs w:val="24"/>
          <w:lang w:eastAsia="ru-RU"/>
        </w:rPr>
        <w:t>муниципального района</w:t>
      </w:r>
    </w:p>
    <w:p w:rsidR="006D7AB4" w:rsidRPr="006D7AB4" w:rsidRDefault="006D7AB4" w:rsidP="006D7AB4">
      <w:pPr>
        <w:spacing w:after="0" w:line="240" w:lineRule="auto"/>
        <w:ind w:left="5670" w:right="255"/>
        <w:rPr>
          <w:rFonts w:ascii="Times New Roman" w:eastAsia="Times New Roman" w:hAnsi="Times New Roman" w:cs="Times New Roman"/>
          <w:sz w:val="24"/>
          <w:szCs w:val="24"/>
          <w:lang w:eastAsia="ru-RU"/>
        </w:rPr>
      </w:pPr>
      <w:r w:rsidRPr="006D7AB4">
        <w:rPr>
          <w:rFonts w:ascii="Times New Roman" w:eastAsia="Times New Roman" w:hAnsi="Times New Roman" w:cs="Times New Roman"/>
          <w:sz w:val="24"/>
          <w:szCs w:val="24"/>
          <w:lang w:eastAsia="ru-RU"/>
        </w:rPr>
        <w:t>Республики Татарстан</w:t>
      </w:r>
    </w:p>
    <w:p w:rsidR="006D7AB4" w:rsidRDefault="006D7AB4" w:rsidP="006D7AB4">
      <w:pPr>
        <w:spacing w:after="0" w:line="240" w:lineRule="auto"/>
        <w:ind w:left="5670" w:right="255"/>
        <w:rPr>
          <w:rFonts w:ascii="Times New Roman" w:eastAsia="Times New Roman" w:hAnsi="Times New Roman" w:cs="Times New Roman"/>
          <w:sz w:val="24"/>
          <w:szCs w:val="24"/>
          <w:lang w:eastAsia="ru-RU"/>
        </w:rPr>
      </w:pPr>
      <w:r w:rsidRPr="006D7AB4">
        <w:rPr>
          <w:rFonts w:ascii="Times New Roman" w:eastAsia="Times New Roman" w:hAnsi="Times New Roman" w:cs="Times New Roman"/>
          <w:sz w:val="24"/>
          <w:szCs w:val="24"/>
          <w:lang w:eastAsia="ru-RU"/>
        </w:rPr>
        <w:t>О</w:t>
      </w:r>
      <w:r w:rsidRPr="006D7AB4">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 xml:space="preserve"> </w:t>
      </w:r>
      <w:bookmarkStart w:id="0" w:name="_GoBack"/>
      <w:bookmarkEnd w:id="0"/>
      <w:r w:rsidRPr="006D7AB4">
        <w:rPr>
          <w:rFonts w:ascii="Times New Roman" w:eastAsia="Times New Roman" w:hAnsi="Times New Roman" w:cs="Times New Roman"/>
          <w:sz w:val="24"/>
          <w:szCs w:val="24"/>
          <w:lang w:eastAsia="ru-RU"/>
        </w:rPr>
        <w:t xml:space="preserve">13.12.2019 года </w:t>
      </w:r>
    </w:p>
    <w:p w:rsidR="006D7AB4" w:rsidRPr="006D7AB4" w:rsidRDefault="006D7AB4" w:rsidP="006D7AB4">
      <w:pPr>
        <w:spacing w:after="0" w:line="240" w:lineRule="auto"/>
        <w:ind w:left="5670" w:right="255"/>
        <w:rPr>
          <w:rFonts w:ascii="Times New Roman" w:eastAsia="Times New Roman" w:hAnsi="Times New Roman" w:cs="Times New Roman"/>
          <w:sz w:val="24"/>
          <w:szCs w:val="24"/>
          <w:lang w:eastAsia="ru-RU"/>
        </w:rPr>
      </w:pPr>
      <w:r w:rsidRPr="006D7AB4">
        <w:rPr>
          <w:rFonts w:ascii="Times New Roman" w:eastAsia="Times New Roman" w:hAnsi="Times New Roman" w:cs="Times New Roman"/>
          <w:sz w:val="24"/>
          <w:szCs w:val="24"/>
          <w:lang w:eastAsia="ru-RU"/>
        </w:rPr>
        <w:t>№ 52-</w:t>
      </w:r>
      <w:r>
        <w:rPr>
          <w:rFonts w:ascii="Times New Roman" w:eastAsia="Times New Roman" w:hAnsi="Times New Roman" w:cs="Times New Roman"/>
          <w:sz w:val="24"/>
          <w:szCs w:val="24"/>
          <w:lang w:eastAsia="ru-RU"/>
        </w:rPr>
        <w:t>599</w:t>
      </w:r>
    </w:p>
    <w:p w:rsidR="006D7AB4" w:rsidRPr="006D7AB4" w:rsidRDefault="006D7AB4" w:rsidP="006D7AB4">
      <w:pPr>
        <w:spacing w:after="0" w:line="240" w:lineRule="auto"/>
        <w:ind w:right="255"/>
        <w:jc w:val="center"/>
        <w:rPr>
          <w:rFonts w:ascii="Times New Roman" w:eastAsia="Times New Roman" w:hAnsi="Times New Roman" w:cs="Times New Roman"/>
          <w:sz w:val="28"/>
          <w:szCs w:val="28"/>
          <w:lang w:eastAsia="ru-RU"/>
        </w:rPr>
      </w:pPr>
    </w:p>
    <w:p w:rsidR="006D7AB4" w:rsidRPr="006D7AB4" w:rsidRDefault="006D7AB4" w:rsidP="006D7AB4">
      <w:pPr>
        <w:spacing w:after="0" w:line="240" w:lineRule="auto"/>
        <w:ind w:right="255"/>
        <w:jc w:val="center"/>
        <w:rPr>
          <w:rFonts w:ascii="Times New Roman" w:eastAsia="Times New Roman" w:hAnsi="Times New Roman" w:cs="Times New Roman"/>
          <w:sz w:val="28"/>
          <w:szCs w:val="28"/>
          <w:lang w:eastAsia="ru-RU"/>
        </w:rPr>
      </w:pPr>
    </w:p>
    <w:p w:rsidR="006D7AB4" w:rsidRPr="006D7AB4" w:rsidRDefault="006D7AB4" w:rsidP="006D7AB4">
      <w:pPr>
        <w:spacing w:after="0" w:line="240" w:lineRule="auto"/>
        <w:ind w:right="255"/>
        <w:jc w:val="center"/>
        <w:rPr>
          <w:rFonts w:ascii="Times New Roman" w:eastAsia="Times New Roman" w:hAnsi="Times New Roman" w:cs="Times New Roman"/>
          <w:b/>
          <w:sz w:val="28"/>
          <w:szCs w:val="28"/>
          <w:lang w:eastAsia="ru-RU"/>
        </w:rPr>
      </w:pPr>
      <w:r w:rsidRPr="006D7AB4">
        <w:rPr>
          <w:rFonts w:ascii="Times New Roman" w:eastAsia="Times New Roman" w:hAnsi="Times New Roman" w:cs="Times New Roman"/>
          <w:b/>
          <w:sz w:val="28"/>
          <w:szCs w:val="28"/>
          <w:lang w:eastAsia="ru-RU"/>
        </w:rPr>
        <w:t xml:space="preserve">Правила </w:t>
      </w:r>
    </w:p>
    <w:p w:rsidR="006D7AB4" w:rsidRPr="006D7AB4" w:rsidRDefault="006D7AB4" w:rsidP="006D7AB4">
      <w:pPr>
        <w:spacing w:after="0" w:line="240" w:lineRule="auto"/>
        <w:ind w:right="255"/>
        <w:jc w:val="center"/>
        <w:rPr>
          <w:rFonts w:ascii="Times New Roman" w:eastAsia="Times New Roman" w:hAnsi="Times New Roman" w:cs="Times New Roman"/>
          <w:b/>
          <w:bCs/>
          <w:sz w:val="28"/>
          <w:szCs w:val="28"/>
          <w:lang w:eastAsia="ru-RU"/>
        </w:rPr>
      </w:pPr>
      <w:r w:rsidRPr="006D7AB4">
        <w:rPr>
          <w:rFonts w:ascii="Times New Roman" w:eastAsia="Times New Roman" w:hAnsi="Times New Roman" w:cs="Times New Roman"/>
          <w:b/>
          <w:sz w:val="28"/>
          <w:szCs w:val="28"/>
          <w:lang w:eastAsia="ru-RU"/>
        </w:rPr>
        <w:t>предоставления субвенций из бюджета Верхнеуслонского муниципального района Республики Татарстан бюджетам городских и сельских поселений на реализацию полномочий по осуществлению первичного воинского учета на территориях, на которых отсутствуют военные комиссариаты</w:t>
      </w:r>
    </w:p>
    <w:p w:rsidR="006D7AB4" w:rsidRPr="006D7AB4" w:rsidRDefault="006D7AB4" w:rsidP="006D7AB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p>
    <w:p w:rsidR="006D7AB4" w:rsidRPr="006D7AB4" w:rsidRDefault="006D7AB4" w:rsidP="006D7AB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6D7AB4">
        <w:rPr>
          <w:rFonts w:ascii="Times New Roman" w:eastAsia="Times New Roman" w:hAnsi="Times New Roman" w:cs="Times New Roman"/>
          <w:sz w:val="28"/>
          <w:szCs w:val="28"/>
          <w:lang w:eastAsia="ru-RU"/>
        </w:rPr>
        <w:t>1. Настоящие Правила устанавливают цели, порядок и условия предоставления субвенций    на реализацию полномочий по осуществлению первичного воинского учета на территориях, на которых отсутствуют военные комиссариаты  из бюджета Верхнеуслонского</w:t>
      </w:r>
      <w:r w:rsidRPr="006D7AB4">
        <w:rPr>
          <w:rFonts w:ascii="Times New Roman" w:eastAsia="Times New Roman" w:hAnsi="Times New Roman" w:cs="Times New Roman"/>
          <w:b/>
          <w:sz w:val="28"/>
          <w:szCs w:val="28"/>
          <w:lang w:eastAsia="ru-RU"/>
        </w:rPr>
        <w:t xml:space="preserve"> </w:t>
      </w:r>
      <w:r w:rsidRPr="006D7AB4">
        <w:rPr>
          <w:rFonts w:ascii="Times New Roman" w:eastAsia="Times New Roman" w:hAnsi="Times New Roman" w:cs="Times New Roman"/>
          <w:sz w:val="28"/>
          <w:szCs w:val="28"/>
          <w:lang w:eastAsia="ru-RU"/>
        </w:rPr>
        <w:t>муниципального района Республики Татарстан бюджетам городских и сельских поселений Верхнеуслонского муниципального района Республики Татарстан (далее – субвенции, поселения).</w:t>
      </w:r>
    </w:p>
    <w:p w:rsidR="006D7AB4" w:rsidRPr="006D7AB4" w:rsidRDefault="006D7AB4" w:rsidP="006D7AB4">
      <w:pPr>
        <w:spacing w:after="0" w:line="240" w:lineRule="auto"/>
        <w:ind w:firstLine="540"/>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2. Субвенции предоставляются бюджетам поселений в целях реализации полномочий по осуществлению первичного воинского учета на территориях, на которых отсутствуют военные комиссариаты. </w:t>
      </w:r>
    </w:p>
    <w:p w:rsidR="006D7AB4" w:rsidRPr="006D7AB4" w:rsidRDefault="006D7AB4" w:rsidP="006D7AB4">
      <w:pPr>
        <w:spacing w:after="0" w:line="240" w:lineRule="auto"/>
        <w:ind w:firstLine="540"/>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3. Источником финансового обеспечения расходов на предоставление субвенций бюджетам поселений является субвенция из федерального бюджета на осуществление полномочий по первичному воинскому учету на территориях, где отсутствуют военные комиссариаты,  предоставляемая из бюджета Республики Татарстан бюджету Верхнеуслонского</w:t>
      </w:r>
      <w:r w:rsidRPr="006D7AB4">
        <w:rPr>
          <w:rFonts w:ascii="Times New Roman" w:eastAsia="Calibri" w:hAnsi="Times New Roman" w:cs="Times New Roman"/>
          <w:b/>
          <w:sz w:val="28"/>
          <w:szCs w:val="28"/>
        </w:rPr>
        <w:t xml:space="preserve"> </w:t>
      </w:r>
      <w:r w:rsidRPr="006D7AB4">
        <w:rPr>
          <w:rFonts w:ascii="Times New Roman" w:eastAsia="Calibri" w:hAnsi="Times New Roman" w:cs="Times New Roman"/>
          <w:sz w:val="28"/>
          <w:szCs w:val="28"/>
        </w:rPr>
        <w:t xml:space="preserve">муниципального района Республики Татарстан. </w:t>
      </w:r>
    </w:p>
    <w:p w:rsidR="006D7AB4" w:rsidRPr="006D7AB4" w:rsidRDefault="006D7AB4" w:rsidP="006D7AB4">
      <w:pPr>
        <w:spacing w:after="0" w:line="240" w:lineRule="auto"/>
        <w:ind w:firstLine="540"/>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4. Главным распорядителем бюджетных средств, предоставляемых в </w:t>
      </w:r>
      <w:proofErr w:type="gramStart"/>
      <w:r w:rsidRPr="006D7AB4">
        <w:rPr>
          <w:rFonts w:ascii="Times New Roman" w:eastAsia="Calibri" w:hAnsi="Times New Roman" w:cs="Times New Roman"/>
          <w:sz w:val="28"/>
          <w:szCs w:val="28"/>
        </w:rPr>
        <w:t>соответствии</w:t>
      </w:r>
      <w:proofErr w:type="gramEnd"/>
      <w:r w:rsidRPr="006D7AB4">
        <w:rPr>
          <w:rFonts w:ascii="Times New Roman" w:eastAsia="Calibri" w:hAnsi="Times New Roman" w:cs="Times New Roman"/>
          <w:sz w:val="28"/>
          <w:szCs w:val="28"/>
        </w:rPr>
        <w:t xml:space="preserve"> с настоящими Правилами, является Финансово-бюджетная Палата Верхнеуслонского муниципального района Республики Татарстан (далее – Палата).</w:t>
      </w:r>
    </w:p>
    <w:p w:rsidR="006D7AB4" w:rsidRPr="006D7AB4" w:rsidRDefault="006D7AB4" w:rsidP="006D7AB4">
      <w:pPr>
        <w:spacing w:after="0" w:line="240" w:lineRule="auto"/>
        <w:ind w:firstLine="540"/>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5. </w:t>
      </w:r>
      <w:proofErr w:type="gramStart"/>
      <w:r w:rsidRPr="006D7AB4">
        <w:rPr>
          <w:rFonts w:ascii="Times New Roman" w:eastAsia="Calibri" w:hAnsi="Times New Roman" w:cs="Times New Roman"/>
          <w:sz w:val="28"/>
          <w:szCs w:val="28"/>
        </w:rPr>
        <w:t>Размер субвенции бюджету поселения определяется в соответствии с Методикой определения размера субвенции из бюджета муниципального района бюджету поселения на реализацию полномочий по осуществлению первичного воинского учета на территориях, на которых отсутствуют военные комиссариаты, согласно  приложению 1 к Закону от 11 декабря 2006 года №78-ЗРТ «О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расчету</w:t>
      </w:r>
      <w:proofErr w:type="gramEnd"/>
      <w:r w:rsidRPr="006D7AB4">
        <w:rPr>
          <w:rFonts w:ascii="Times New Roman" w:eastAsia="Calibri" w:hAnsi="Times New Roman" w:cs="Times New Roman"/>
          <w:sz w:val="28"/>
          <w:szCs w:val="28"/>
        </w:rPr>
        <w:t xml:space="preserve"> и предоставлению субвенций бюджетам поселений, входящих в состав </w:t>
      </w:r>
      <w:r w:rsidRPr="006D7AB4">
        <w:rPr>
          <w:rFonts w:ascii="Times New Roman" w:eastAsia="Calibri" w:hAnsi="Times New Roman" w:cs="Times New Roman"/>
          <w:sz w:val="28"/>
          <w:szCs w:val="28"/>
        </w:rPr>
        <w:lastRenderedPageBreak/>
        <w:t>муниципального района на реализацию полномочий по осуществлению первичного воинского учета на территориях, на которых отсутствуют военные комиссариаты»;</w:t>
      </w:r>
    </w:p>
    <w:p w:rsidR="006D7AB4" w:rsidRPr="006D7AB4" w:rsidRDefault="006D7AB4" w:rsidP="006D7AB4">
      <w:pPr>
        <w:spacing w:after="0" w:line="240" w:lineRule="auto"/>
        <w:ind w:firstLine="540"/>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6. Распределение субвенций бюджетам поселений, входящих в состав муниципального района, утверждается решением Совета Верхнеуслонского муниципального района Республики Татарстан о бюджете муниципального района на соответствующий финансовый год и плановый период.</w:t>
      </w:r>
    </w:p>
    <w:p w:rsidR="006D7AB4" w:rsidRPr="006D7AB4" w:rsidRDefault="006D7AB4" w:rsidP="006D7AB4">
      <w:pPr>
        <w:spacing w:after="0" w:line="240" w:lineRule="auto"/>
        <w:ind w:firstLine="567"/>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7. Субвенции предоставляются бюджетам поселений в пределах бюджетных ассигнований, предусмотренных в бюджете Верхнеуслонского муниципального района Республики Татарстан на соответствующий финансовый год и на плановый период, и лимитов бюджетных обязательств, доведенных в установленном порядке Палате на цели, предусмотренные пунктом 2 настоящих Правил.</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8. Субвенции предоставляются бюджетам поселений на осуществление следующих расходов:</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оплата труда военно-учетных работников, включая соответствующие начисления на фонд оплаты труда;</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оплата аренды помещений;</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оплата услуг связи;</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оплата транспортных услуг;</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командировочные расходы;</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оплата коммунальных услуг;</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обеспечение мебелью, инвентарем, оргтехникой, средствами связи, расходными материалами.</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9. Расходование субвенций осуществляется через лицевые счета территориальных органов Управления Федерального казначейства по Республике Татарстан (далее – Казначейство), открытые для кассового обслуживания исполнения бюджетов поселений. </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10. Палата в течение семи рабочих дней после получения из Казначейства расходного расписания на доведение предельных объемов финансирования представляет в Казначейство заявку на кассовый расход для перечисления субвенций бюджетам поселений за счет средств субвенций.</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11. </w:t>
      </w:r>
      <w:proofErr w:type="gramStart"/>
      <w:r w:rsidRPr="006D7AB4">
        <w:rPr>
          <w:rFonts w:ascii="Times New Roman" w:eastAsia="Calibri" w:hAnsi="Times New Roman" w:cs="Times New Roman"/>
          <w:sz w:val="28"/>
          <w:szCs w:val="28"/>
        </w:rPr>
        <w:t>Органы местного самоуправления поселений  ежеквартально, не позднее 5-го числа месяца, следующего за отчетным периодом, представляют в Палату отчет о расходах бюджетов поселений, связанных с реализацией полномочий по осуществлению первичного воинского учета на территориях, на которых отсутствуют военные комиссариаты, источником финансового обеспечения которых является субвенция, по форме, установленной Министерством финансов Российской Федерации по согласованию с Министерством обороны Российской Федерации.</w:t>
      </w:r>
      <w:proofErr w:type="gramEnd"/>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12. Ответственность за достоверность представляемых Палате сведений возлагается на органы местного самоуправления поселений.</w:t>
      </w:r>
    </w:p>
    <w:p w:rsidR="006D7AB4" w:rsidRPr="006D7AB4" w:rsidRDefault="006D7AB4" w:rsidP="006D7AB4">
      <w:pPr>
        <w:spacing w:after="0" w:line="240" w:lineRule="auto"/>
        <w:ind w:firstLine="709"/>
        <w:contextualSpacing/>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13.  В </w:t>
      </w:r>
      <w:proofErr w:type="gramStart"/>
      <w:r w:rsidRPr="006D7AB4">
        <w:rPr>
          <w:rFonts w:ascii="Times New Roman" w:eastAsia="Calibri" w:hAnsi="Times New Roman" w:cs="Times New Roman"/>
          <w:sz w:val="28"/>
          <w:szCs w:val="28"/>
        </w:rPr>
        <w:t>случае</w:t>
      </w:r>
      <w:proofErr w:type="gramEnd"/>
      <w:r w:rsidRPr="006D7AB4">
        <w:rPr>
          <w:rFonts w:ascii="Times New Roman" w:eastAsia="Calibri" w:hAnsi="Times New Roman" w:cs="Times New Roman"/>
          <w:sz w:val="28"/>
          <w:szCs w:val="28"/>
        </w:rPr>
        <w:t xml:space="preserve"> нарушения условий предоставления субвенций соответствующие средства подлежат перечислению в доход бюджета </w:t>
      </w:r>
      <w:r w:rsidRPr="006D7AB4">
        <w:rPr>
          <w:rFonts w:ascii="Times New Roman" w:eastAsia="Calibri" w:hAnsi="Times New Roman" w:cs="Times New Roman"/>
          <w:sz w:val="28"/>
          <w:szCs w:val="28"/>
        </w:rPr>
        <w:lastRenderedPageBreak/>
        <w:t>муниципального района в порядке, установленном бюджетным законодательством Российской Федерации.</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14. Остаток субвенций, не использованный по состоянию на 1 января года, следующего за годом предоставления субвенций, подлежит возврату в доход бюджета муниципального района в соответствии с требованиями, установленными Бюджетным </w:t>
      </w:r>
      <w:hyperlink r:id="rId6" w:history="1">
        <w:r w:rsidRPr="006D7AB4">
          <w:rPr>
            <w:rFonts w:ascii="Times New Roman" w:eastAsia="Calibri" w:hAnsi="Times New Roman" w:cs="Times New Roman"/>
            <w:sz w:val="28"/>
            <w:szCs w:val="28"/>
          </w:rPr>
          <w:t>кодексом</w:t>
        </w:r>
      </w:hyperlink>
      <w:r w:rsidRPr="006D7AB4">
        <w:rPr>
          <w:rFonts w:ascii="Times New Roman" w:eastAsia="Calibri" w:hAnsi="Times New Roman" w:cs="Times New Roman"/>
          <w:sz w:val="28"/>
          <w:szCs w:val="28"/>
        </w:rPr>
        <w:t xml:space="preserve"> Российской Федерации.</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15. Субвенции носят целевой характер и не могут быть использованы на иные цели, кроме указанных в </w:t>
      </w:r>
      <w:hyperlink r:id="rId7" w:history="1">
        <w:r w:rsidRPr="006D7AB4">
          <w:rPr>
            <w:rFonts w:ascii="Times New Roman" w:eastAsia="Calibri" w:hAnsi="Times New Roman" w:cs="Times New Roman"/>
            <w:sz w:val="28"/>
            <w:szCs w:val="28"/>
          </w:rPr>
          <w:t xml:space="preserve">пункте </w:t>
        </w:r>
      </w:hyperlink>
      <w:r w:rsidRPr="006D7AB4">
        <w:rPr>
          <w:rFonts w:ascii="Times New Roman" w:eastAsia="Calibri" w:hAnsi="Times New Roman" w:cs="Times New Roman"/>
          <w:sz w:val="28"/>
          <w:szCs w:val="28"/>
        </w:rPr>
        <w:t>2 настоящих Правил.</w:t>
      </w:r>
    </w:p>
    <w:p w:rsidR="006D7AB4" w:rsidRPr="006D7AB4" w:rsidRDefault="006D7AB4" w:rsidP="006D7AB4">
      <w:pPr>
        <w:spacing w:after="0" w:line="240" w:lineRule="auto"/>
        <w:ind w:firstLine="709"/>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16. Контроль за целевым использованием субвенций осуществляют в </w:t>
      </w:r>
      <w:proofErr w:type="gramStart"/>
      <w:r w:rsidRPr="006D7AB4">
        <w:rPr>
          <w:rFonts w:ascii="Times New Roman" w:eastAsia="Calibri" w:hAnsi="Times New Roman" w:cs="Times New Roman"/>
          <w:sz w:val="28"/>
          <w:szCs w:val="28"/>
        </w:rPr>
        <w:t>соответствии</w:t>
      </w:r>
      <w:proofErr w:type="gramEnd"/>
      <w:r w:rsidRPr="006D7AB4">
        <w:rPr>
          <w:rFonts w:ascii="Times New Roman" w:eastAsia="Calibri" w:hAnsi="Times New Roman" w:cs="Times New Roman"/>
          <w:sz w:val="28"/>
          <w:szCs w:val="28"/>
        </w:rPr>
        <w:t xml:space="preserve"> с законодательством Контрольно-счетная Палата Верхнеуслонского муниципального района Республики Татарстан и Финансово-бюджетная Палата Верхнеуслонского муниципального района Республики Татарстан.</w:t>
      </w:r>
    </w:p>
    <w:p w:rsidR="006D7AB4" w:rsidRPr="006D7AB4" w:rsidRDefault="006D7AB4" w:rsidP="006D7AB4">
      <w:pPr>
        <w:spacing w:after="0" w:line="240" w:lineRule="auto"/>
        <w:contextualSpacing/>
        <w:jc w:val="both"/>
        <w:rPr>
          <w:rFonts w:ascii="Times New Roman" w:eastAsia="Calibri" w:hAnsi="Times New Roman" w:cs="Times New Roman"/>
          <w:sz w:val="28"/>
          <w:szCs w:val="28"/>
        </w:rPr>
      </w:pPr>
    </w:p>
    <w:p w:rsidR="006D7AB4" w:rsidRPr="006D7AB4" w:rsidRDefault="006D7AB4" w:rsidP="006D7AB4">
      <w:pPr>
        <w:widowControl w:val="0"/>
        <w:spacing w:after="0" w:line="240" w:lineRule="auto"/>
        <w:jc w:val="both"/>
        <w:rPr>
          <w:rFonts w:ascii="Times New Roman" w:eastAsia="Calibri" w:hAnsi="Times New Roman" w:cs="Times New Roman"/>
          <w:sz w:val="28"/>
          <w:szCs w:val="28"/>
        </w:rPr>
      </w:pPr>
      <w:r w:rsidRPr="006D7AB4">
        <w:rPr>
          <w:rFonts w:ascii="Times New Roman" w:eastAsia="Calibri" w:hAnsi="Times New Roman" w:cs="Times New Roman"/>
          <w:sz w:val="28"/>
          <w:szCs w:val="28"/>
        </w:rPr>
        <w:t xml:space="preserve">                                                         </w:t>
      </w:r>
    </w:p>
    <w:p w:rsidR="004D342B" w:rsidRPr="006D7AB4" w:rsidRDefault="004D342B" w:rsidP="006D7AB4">
      <w:pPr>
        <w:tabs>
          <w:tab w:val="left" w:pos="1360"/>
        </w:tabs>
      </w:pPr>
    </w:p>
    <w:sectPr w:rsidR="004D342B" w:rsidRPr="006D7A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AB4"/>
    <w:rsid w:val="004D342B"/>
    <w:rsid w:val="006D7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7A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7AB4"/>
    <w:rPr>
      <w:rFonts w:ascii="Tahoma" w:hAnsi="Tahoma" w:cs="Tahoma"/>
      <w:sz w:val="16"/>
      <w:szCs w:val="16"/>
    </w:rPr>
  </w:style>
  <w:style w:type="paragraph" w:customStyle="1" w:styleId="1">
    <w:name w:val="Ñòèëü1"/>
    <w:basedOn w:val="a"/>
    <w:link w:val="10"/>
    <w:rsid w:val="006D7AB4"/>
    <w:pPr>
      <w:spacing w:after="0" w:line="288" w:lineRule="auto"/>
    </w:pPr>
    <w:rPr>
      <w:rFonts w:ascii="Times New Roman" w:eastAsia="Times New Roman" w:hAnsi="Times New Roman" w:cs="Times New Roman"/>
      <w:sz w:val="28"/>
      <w:szCs w:val="20"/>
      <w:lang w:eastAsia="ru-RU"/>
    </w:rPr>
  </w:style>
  <w:style w:type="character" w:customStyle="1" w:styleId="10">
    <w:name w:val="Ñòèëü1 Знак"/>
    <w:link w:val="1"/>
    <w:rsid w:val="006D7AB4"/>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7A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7AB4"/>
    <w:rPr>
      <w:rFonts w:ascii="Tahoma" w:hAnsi="Tahoma" w:cs="Tahoma"/>
      <w:sz w:val="16"/>
      <w:szCs w:val="16"/>
    </w:rPr>
  </w:style>
  <w:style w:type="paragraph" w:customStyle="1" w:styleId="1">
    <w:name w:val="Ñòèëü1"/>
    <w:basedOn w:val="a"/>
    <w:link w:val="10"/>
    <w:rsid w:val="006D7AB4"/>
    <w:pPr>
      <w:spacing w:after="0" w:line="288" w:lineRule="auto"/>
    </w:pPr>
    <w:rPr>
      <w:rFonts w:ascii="Times New Roman" w:eastAsia="Times New Roman" w:hAnsi="Times New Roman" w:cs="Times New Roman"/>
      <w:sz w:val="28"/>
      <w:szCs w:val="20"/>
      <w:lang w:eastAsia="ru-RU"/>
    </w:rPr>
  </w:style>
  <w:style w:type="character" w:customStyle="1" w:styleId="10">
    <w:name w:val="Ñòèëü1 Знак"/>
    <w:link w:val="1"/>
    <w:rsid w:val="006D7AB4"/>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48FBF26DC88E0C8E379368DDF0170016AD56C234004302AEB4275B426C63838139537B4FA9611C14D6F69261D6F8E6DD6255185F56730C4F0FF37E9Z3X4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3492B8558CAD77BEF89504C37C1849AEE1AEAC02EF98439CE204ACEF1D7EAF0738B2179959CE211407EABE705BDW2R"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1065</Words>
  <Characters>6072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YuristSovet</dc:creator>
  <cp:lastModifiedBy>YuristSovet</cp:lastModifiedBy>
  <cp:revision>1</cp:revision>
  <cp:lastPrinted>2019-12-16T08:03:00Z</cp:lastPrinted>
  <dcterms:created xsi:type="dcterms:W3CDTF">2019-12-16T08:01:00Z</dcterms:created>
  <dcterms:modified xsi:type="dcterms:W3CDTF">2019-12-16T08:03:00Z</dcterms:modified>
</cp:coreProperties>
</file>