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F" w:rsidRPr="00825F1F" w:rsidRDefault="00825F1F" w:rsidP="00825F1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5F1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F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D2969" wp14:editId="0D0A5CF1">
                <wp:simplePos x="0" y="0"/>
                <wp:positionH relativeFrom="column">
                  <wp:posOffset>946785</wp:posOffset>
                </wp:positionH>
                <wp:positionV relativeFrom="paragraph">
                  <wp:posOffset>1527810</wp:posOffset>
                </wp:positionV>
                <wp:extent cx="4429125" cy="2762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6C0F" w:rsidRPr="006E6F2D" w:rsidRDefault="001B6C0F" w:rsidP="00825F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4.55pt;margin-top:120.3pt;width:348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825F1F" w:rsidRPr="006E6F2D" w:rsidRDefault="00825F1F" w:rsidP="00825F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F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19C3B14" wp14:editId="41934A94">
            <wp:extent cx="5939790" cy="2132102"/>
            <wp:effectExtent l="0" t="0" r="3810" b="0"/>
            <wp:docPr id="2" name="Рисунок 2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25F1F">
        <w:rPr>
          <w:rFonts w:ascii="Times New Roman" w:hAnsi="Times New Roman"/>
          <w:b/>
          <w:sz w:val="28"/>
          <w:szCs w:val="28"/>
        </w:rPr>
        <w:t xml:space="preserve">О местных нормативах </w:t>
      </w:r>
      <w:r w:rsidRPr="00825F1F">
        <w:rPr>
          <w:rFonts w:ascii="Times New Roman" w:eastAsia="Arial" w:hAnsi="Times New Roman" w:cs="Times New Roman"/>
          <w:b/>
          <w:sz w:val="28"/>
          <w:szCs w:val="28"/>
        </w:rPr>
        <w:t xml:space="preserve">градостроительного проектирования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F1F">
        <w:rPr>
          <w:rFonts w:ascii="Times New Roman" w:eastAsia="Arial" w:hAnsi="Times New Roman" w:cs="Times New Roman"/>
          <w:b/>
          <w:sz w:val="28"/>
          <w:szCs w:val="28"/>
        </w:rPr>
        <w:t>Верхнеуслонского муниципального района</w:t>
      </w:r>
      <w:r w:rsidRPr="00825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825F1F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825F1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</w:t>
      </w:r>
      <w:r w:rsidRPr="00825F1F">
        <w:rPr>
          <w:rFonts w:ascii="Times New Roman" w:eastAsia="Calibri" w:hAnsi="Times New Roman"/>
          <w:sz w:val="28"/>
          <w:szCs w:val="28"/>
        </w:rPr>
        <w:t>оложением о порядке подготовки, утверждения местных нормативов градостроительного проектирования Верхнеуслонского муниципального района</w:t>
      </w:r>
      <w:r w:rsidRPr="00825F1F">
        <w:t xml:space="preserve"> </w:t>
      </w:r>
      <w:r w:rsidRPr="00825F1F">
        <w:rPr>
          <w:rFonts w:ascii="Times New Roman" w:hAnsi="Times New Roman" w:cs="Times New Roman"/>
          <w:sz w:val="28"/>
          <w:szCs w:val="28"/>
        </w:rPr>
        <w:t xml:space="preserve">в целях создания долгосрочной градостроительной политики, направленной на обеспечение благоприятных условий жизнедеятельности населения Верхнеуслонского муниципального района и установления совокупных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</w:t>
      </w:r>
      <w:proofErr w:type="gramEnd"/>
    </w:p>
    <w:p w:rsidR="00825F1F" w:rsidRPr="00825F1F" w:rsidRDefault="00825F1F" w:rsidP="00825F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825F1F" w:rsidRPr="00825F1F" w:rsidRDefault="00825F1F" w:rsidP="00825F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5F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решил</w:t>
      </w:r>
    </w:p>
    <w:p w:rsidR="00825F1F" w:rsidRPr="00825F1F" w:rsidRDefault="00825F1F" w:rsidP="00825F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F1F">
        <w:rPr>
          <w:rFonts w:ascii="Times New Roman" w:hAnsi="Times New Roman" w:cs="Times New Roman"/>
          <w:sz w:val="28"/>
          <w:szCs w:val="28"/>
        </w:rPr>
        <w:t>Утверд</w:t>
      </w:r>
      <w:bookmarkStart w:id="0" w:name="_GoBack"/>
      <w:bookmarkEnd w:id="0"/>
      <w:r w:rsidRPr="00825F1F">
        <w:rPr>
          <w:rFonts w:ascii="Times New Roman" w:hAnsi="Times New Roman" w:cs="Times New Roman"/>
          <w:sz w:val="28"/>
          <w:szCs w:val="28"/>
        </w:rPr>
        <w:t xml:space="preserve">ить местные </w:t>
      </w:r>
      <w:hyperlink r:id="rId10" w:history="1">
        <w:r w:rsidRPr="00825F1F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25F1F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Pr="00825F1F">
        <w:rPr>
          <w:rFonts w:ascii="Times New Roman" w:eastAsia="Arial" w:hAnsi="Times New Roman" w:cs="Times New Roman"/>
          <w:sz w:val="28"/>
          <w:szCs w:val="28"/>
        </w:rPr>
        <w:t>Верхнеуслонского муниципального района</w:t>
      </w:r>
      <w:r w:rsidRPr="00825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F1F">
        <w:rPr>
          <w:rFonts w:ascii="Times New Roman" w:hAnsi="Times New Roman" w:cs="Times New Roman"/>
          <w:bCs/>
          <w:sz w:val="28"/>
          <w:szCs w:val="28"/>
        </w:rPr>
        <w:t>(Приложение № 1).</w:t>
      </w:r>
    </w:p>
    <w:p w:rsidR="00825F1F" w:rsidRDefault="00825F1F" w:rsidP="00825F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утратившими силу </w:t>
      </w:r>
      <w:r w:rsidRPr="00825F1F">
        <w:rPr>
          <w:rFonts w:ascii="Times New Roman" w:hAnsi="Times New Roman" w:cs="Times New Roman"/>
          <w:sz w:val="28"/>
          <w:szCs w:val="28"/>
        </w:rPr>
        <w:t xml:space="preserve">местные </w:t>
      </w:r>
      <w:hyperlink r:id="rId11" w:history="1">
        <w:r w:rsidRPr="00825F1F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25F1F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Pr="00825F1F">
        <w:rPr>
          <w:rFonts w:ascii="Times New Roman" w:eastAsia="Arial" w:hAnsi="Times New Roman" w:cs="Times New Roman"/>
          <w:sz w:val="28"/>
          <w:szCs w:val="28"/>
        </w:rPr>
        <w:t>Верхнеуслонского муниципального района</w:t>
      </w:r>
      <w:r>
        <w:rPr>
          <w:rFonts w:ascii="Times New Roman" w:eastAsia="Arial" w:hAnsi="Times New Roman" w:cs="Times New Roman"/>
          <w:sz w:val="28"/>
          <w:szCs w:val="28"/>
        </w:rPr>
        <w:t>, утвержденные решением Совета Верхнеуслонского муниципального района от 30.10.2017 года № 26-285.</w:t>
      </w:r>
    </w:p>
    <w:p w:rsidR="00825F1F" w:rsidRPr="00825F1F" w:rsidRDefault="00825F1F" w:rsidP="00825F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5F1F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825F1F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официальном сайте Верхнеуслонского муниципального района и на официальном портале правовой информации Республики Татарстан.</w:t>
      </w:r>
    </w:p>
    <w:p w:rsidR="00825F1F" w:rsidRPr="00825F1F" w:rsidRDefault="00825F1F" w:rsidP="00825F1F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25F1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25F1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825F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 w:rsidRPr="00825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5F1F" w:rsidRPr="00825F1F" w:rsidRDefault="00825F1F" w:rsidP="00825F1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F1F" w:rsidRPr="00825F1F" w:rsidRDefault="00825F1F" w:rsidP="00825F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5F1F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Председатель Совета,</w:t>
      </w:r>
    </w:p>
    <w:p w:rsidR="00825F1F" w:rsidRPr="00825F1F" w:rsidRDefault="00825F1F" w:rsidP="00825F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5F1F">
        <w:rPr>
          <w:rFonts w:ascii="Times New Roman" w:eastAsia="Calibri" w:hAnsi="Times New Roman" w:cs="Times New Roman"/>
          <w:b/>
          <w:sz w:val="28"/>
          <w:szCs w:val="28"/>
        </w:rPr>
        <w:t xml:space="preserve"> Глава Верхнеуслонского</w:t>
      </w:r>
    </w:p>
    <w:p w:rsidR="00825F1F" w:rsidRPr="00825F1F" w:rsidRDefault="00825F1F" w:rsidP="00825F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5F1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М.Г. </w:t>
      </w:r>
      <w:proofErr w:type="spellStart"/>
      <w:r w:rsidRPr="00825F1F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825F1F" w:rsidRPr="00825F1F" w:rsidRDefault="00825F1F" w:rsidP="00825F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sz w:val="24"/>
          <w:szCs w:val="24"/>
        </w:rPr>
        <w:id w:val="1895698637"/>
        <w:docPartObj>
          <w:docPartGallery w:val="Cover Pages"/>
          <w:docPartUnique/>
        </w:docPartObj>
      </w:sdtPr>
      <w:sdtEndPr>
        <w:rPr>
          <w:rFonts w:eastAsia="Times New Roman"/>
          <w:color w:val="5B9BD5"/>
          <w:lang w:eastAsia="ru-RU"/>
        </w:rPr>
      </w:sdtEndPr>
      <w:sdtContent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Приложение</w:t>
          </w:r>
        </w:p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 Решению Совета </w:t>
          </w:r>
        </w:p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Верхнеуслонского </w:t>
          </w:r>
        </w:p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муниципального района</w:t>
          </w:r>
        </w:p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Республики Татарстан</w:t>
          </w:r>
        </w:p>
        <w:p w:rsidR="00825F1F" w:rsidRPr="00825F1F" w:rsidRDefault="00825F1F" w:rsidP="00825F1F">
          <w:pPr>
            <w:spacing w:after="0"/>
            <w:ind w:left="623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от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 2021 года</w:t>
          </w: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№ 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13-___</w:t>
          </w:r>
        </w:p>
        <w:p w:rsidR="00825F1F" w:rsidRPr="00825F1F" w:rsidRDefault="00825F1F" w:rsidP="00825F1F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МЕСТНЫЕ НОРМАТИВЫ </w:t>
          </w: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ГРАДОСТРОИТЕЛЬНОГО ПРОЕКТИРОВАНИЯ</w:t>
          </w: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ВЕРХНЕУСЛОНСКОГО МУНИЦИПАЛЬНОГО РАЙОНА</w:t>
          </w: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РЕСПУБЛИКИ ТАТАРСТАН</w:t>
          </w: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825F1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>2016 год</w:t>
          </w:r>
        </w:p>
      </w:sdtContent>
    </w:sdt>
    <w:p w:rsidR="00825F1F" w:rsidRPr="00825F1F" w:rsidRDefault="00825F1F" w:rsidP="00825F1F">
      <w:pPr>
        <w:spacing w:before="120" w:after="120" w:line="360" w:lineRule="auto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5F1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bookmarkStart w:id="1" w:name="_Toc387837628" w:displacedByCustomXml="next"/>
    <w:bookmarkEnd w:id="1" w:displacedByCustomXml="next"/>
    <w:sdt>
      <w:sdtPr>
        <w:rPr>
          <w:rFonts w:ascii="Times New Roman" w:eastAsia="Calibri" w:hAnsi="Times New Roman" w:cs="Times New Roman"/>
          <w:sz w:val="24"/>
          <w:szCs w:val="24"/>
        </w:rPr>
        <w:id w:val="9352664"/>
        <w:docPartObj>
          <w:docPartGallery w:val="Table of Contents"/>
          <w:docPartUnique/>
        </w:docPartObj>
      </w:sdtPr>
      <w:sdtContent>
        <w:p w:rsidR="00825F1F" w:rsidRPr="00825F1F" w:rsidRDefault="00825F1F" w:rsidP="00825F1F">
          <w:pPr>
            <w:keepNext/>
            <w:keepLines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/>
              <w:sz w:val="24"/>
              <w:szCs w:val="24"/>
              <w:lang w:eastAsia="ru-RU"/>
            </w:rPr>
          </w:pPr>
        </w:p>
        <w:p w:rsidR="00825F1F" w:rsidRPr="00825F1F" w:rsidRDefault="00825F1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r w:rsidRPr="00825F1F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825F1F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825F1F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424561639" w:history="1">
            <w:r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1.</w:t>
            </w:r>
            <w:r w:rsidRPr="00825F1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ОБЩИЕ ПОЛОЖЕНИЯ</w:t>
            </w:r>
            <w:r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_Toc424561639 \h </w:instrText>
            </w:r>
            <w:r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6C0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0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2.</w:t>
            </w:r>
            <w:r w:rsidR="00825F1F" w:rsidRPr="00825F1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ПРАВИЛА И ОБЛАСТЬ ПРИМЕНЕНИЯ РАСЧЕТНЫХ ПОКАЗАТЕЛЕЙ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_Toc424561640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1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3.</w:t>
            </w:r>
            <w:r w:rsidR="00825F1F" w:rsidRPr="00825F1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КРАТКАЯ ХАРАКТЕРИСТИКА ВЕРХНЕУСЛОНСКОГО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_Toc424561641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2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4.</w:t>
            </w:r>
            <w:r w:rsidR="00825F1F" w:rsidRPr="00825F1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ОСНОВНАЯ ЧАСТЬ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_Toc424561642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3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4.1.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электро- и газоснабжения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_Toc424561643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4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4.2.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автомобильными дорогами вне границ населенных пунктов в границах муниципального района и объектами транспортного обслуживания, относящимися к объектам местного значения муниципального района,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    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_Toc424561644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5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4.3.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образования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_Toc424561645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6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4.4.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здравоохранения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_Toc424561646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7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4.5.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_Toc424561647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49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4.6.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культуры и досуга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    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  <w:t xml:space="preserve">   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_Toc424561649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0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4.7.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муниципального района; расчетные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lastRenderedPageBreak/>
              <w:t>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_Toc424561650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1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4.8.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_Toc424561651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2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4.9.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утилизации и переработки бытовых и промышленных отходов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_Toc424561652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3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4.10. Расчетные показатели </w:t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объектами, обеспечивающими охрану общественного порядка,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_Toc424561653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4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</w:t>
            </w:r>
            <w:r w:rsidR="00825F1F" w:rsidRPr="00825F1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РЕКОМЕНДАЦИИ К ОПРЕДЕЛЕНИЮ НОРМАТИВНОЙ ПОТРЕБНОСТИ НАСЕЛЕНИЯ МУНИЦИПАЛЬНОГО РАЙОНА В ОБЪЕКТАХ МЕСТНОГО ЗНАЧЕНИЯ МУНИЦИПАЛЬНОГО РАЙОНА, РАЗМЩЕНИЮ УКАЗАННЫХ ОБЪЕКТОВ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_Toc424561654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5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5.1. Рекомендации к размещению объектов электро- и газоснабжения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_Toc424561655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6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5.2. Рекомендации к определению нормативной потребности населения муниципального района в объектах транспорта, расположенных вне границ населенных пунктов, размещению указанных объектов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_Toc424561656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7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5.3. Рекомендации к размещению объектов образования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_Toc424561657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8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5.4. Рекомендации к определению нормативной потребности населения муниципального района в объектах здравоохранения, размещению указанных объектов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_Toc424561658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59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5.5. Рекомендации к размещению объектов информатизации и связи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_Toc424561659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0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5.6. Рекомендации к определению нормативной потребности населения муниципального района в объектах культуры и досуга, размещению указанных объектов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_Toc424561660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2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5.7. Рекомендации к определению нормативной потребности населения муниципального района в объектах социального обеспечения и социальной защиты, размещению указанных объектов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_Toc424561662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3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5.8. Рекомендации к определению нормативной потребности населения муниципального района в объектах физической культуры и массового спорта, размещению указанных  объектов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_Toc424561663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4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5.9. Рекомендации к определению нормативной потребности населения муниципального района в объектах утилизации и переработки бытовых и промышленных отходов, размещению указанных объектов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_Toc424561664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1B6C0F" w:rsidP="00825F1F">
          <w:pPr>
            <w:tabs>
              <w:tab w:val="left" w:pos="567"/>
              <w:tab w:val="right" w:leader="dot" w:pos="10206"/>
            </w:tabs>
            <w:spacing w:after="0" w:line="348" w:lineRule="auto"/>
            <w:ind w:left="425" w:hanging="426"/>
            <w:jc w:val="both"/>
            <w:rPr>
              <w:rFonts w:ascii="Calibri" w:eastAsia="Times New Roman" w:hAnsi="Calibri" w:cs="Times New Roman"/>
              <w:noProof/>
              <w:sz w:val="24"/>
              <w:szCs w:val="24"/>
              <w:lang w:eastAsia="ru-RU"/>
            </w:rPr>
          </w:pPr>
          <w:hyperlink w:anchor="_Toc424561665" w:history="1"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6.</w:t>
            </w:r>
            <w:r w:rsidR="00825F1F" w:rsidRPr="00825F1F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МАТЕРИАЛЫ ПО ОБОСНОВАНИЮ РАСЧЕТНЫХ ПОКАЗАТЕЛЕЙ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_Toc424561665 \h </w:instrTex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25F1F" w:rsidRPr="00825F1F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F1F" w:rsidRPr="00825F1F" w:rsidRDefault="00825F1F" w:rsidP="00825F1F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25F1F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</w:p>
      </w:sdtContent>
    </w:sdt>
    <w:p w:rsidR="00825F1F" w:rsidRPr="00825F1F" w:rsidRDefault="00825F1F" w:rsidP="00825F1F">
      <w:pPr>
        <w:keepNext/>
        <w:keepLines/>
        <w:numPr>
          <w:ilvl w:val="0"/>
          <w:numId w:val="17"/>
        </w:numPr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2" w:name="_Toc424561639"/>
      <w:r w:rsidRPr="00825F1F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ОБЩИЕ ПОЛОЖЕНИЯ</w:t>
      </w:r>
      <w:bookmarkEnd w:id="2"/>
    </w:p>
    <w:p w:rsidR="00825F1F" w:rsidRPr="00825F1F" w:rsidRDefault="00825F1F" w:rsidP="00825F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1.1. Местные нормативы градостроительного проектирования 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Верхнеуслонского муниципального района Республики Татарстан (далее – нормативы) 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разработаны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с законодательством Российской Федерации, Республики Татарстан и нормативно-правовыми актами 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Верхнеуслонского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825F1F" w:rsidRPr="00825F1F" w:rsidRDefault="00825F1F" w:rsidP="00825F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1.2. 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Pr="00825F1F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сийской Федерации, в соответствии с требованиями Федерального закона от 27.12.2002 г. № 184-ФЗ «О техническом регулировании». </w:t>
      </w:r>
    </w:p>
    <w:p w:rsidR="00825F1F" w:rsidRPr="00825F1F" w:rsidRDefault="00825F1F" w:rsidP="00825F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1.3. Настоящие нормативы обязательны для всех субъектов градостроительной деятельно</w:t>
      </w:r>
      <w:r w:rsidRPr="00825F1F">
        <w:rPr>
          <w:rFonts w:ascii="Times New Roman" w:eastAsia="Calibri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Верхнеуслонского муниципального района Республики Татарстан</w:t>
      </w:r>
      <w:r w:rsidRPr="00825F1F">
        <w:rPr>
          <w:rFonts w:ascii="Times New Roman" w:eastAsia="Calibri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25F1F" w:rsidRPr="00825F1F" w:rsidRDefault="00825F1F" w:rsidP="00825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Верхнеуслонского муниципального района Республики Татарстан</w:t>
      </w: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района;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1.6. К объектам 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местного значения муниципального района, для которых устанавливаются расчетные показатели 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Pr="00825F1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Pr="00825F1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относятся объекты, относящиеся к следующим областям: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электро- и газоснабжение поселений;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автомобильные дороги местного значения вне границ населенных пунктов в </w:t>
      </w:r>
      <w:proofErr w:type="gramStart"/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границах</w:t>
      </w:r>
      <w:proofErr w:type="gramEnd"/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района, транспортное обслуживание;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образование;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здравоохранение;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информатизация и связь;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культура и организация досуга;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социальное обеспечение и социальная защита;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 и массовый спорт;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утилизация и переработка бытовых и промышленных отходов;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обеспечение охраны общественного порядка.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1.7. Нормативы включают в себя следующие разделы: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основную часть (расчетные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рекомендации к определению нормативной потребности населения муниципального района в объектах местного значения муниципального района, размещению указанных объектов;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краткая характеристика муниципального района.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keepNext/>
        <w:keepLines/>
        <w:numPr>
          <w:ilvl w:val="0"/>
          <w:numId w:val="17"/>
        </w:numPr>
        <w:spacing w:before="240" w:after="240" w:line="360" w:lineRule="auto"/>
        <w:ind w:left="1066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3" w:name="_Toc424561640"/>
      <w:r w:rsidRPr="00825F1F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3"/>
    </w:p>
    <w:p w:rsidR="00825F1F" w:rsidRPr="00825F1F" w:rsidRDefault="00825F1F" w:rsidP="00825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Верхнеуслонского</w:t>
      </w: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 и поселений, входящих в его состав</w:t>
      </w: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документации по планировке территории, разрабатываемой в отношении территорий </w:t>
      </w: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Верхнеуслонского</w:t>
      </w: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 </w:t>
      </w:r>
    </w:p>
    <w:p w:rsidR="00825F1F" w:rsidRPr="00825F1F" w:rsidRDefault="00825F1F" w:rsidP="00825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  <w:proofErr w:type="gramEnd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2.3. Перечень объектов местного значения муниципального района, расчетные показатели 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района, приведенные в основной части настоящих нормативов, являются обязательными для исполнения.</w:t>
      </w:r>
    </w:p>
    <w:p w:rsidR="00825F1F" w:rsidRPr="00825F1F" w:rsidRDefault="00825F1F" w:rsidP="00825F1F">
      <w:pPr>
        <w:tabs>
          <w:tab w:val="left" w:pos="1134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825F1F" w:rsidRPr="00825F1F" w:rsidRDefault="00825F1F" w:rsidP="00825F1F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keepNext/>
        <w:keepLines/>
        <w:numPr>
          <w:ilvl w:val="0"/>
          <w:numId w:val="17"/>
        </w:numPr>
        <w:spacing w:before="240" w:after="240" w:line="360" w:lineRule="auto"/>
        <w:ind w:left="1066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4" w:name="_Toc424561641"/>
      <w:r w:rsidRPr="00825F1F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КРАТКАЯ ХАРАКТЕРИСТИКА ВЕРХНЕУСЛОНСКОГО МУНИЦИПАЛЬНОГО РАЙОНА</w:t>
      </w:r>
      <w:bookmarkEnd w:id="4"/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3.1. Краткая характеристика территории 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Верхнеуслонского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муниципального района приведены в таблице 1.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3827"/>
      </w:tblGrid>
      <w:tr w:rsidR="00825F1F" w:rsidRPr="00825F1F" w:rsidTr="00825F1F">
        <w:trPr>
          <w:trHeight w:val="666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5F1F">
              <w:rPr>
                <w:rFonts w:eastAsia="Calibri"/>
                <w:b/>
                <w:sz w:val="24"/>
                <w:szCs w:val="24"/>
              </w:rPr>
              <w:t>№ п\</w:t>
            </w:r>
            <w:proofErr w:type="gramStart"/>
            <w:r w:rsidRPr="00825F1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5F1F">
              <w:rPr>
                <w:rFonts w:eastAsia="Calibri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5F1F">
              <w:rPr>
                <w:rFonts w:eastAsia="Calibri"/>
                <w:b/>
                <w:sz w:val="24"/>
                <w:szCs w:val="24"/>
              </w:rPr>
              <w:t>Характеристика</w:t>
            </w:r>
          </w:p>
        </w:tc>
      </w:tr>
      <w:tr w:rsidR="00825F1F" w:rsidRPr="00825F1F" w:rsidTr="00825F1F">
        <w:trPr>
          <w:trHeight w:val="1413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Расположение территории муниципального района в структуре Республики Татарстан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Верхнеуслонский муниципальный район располагается в западной части Республики Татарстан</w:t>
            </w:r>
          </w:p>
        </w:tc>
      </w:tr>
      <w:tr w:rsidR="00825F1F" w:rsidRPr="00825F1F" w:rsidTr="00825F1F">
        <w:trPr>
          <w:trHeight w:val="845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Общая площадь территории в границах муниципального района, га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130282</w:t>
            </w:r>
          </w:p>
        </w:tc>
      </w:tr>
      <w:tr w:rsidR="00825F1F" w:rsidRPr="00825F1F" w:rsidTr="00825F1F">
        <w:trPr>
          <w:trHeight w:val="836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Административный центр муниципального района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село Верхний Услон</w:t>
            </w:r>
          </w:p>
        </w:tc>
      </w:tr>
      <w:tr w:rsidR="00825F1F" w:rsidRPr="00825F1F" w:rsidTr="00825F1F">
        <w:trPr>
          <w:trHeight w:val="412"/>
        </w:trPr>
        <w:tc>
          <w:tcPr>
            <w:tcW w:w="993" w:type="dxa"/>
            <w:vMerge w:val="restart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2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Численность постоянного населения на 01.01.20</w:t>
            </w:r>
            <w:r>
              <w:rPr>
                <w:rFonts w:eastAsia="Calibri"/>
                <w:sz w:val="24"/>
                <w:szCs w:val="24"/>
              </w:rPr>
              <w:t>21</w:t>
            </w:r>
            <w:r w:rsidRPr="00825F1F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  <w:tr w:rsidR="00825F1F" w:rsidRPr="00825F1F" w:rsidTr="00825F1F">
        <w:trPr>
          <w:trHeight w:val="446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firstLine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всего, чел.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16</w:t>
            </w:r>
            <w:r>
              <w:rPr>
                <w:rFonts w:eastAsia="Calibri"/>
                <w:sz w:val="24"/>
                <w:szCs w:val="24"/>
              </w:rPr>
              <w:t>070</w:t>
            </w:r>
          </w:p>
        </w:tc>
      </w:tr>
      <w:tr w:rsidR="00825F1F" w:rsidRPr="00825F1F" w:rsidTr="00825F1F">
        <w:trPr>
          <w:trHeight w:val="1175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в том числе: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firstLine="742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городское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firstLine="742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сельское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825F1F" w:rsidRPr="00665125" w:rsidRDefault="00665125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665125">
              <w:rPr>
                <w:rFonts w:eastAsia="Calibri"/>
                <w:sz w:val="24"/>
                <w:szCs w:val="24"/>
              </w:rPr>
              <w:t>866</w:t>
            </w:r>
          </w:p>
          <w:p w:rsidR="00825F1F" w:rsidRPr="00825F1F" w:rsidRDefault="00665125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15204</w:t>
            </w:r>
          </w:p>
        </w:tc>
      </w:tr>
      <w:tr w:rsidR="00825F1F" w:rsidRPr="00825F1F" w:rsidTr="00825F1F">
        <w:trPr>
          <w:trHeight w:val="622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Плотность населения на 01.01.2016 г., чел./кв. км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13,00</w:t>
            </w:r>
          </w:p>
        </w:tc>
      </w:tr>
      <w:tr w:rsidR="00825F1F" w:rsidRPr="00825F1F" w:rsidTr="00825F1F">
        <w:trPr>
          <w:trHeight w:val="416"/>
        </w:trPr>
        <w:tc>
          <w:tcPr>
            <w:tcW w:w="993" w:type="dxa"/>
            <w:vMerge w:val="restart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2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Возрастная структура населения на 01.01.2015 г.</w:t>
            </w:r>
          </w:p>
        </w:tc>
      </w:tr>
      <w:tr w:rsidR="00825F1F" w:rsidRPr="00825F1F" w:rsidTr="00825F1F">
        <w:trPr>
          <w:trHeight w:val="709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5,9</w:t>
            </w:r>
          </w:p>
        </w:tc>
      </w:tr>
      <w:tr w:rsidR="00825F1F" w:rsidRPr="00825F1F" w:rsidTr="00825F1F">
        <w:trPr>
          <w:trHeight w:val="847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5,0</w:t>
            </w:r>
          </w:p>
        </w:tc>
      </w:tr>
      <w:tr w:rsidR="00825F1F" w:rsidRPr="00825F1F" w:rsidTr="00825F1F">
        <w:trPr>
          <w:trHeight w:val="690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9,1</w:t>
            </w:r>
          </w:p>
        </w:tc>
      </w:tr>
      <w:tr w:rsidR="00825F1F" w:rsidRPr="00825F1F" w:rsidTr="00825F1F">
        <w:trPr>
          <w:trHeight w:val="544"/>
        </w:trPr>
        <w:tc>
          <w:tcPr>
            <w:tcW w:w="993" w:type="dxa"/>
            <w:vMerge w:val="restart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2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Прогноз численности постоянного населения на 2030 г.</w:t>
            </w:r>
          </w:p>
        </w:tc>
      </w:tr>
      <w:tr w:rsidR="00825F1F" w:rsidRPr="00825F1F" w:rsidTr="00825F1F">
        <w:trPr>
          <w:trHeight w:val="416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firstLine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всего, чел.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146000</w:t>
            </w:r>
          </w:p>
        </w:tc>
      </w:tr>
      <w:tr w:rsidR="00825F1F" w:rsidRPr="00825F1F" w:rsidTr="00825F1F">
        <w:trPr>
          <w:trHeight w:val="416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в том числе: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firstLine="742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городское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firstLine="742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сельское</w:t>
            </w:r>
          </w:p>
        </w:tc>
        <w:tc>
          <w:tcPr>
            <w:tcW w:w="3827" w:type="dxa"/>
            <w:vAlign w:val="center"/>
          </w:tcPr>
          <w:p w:rsid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130000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16000</w:t>
            </w:r>
          </w:p>
        </w:tc>
      </w:tr>
      <w:tr w:rsidR="00825F1F" w:rsidRPr="00825F1F" w:rsidTr="00825F1F">
        <w:trPr>
          <w:trHeight w:val="870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Объем жилищного фонда на 01.01.2016 г., 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тыс. кв. метров площади жилья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6718,7</w:t>
            </w:r>
          </w:p>
        </w:tc>
      </w:tr>
      <w:tr w:rsidR="00825F1F" w:rsidRPr="00825F1F" w:rsidTr="00825F1F">
        <w:trPr>
          <w:trHeight w:val="839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34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кв. м/чел.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825F1F" w:rsidRPr="00825F1F" w:rsidTr="00825F1F">
        <w:trPr>
          <w:trHeight w:val="567"/>
        </w:trPr>
        <w:tc>
          <w:tcPr>
            <w:tcW w:w="993" w:type="dxa"/>
            <w:vMerge w:val="restart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2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Природно-климатические условия на территории муниципального района</w:t>
            </w:r>
          </w:p>
        </w:tc>
      </w:tr>
      <w:tr w:rsidR="00825F1F" w:rsidRPr="00825F1F" w:rsidTr="00825F1F">
        <w:trPr>
          <w:trHeight w:val="1113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климатический район 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825F1F">
              <w:rPr>
                <w:rFonts w:eastAsia="Calibri"/>
                <w:sz w:val="24"/>
                <w:szCs w:val="24"/>
              </w:rPr>
              <w:t>В</w:t>
            </w:r>
          </w:p>
        </w:tc>
      </w:tr>
      <w:tr w:rsidR="00825F1F" w:rsidRPr="00825F1F" w:rsidTr="00825F1F">
        <w:trPr>
          <w:trHeight w:val="846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34" w:firstLine="425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степень сейсмической опасности 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34" w:firstLine="425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(баллов)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5 – 6</w:t>
            </w:r>
          </w:p>
        </w:tc>
      </w:tr>
      <w:tr w:rsidR="00825F1F" w:rsidRPr="00825F1F" w:rsidTr="00825F1F">
        <w:trPr>
          <w:trHeight w:val="830"/>
        </w:trPr>
        <w:tc>
          <w:tcPr>
            <w:tcW w:w="993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ind w:left="459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827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благоприятные</w:t>
            </w:r>
          </w:p>
        </w:tc>
      </w:tr>
    </w:tbl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numPr>
          <w:ilvl w:val="0"/>
          <w:numId w:val="17"/>
        </w:numPr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5" w:name="_Toc424561642"/>
      <w:r w:rsidRPr="00825F1F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825F1F" w:rsidRPr="00825F1F" w:rsidRDefault="00825F1F" w:rsidP="00825F1F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6" w:name="_Toc424561643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4.1. Расчетные показатели </w:t>
      </w:r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электро- и газоснабжения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6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4.1.1. Системы инженерного оборудования следует проектировать на основе документов территориального планирования и схем электро- и газоснабжения, разработанных и утвержденных в установленном порядке.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4.1.2. Указанные расчетные показатели приведены в таблице 2.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Style w:val="2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825F1F" w:rsidRPr="00825F1F" w:rsidTr="00825F1F">
        <w:trPr>
          <w:trHeight w:val="1842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828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25F1F" w:rsidRPr="00825F1F" w:rsidTr="00825F1F">
        <w:trPr>
          <w:trHeight w:val="2676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25F1F" w:rsidRPr="00825F1F" w:rsidRDefault="00825F1F" w:rsidP="00825F1F">
            <w:pPr>
              <w:ind w:left="459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825F1F" w:rsidRPr="00825F1F" w:rsidRDefault="00825F1F" w:rsidP="00825F1F">
            <w:pPr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282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централизованного газоснабжения:</w:t>
            </w:r>
          </w:p>
          <w:p w:rsidR="00825F1F" w:rsidRPr="00825F1F" w:rsidRDefault="00825F1F" w:rsidP="00825F1F">
            <w:pPr>
              <w:ind w:left="45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 *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825F1F" w:rsidRPr="00825F1F" w:rsidRDefault="00825F1F" w:rsidP="00825F1F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* для городов и сельских населенных пунктов с численностью населения свыше 3 тысяч человек или их частей допускается отсутствие систем газоснабжения при условии оборудования жилых зданий стационарными электрическими плитами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spacing w:before="24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bookmarkStart w:id="7" w:name="_Toc424561644"/>
      <w:r w:rsidRPr="00825F1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4.2. Расчетные показатели </w:t>
      </w:r>
      <w:r w:rsidRPr="00825F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автомобильными дорогами вне границ населенных пунктов в границах муниципального района и объектами транспортного обслуживания, относящимися к объектам местного значения муниципального района,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7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4.2.1. Все населенные пункты должны быть обеспечены подъездными автомобильными дорогами с твердым покрытием.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4.2.2. Остановочные пункты общественного пассажирского транспорта следует размещать на автомобильных дорогах местного значения муниципального района, по которым предусматривается прохождение пригородных и междугородних автобусных маршрутов, на минимальном расстоянии друг от друга, равном 500 метров.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4.2.3. На территории  муниципального района (в административном центре) следует предусматривать размещение не менее 1 пассажирского вокзала автомобильного транспорта.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4.2.4. Расчетные показатели минимально допустимого уровня обеспеченности населения муниципального района объектами автосервиса, придорожного обслуживания не устанавливаются.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4.2.5. Расчетные показатели максимально допустимого уровня территориальной доступности автомобильных дорог вне границ населенных пунктов, объектов транспортного обслуживания не устанавливаются.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8" w:name="_Toc424561645"/>
      <w:r w:rsidRPr="00825F1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4.3. Расчетные показатели </w:t>
      </w:r>
      <w:r w:rsidRPr="00825F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образования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8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4.3.1. Указанные расчетные показатели следует принимать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с таблицей 3.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3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7"/>
        <w:gridCol w:w="2832"/>
        <w:gridCol w:w="3257"/>
        <w:gridCol w:w="3540"/>
      </w:tblGrid>
      <w:tr w:rsidR="00825F1F" w:rsidRPr="00825F1F" w:rsidTr="00825F1F">
        <w:trPr>
          <w:trHeight w:val="1185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544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25F1F" w:rsidRPr="00825F1F" w:rsidTr="00825F1F">
        <w:trPr>
          <w:trHeight w:val="502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Дошкольные образовательные учреждения</w:t>
            </w:r>
          </w:p>
        </w:tc>
      </w:tr>
      <w:tr w:rsidR="00825F1F" w:rsidRPr="00825F1F" w:rsidTr="00825F1F">
        <w:trPr>
          <w:trHeight w:val="1468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85 % детей 1 – 6 лет</w:t>
            </w:r>
          </w:p>
        </w:tc>
        <w:tc>
          <w:tcPr>
            <w:tcW w:w="354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 застройке свыше 2 этажей – 300 метров;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</w:t>
            </w:r>
            <w:proofErr w:type="gramEnd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одно</w:t>
            </w:r>
            <w:proofErr w:type="gramEnd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 и двухэтажной застройке – 500 метров</w:t>
            </w:r>
          </w:p>
        </w:tc>
      </w:tr>
      <w:tr w:rsidR="00825F1F" w:rsidRPr="00825F1F" w:rsidTr="00825F1F">
        <w:trPr>
          <w:trHeight w:val="1405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40 % детей 1 – 6 лет</w:t>
            </w:r>
          </w:p>
        </w:tc>
        <w:tc>
          <w:tcPr>
            <w:tcW w:w="354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500 метров</w:t>
            </w:r>
          </w:p>
        </w:tc>
      </w:tr>
      <w:tr w:rsidR="00825F1F" w:rsidRPr="00825F1F" w:rsidTr="00825F1F">
        <w:trPr>
          <w:trHeight w:val="502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Общеобразовательные учреждения</w:t>
            </w:r>
          </w:p>
        </w:tc>
      </w:tr>
      <w:tr w:rsidR="00825F1F" w:rsidRPr="00825F1F" w:rsidTr="00825F1F">
        <w:trPr>
          <w:trHeight w:val="2121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100 % детей 7 – 15 лет;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75 % детей 16 – 17 лет</w:t>
            </w:r>
          </w:p>
        </w:tc>
        <w:tc>
          <w:tcPr>
            <w:tcW w:w="354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825F1F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</w:t>
            </w: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ступени обучения – 15 минут транспортной доступности;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825F1F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</w:t>
            </w: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и </w:t>
            </w:r>
            <w:r w:rsidRPr="00825F1F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III</w:t>
            </w: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ступеней обучения – 50 минут транспортной доступности</w:t>
            </w:r>
          </w:p>
        </w:tc>
      </w:tr>
      <w:tr w:rsidR="00825F1F" w:rsidRPr="00825F1F" w:rsidTr="00825F1F">
        <w:trPr>
          <w:trHeight w:val="270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зависимости от демографической структуры населения: охват 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100 % детей 7 – 15 лет;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75 % детей 16 – 17 лет</w:t>
            </w:r>
          </w:p>
        </w:tc>
        <w:tc>
          <w:tcPr>
            <w:tcW w:w="354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825F1F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</w:t>
            </w: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ступени обучения – 2 километра и 15 минут транспортной доступности;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для учащихся </w:t>
            </w:r>
            <w:r w:rsidRPr="00825F1F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</w:t>
            </w: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и </w:t>
            </w:r>
            <w:r w:rsidRPr="00825F1F">
              <w:rPr>
                <w:rFonts w:eastAsia="Calibri"/>
                <w:color w:val="00000A"/>
                <w:sz w:val="24"/>
                <w:szCs w:val="24"/>
                <w:lang w:val="en-US" w:eastAsia="zh-CN" w:bidi="hi-IN"/>
              </w:rPr>
              <w:t>III</w:t>
            </w: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ступеней обучения – 4 километра и 30 минут транспортной доступности</w:t>
            </w:r>
          </w:p>
        </w:tc>
      </w:tr>
      <w:tr w:rsidR="00825F1F" w:rsidRPr="00825F1F" w:rsidTr="00825F1F">
        <w:trPr>
          <w:trHeight w:val="508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Учреждения дополнительного образования</w:t>
            </w:r>
          </w:p>
        </w:tc>
      </w:tr>
      <w:tr w:rsidR="00825F1F" w:rsidRPr="00825F1F" w:rsidTr="00825F1F">
        <w:trPr>
          <w:trHeight w:val="752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охват 10 % детей 7 – 17 лет</w:t>
            </w:r>
          </w:p>
        </w:tc>
        <w:tc>
          <w:tcPr>
            <w:tcW w:w="354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1000 метров или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транспортной доступности</w:t>
            </w:r>
          </w:p>
        </w:tc>
      </w:tr>
      <w:tr w:rsidR="00825F1F" w:rsidRPr="00825F1F" w:rsidTr="00825F1F">
        <w:trPr>
          <w:trHeight w:val="678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охват 10 % детей 7 – 17 лет</w:t>
            </w:r>
          </w:p>
        </w:tc>
        <w:tc>
          <w:tcPr>
            <w:tcW w:w="354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1485"/>
        </w:trPr>
        <w:tc>
          <w:tcPr>
            <w:tcW w:w="10206" w:type="dxa"/>
            <w:gridSpan w:val="4"/>
            <w:vAlign w:val="center"/>
          </w:tcPr>
          <w:p w:rsidR="00825F1F" w:rsidRPr="00825F1F" w:rsidRDefault="00825F1F" w:rsidP="00825F1F">
            <w:pPr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825F1F" w:rsidRPr="00825F1F" w:rsidRDefault="00825F1F" w:rsidP="00825F1F">
            <w:pPr>
              <w:ind w:firstLine="601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Расчетные показатели для специализированных и оздоровительных дошкольных образовательных и общеобразовательных учреждений принимаются по заданию на проектирование.</w:t>
            </w:r>
          </w:p>
        </w:tc>
      </w:tr>
    </w:tbl>
    <w:p w:rsidR="00825F1F" w:rsidRPr="00825F1F" w:rsidRDefault="00825F1F" w:rsidP="00825F1F">
      <w:pPr>
        <w:spacing w:before="240"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4.3.2. Для учащихся сельских общеобразовательных школ, проживающих на расстоянии свыше 1 километра от учреждения, предусматривается организация подвоза учащихся к месту обучения на специальном транспорте, предназначенном для перевозки детей. </w:t>
      </w:r>
    </w:p>
    <w:p w:rsidR="00825F1F" w:rsidRPr="00825F1F" w:rsidRDefault="00825F1F" w:rsidP="00825F1F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Максимально допустимый уровень территориальной доступности остановок специального транспорта равен 500 метрам.</w:t>
      </w:r>
    </w:p>
    <w:p w:rsidR="00825F1F" w:rsidRPr="00825F1F" w:rsidRDefault="00825F1F" w:rsidP="00825F1F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Предельный показатель территориальной доступности сельских общеобразовательных школ для обучающихся 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val="en-US" w:eastAsia="zh-CN" w:bidi="hi-IN"/>
        </w:rPr>
        <w:t>I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и 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val="en-US" w:eastAsia="zh-CN" w:bidi="hi-IN"/>
        </w:rPr>
        <w:t>II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ступеней обучения с учетом организации транспортного обслуживания составляет 15 километров. </w:t>
      </w:r>
    </w:p>
    <w:p w:rsidR="00825F1F" w:rsidRPr="00825F1F" w:rsidRDefault="00825F1F" w:rsidP="00825F1F">
      <w:pPr>
        <w:spacing w:after="0" w:line="360" w:lineRule="auto"/>
        <w:ind w:firstLine="60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Для учащихся, проживающих на расстоянии свыше 15 километров, а также в период транспортной недоступности в период неблагоприятных погодных условий следует предусматривать пришкольный интернат. Вместимость пришкольного интерната определяется из расчета уровня обеспеченности 10 % от общего количества мест в общеобразовательном учреждении.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4.3.3. Для вновь создаваемых или территориально развивающихся населенных пунктов, предполагаемая численность населения которых увеличится более чем в 2 раза, в случае отсутствия сведений о демографическом составе предполагаемого населения следует принимать следующие расчетные показатели минимально допустимого уровня обеспеченности: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дошкольными образовательными учреждениями – 180 мест на 1 тыс. человек, при этом не более 100 мест на 1 тыс. человек на территории жилой застройки;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общеобразовательными учреждениями – 180 мест на 1 тыс. человек.</w:t>
      </w: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9" w:name="_Toc424561646"/>
      <w:r w:rsidRPr="00825F1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4.4. Расчетные показатели </w:t>
      </w:r>
      <w:r w:rsidRPr="00825F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здравоохранения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9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4.4.1. Указанные расчетные показатели следует принимать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с таблицей 4.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4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825F1F" w:rsidRPr="00825F1F" w:rsidTr="00825F1F">
        <w:trPr>
          <w:trHeight w:val="1319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25F1F" w:rsidRPr="00825F1F" w:rsidTr="00825F1F">
        <w:trPr>
          <w:trHeight w:val="502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Стационары всех типов</w:t>
            </w:r>
          </w:p>
        </w:tc>
      </w:tr>
      <w:tr w:rsidR="00825F1F" w:rsidRPr="00825F1F" w:rsidTr="00825F1F">
        <w:trPr>
          <w:trHeight w:val="723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13,47 коек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825F1F" w:rsidRPr="00825F1F" w:rsidTr="00825F1F">
        <w:trPr>
          <w:trHeight w:val="731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502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Амбулаторно-поликлинические учреждения</w:t>
            </w:r>
          </w:p>
        </w:tc>
      </w:tr>
      <w:tr w:rsidR="00825F1F" w:rsidRPr="00825F1F" w:rsidTr="00825F1F">
        <w:trPr>
          <w:trHeight w:val="766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18,15 посещений в смену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825F1F" w:rsidRPr="00825F1F" w:rsidTr="00825F1F">
        <w:trPr>
          <w:trHeight w:val="69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18,15 посещений в смену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825F1F" w:rsidRPr="00825F1F" w:rsidTr="00825F1F">
        <w:trPr>
          <w:trHeight w:val="555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Учреждения скорой медицинской помощи</w:t>
            </w:r>
          </w:p>
        </w:tc>
      </w:tr>
      <w:tr w:rsidR="00825F1F" w:rsidRPr="00825F1F" w:rsidTr="00825F1F">
        <w:trPr>
          <w:trHeight w:val="130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: станции (подстанции) скорой медицинской помощи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0,1 автомобиль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15 минут транспортной доступности на специальном автомобиле</w:t>
            </w:r>
          </w:p>
        </w:tc>
      </w:tr>
      <w:tr w:rsidR="00825F1F" w:rsidRPr="00825F1F" w:rsidTr="00825F1F">
        <w:trPr>
          <w:trHeight w:val="1351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: выдвижные пункты медицинской помощи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0,2 автомобиль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транспортной доступности на специальном автомобиле</w:t>
            </w:r>
          </w:p>
        </w:tc>
      </w:tr>
    </w:tbl>
    <w:p w:rsidR="00825F1F" w:rsidRPr="00825F1F" w:rsidRDefault="00825F1F" w:rsidP="00825F1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10" w:name="_Toc424561647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 xml:space="preserve">4.5. Расчетные показатели </w:t>
      </w:r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информатизации и связи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0"/>
    </w:p>
    <w:p w:rsidR="00825F1F" w:rsidRPr="00825F1F" w:rsidRDefault="00825F1F" w:rsidP="00825F1F">
      <w:pPr>
        <w:keepNext/>
        <w:keepLines/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11" w:name="_Toc421805606"/>
      <w:bookmarkStart w:id="12" w:name="_Toc424561648"/>
      <w:bookmarkStart w:id="13" w:name="_Toc421297937"/>
      <w:r w:rsidRPr="00825F1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4.5.1. Расчетные показатели минимально допустимого уровня обеспеченности населения городских населенных пунктов объектами информатизации и связи следует принимать в соответствии с таблицей 5.</w:t>
      </w:r>
      <w:bookmarkEnd w:id="11"/>
      <w:bookmarkEnd w:id="12"/>
      <w:r w:rsidRPr="00825F1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bookmarkEnd w:id="13"/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5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965"/>
        <w:gridCol w:w="2266"/>
        <w:gridCol w:w="3399"/>
      </w:tblGrid>
      <w:tr w:rsidR="00825F1F" w:rsidRPr="00825F1F" w:rsidTr="00825F1F">
        <w:trPr>
          <w:trHeight w:val="1099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96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825F1F" w:rsidRPr="00825F1F" w:rsidTr="00825F1F">
        <w:trPr>
          <w:trHeight w:val="991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Межрайонный почтамт</w:t>
            </w:r>
          </w:p>
        </w:tc>
        <w:tc>
          <w:tcPr>
            <w:tcW w:w="2268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 на 50 – 70 отделений почтовой связи</w:t>
            </w: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825F1F" w:rsidRPr="00825F1F" w:rsidTr="00825F1F">
        <w:trPr>
          <w:trHeight w:val="1097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96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Звуковые трансформаторные подстанции (из расчета на 10 – 12 тысяч абонентов)</w:t>
            </w:r>
          </w:p>
        </w:tc>
        <w:tc>
          <w:tcPr>
            <w:tcW w:w="2268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</w:t>
            </w: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825F1F" w:rsidRPr="00825F1F" w:rsidTr="00825F1F">
        <w:trPr>
          <w:trHeight w:val="70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6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Технический центр кабельного телевидения</w:t>
            </w:r>
          </w:p>
        </w:tc>
        <w:tc>
          <w:tcPr>
            <w:tcW w:w="2268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 на жилой район</w:t>
            </w: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4.5.2. Расчетные показатели минимально допустимого уровня обеспеченности населения муниципального района объектами информатизации и связи, не представленными в таблице 5, не устанавливаются.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4.5.3. </w:t>
      </w:r>
      <w:r w:rsidRPr="00825F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Расчетные показатели максимально допустимого уровня территориальной доступности объектов информатизации и связи для населения муниципального района не устанавливаются.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14" w:name="_Toc424561649"/>
      <w:r w:rsidRPr="00825F1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4.6. Расчетные показатели </w:t>
      </w:r>
      <w:r w:rsidRPr="00825F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культуры и досуга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 района</w:t>
      </w:r>
      <w:bookmarkEnd w:id="14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4.6.1. Указанные расчетные показатели для объектов культуры и досуга, относящихся к объектам местного значения муниципального района, не устанавливаются.</w:t>
      </w: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15" w:name="_Toc424561650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 xml:space="preserve">4.7. Расчетные показатели </w:t>
      </w:r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социального обеспечения и социальной защиты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5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4.7.1. Указанные расчетные показатели следует принимать в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таблицей 6.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6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825F1F" w:rsidRPr="00825F1F" w:rsidTr="00825F1F">
        <w:trPr>
          <w:trHeight w:val="1408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825F1F" w:rsidRPr="00825F1F" w:rsidTr="00825F1F">
        <w:trPr>
          <w:trHeight w:val="1117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Комплексный центр социального обслуживания населения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1009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Отделение социальной помощи семье и детям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1209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Дом-интернат для престарелых и инвалидов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3 тыс. человек  /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1100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Дома ночного пребывания, центры социальной адаптации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4.7.2. Расчетные показатели для объектов, не представленных в таблице 6, не устанавливаются.</w:t>
      </w: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259" w:lineRule="auto"/>
        <w:rPr>
          <w:rFonts w:ascii="Calibri" w:eastAsia="Calibri" w:hAnsi="Calibri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bookmarkStart w:id="16" w:name="_Toc424561651"/>
      <w:r w:rsidRPr="00825F1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4.8. Расчетные показатели </w:t>
      </w:r>
      <w:r w:rsidRPr="00825F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6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4.8.1. Указанные расчетные показатели приведены в таблице 7.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7</w:t>
      </w:r>
    </w:p>
    <w:tbl>
      <w:tblPr>
        <w:tblStyle w:val="2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825F1F" w:rsidRPr="00825F1F" w:rsidTr="00825F1F">
        <w:trPr>
          <w:trHeight w:val="1469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25F1F" w:rsidRPr="00825F1F" w:rsidTr="00825F1F">
        <w:trPr>
          <w:trHeight w:val="526"/>
        </w:trPr>
        <w:tc>
          <w:tcPr>
            <w:tcW w:w="10206" w:type="dxa"/>
            <w:gridSpan w:val="4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городских населенных пунктов:</w:t>
            </w:r>
          </w:p>
        </w:tc>
      </w:tr>
      <w:tr w:rsidR="00825F1F" w:rsidRPr="00825F1F" w:rsidTr="00825F1F">
        <w:trPr>
          <w:trHeight w:val="890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Детско-юношеские спортивные школы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 кв. метров площади зала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825F1F" w:rsidRPr="00825F1F" w:rsidTr="00825F1F">
        <w:trPr>
          <w:trHeight w:val="1270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Бассейны (открытые и закрытые общего пользования)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75 кв. метров площади зеркала воды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825F1F" w:rsidRPr="00825F1F" w:rsidTr="00825F1F">
        <w:trPr>
          <w:trHeight w:val="824"/>
        </w:trPr>
        <w:tc>
          <w:tcPr>
            <w:tcW w:w="10206" w:type="dxa"/>
            <w:gridSpan w:val="4"/>
            <w:vAlign w:val="center"/>
          </w:tcPr>
          <w:p w:rsidR="00825F1F" w:rsidRPr="00825F1F" w:rsidRDefault="00825F1F" w:rsidP="00825F1F">
            <w:pPr>
              <w:ind w:firstLine="743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825F1F" w:rsidRPr="00825F1F" w:rsidRDefault="00825F1F" w:rsidP="00825F1F">
            <w:pPr>
              <w:ind w:firstLine="743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Расчетные показатели не устанавливаются для сельских населенных пунктов.</w:t>
            </w:r>
          </w:p>
        </w:tc>
      </w:tr>
    </w:tbl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4.8.2. Расчетные показатели для объектов физической культуры и массового спорта, не представленных в таблице 7, не устанавливаются.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17" w:name="_Toc424561652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4.9. Расчетные показатели </w:t>
      </w:r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объектами утилизации и переработки бытовых и промышленных отходов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7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4.9.1. Организацию системы обращения с бытовыми и промышленными отходами, образующимися на территории муниципального района, необходимо предусматривать в соответствии с Генеральной схемой санитарной очистки территории Верхнеуслонского муниципального района Республики Татарстан и Правилами благоустройства территории Верхнеуслонского муниципального района Республики Татарстан.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bookmarkStart w:id="18" w:name="_Toc424561653"/>
      <w:r w:rsidRPr="00825F1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4.10. Расчетные показатели </w:t>
      </w:r>
      <w:r w:rsidRPr="00825F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минимально допустимого уровня обеспеченности объектами, обеспечивающими охрану общественного порядка,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bookmarkEnd w:id="18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4.10.1. Указанные расчетные показатели следует принимать в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таблицей 8. 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8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825F1F" w:rsidRPr="00825F1F" w:rsidTr="00825F1F">
        <w:trPr>
          <w:trHeight w:val="1408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825F1F" w:rsidRPr="00825F1F" w:rsidTr="00825F1F">
        <w:trPr>
          <w:trHeight w:val="70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Отделение/отдел полиции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430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Опорный пункт охраны порядка</w:t>
            </w:r>
          </w:p>
        </w:tc>
      </w:tr>
      <w:tr w:rsidR="00825F1F" w:rsidRPr="00825F1F" w:rsidTr="00825F1F">
        <w:trPr>
          <w:trHeight w:val="709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городских населенных пунктов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 кв. метров общей площади на жилую группу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697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сельских населенных пунктов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 – 3 сельских поселений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color w:val="FF0000"/>
          <w:lang w:bidi="hi-IN"/>
        </w:rPr>
      </w:pPr>
    </w:p>
    <w:p w:rsidR="00825F1F" w:rsidRPr="00825F1F" w:rsidRDefault="00825F1F" w:rsidP="00825F1F">
      <w:pPr>
        <w:keepNext/>
        <w:keepLines/>
        <w:numPr>
          <w:ilvl w:val="0"/>
          <w:numId w:val="17"/>
        </w:numPr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19" w:name="_Toc424561654"/>
      <w:r w:rsidRPr="00825F1F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РЕКОМЕНДАЦИИ К ОПРЕДЕЛЕНИЮ НОРМАТИВНОЙ ПОТРЕБНОСТИ НАСЕЛЕНИЯ МУНИЦИПАЛЬНОГО РАЙОНА В ОБЪЕКТАХ МЕСТНОГО ЗНАЧЕНИЯ МУНИЦИПАЛЬНОГО РАЙОНА, РАЗМЩЕНИЮ УКАЗАННЫХ ОБЪЕКТОВ</w:t>
      </w:r>
      <w:bookmarkEnd w:id="19"/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0" w:name="_Toc424561655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5.1. Рекомендации к размещению объектов электро- и газоснабжения</w:t>
      </w:r>
      <w:bookmarkEnd w:id="20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5.1.1.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электроисточники</w:t>
      </w:r>
      <w:proofErr w:type="spellEnd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, определяемых в соответствии с требованиями </w:t>
      </w:r>
      <w:r w:rsidRPr="00825F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РД 34.20.185-94 «Инструкция по проектированию городских электрических сетей» (раздел 2), </w:t>
      </w:r>
      <w:r w:rsidRPr="00825F1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 31-110-2003 «Проектирование и монтаж электроустановок жилых и общественных зданий» (раздел 6), </w:t>
      </w:r>
      <w:r w:rsidRPr="00825F1F">
        <w:rPr>
          <w:rFonts w:ascii="Times New Roman" w:eastAsia="Calibri" w:hAnsi="Times New Roman" w:cs="Times New Roman"/>
          <w:sz w:val="24"/>
          <w:szCs w:val="24"/>
        </w:rPr>
        <w:t>Положением о технической политике ОАО «ФСК ЕЭС» от 02.06.2006 г (раздел 2).</w:t>
      </w:r>
      <w:proofErr w:type="gramEnd"/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с таблицей 9.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Таблица 9</w:t>
      </w:r>
    </w:p>
    <w:tbl>
      <w:tblPr>
        <w:tblStyle w:val="2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701"/>
        <w:gridCol w:w="1701"/>
        <w:gridCol w:w="1134"/>
        <w:gridCol w:w="1701"/>
      </w:tblGrid>
      <w:tr w:rsidR="00825F1F" w:rsidRPr="00825F1F" w:rsidTr="00825F1F">
        <w:trPr>
          <w:trHeight w:val="246"/>
        </w:trPr>
        <w:tc>
          <w:tcPr>
            <w:tcW w:w="1276" w:type="dxa"/>
            <w:vMerge w:val="restart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proofErr w:type="gramStart"/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Числен-</w:t>
            </w:r>
            <w:proofErr w:type="spellStart"/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ность</w:t>
            </w:r>
            <w:proofErr w:type="spellEnd"/>
            <w:proofErr w:type="gramEnd"/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 xml:space="preserve"> населения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930" w:type="dxa"/>
            <w:gridSpan w:val="6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825F1F" w:rsidRPr="00825F1F" w:rsidTr="00825F1F">
        <w:trPr>
          <w:trHeight w:val="606"/>
        </w:trPr>
        <w:tc>
          <w:tcPr>
            <w:tcW w:w="1276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с плитами на природном газе</w:t>
            </w:r>
          </w:p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(кВт/человека)</w:t>
            </w:r>
          </w:p>
        </w:tc>
        <w:tc>
          <w:tcPr>
            <w:tcW w:w="4536" w:type="dxa"/>
            <w:gridSpan w:val="3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со стационарными электрическими плитами (кВт/человека)</w:t>
            </w:r>
          </w:p>
        </w:tc>
      </w:tr>
      <w:tr w:rsidR="00825F1F" w:rsidRPr="00825F1F" w:rsidTr="00825F1F">
        <w:tc>
          <w:tcPr>
            <w:tcW w:w="1276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 xml:space="preserve">в </w:t>
            </w:r>
            <w:proofErr w:type="gramStart"/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целом</w:t>
            </w:r>
            <w:proofErr w:type="gramEnd"/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 xml:space="preserve">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 xml:space="preserve">в </w:t>
            </w:r>
            <w:proofErr w:type="gramStart"/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целом</w:t>
            </w:r>
            <w:proofErr w:type="gramEnd"/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 xml:space="preserve"> по населенному пункту</w:t>
            </w:r>
          </w:p>
        </w:tc>
        <w:tc>
          <w:tcPr>
            <w:tcW w:w="2835" w:type="dxa"/>
            <w:gridSpan w:val="2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825F1F" w:rsidRPr="00825F1F" w:rsidTr="00825F1F">
        <w:trPr>
          <w:trHeight w:val="862"/>
        </w:trPr>
        <w:tc>
          <w:tcPr>
            <w:tcW w:w="1276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  <w:tc>
          <w:tcPr>
            <w:tcW w:w="1701" w:type="dxa"/>
            <w:vMerge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825F1F" w:rsidRPr="00825F1F" w:rsidTr="00825F1F">
        <w:trPr>
          <w:trHeight w:val="400"/>
        </w:trPr>
        <w:tc>
          <w:tcPr>
            <w:tcW w:w="127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свыше 50</w:t>
            </w:r>
          </w:p>
        </w:tc>
        <w:tc>
          <w:tcPr>
            <w:tcW w:w="1559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0,62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0,41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0,72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0,51</w:t>
            </w:r>
          </w:p>
        </w:tc>
      </w:tr>
      <w:tr w:rsidR="00825F1F" w:rsidRPr="00825F1F" w:rsidTr="00825F1F">
        <w:trPr>
          <w:trHeight w:val="400"/>
        </w:trPr>
        <w:tc>
          <w:tcPr>
            <w:tcW w:w="127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3 – 50</w:t>
            </w:r>
          </w:p>
        </w:tc>
        <w:tc>
          <w:tcPr>
            <w:tcW w:w="1559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0,43</w:t>
            </w: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0,55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0,40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0,52</w:t>
            </w: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0,50</w:t>
            </w:r>
          </w:p>
        </w:tc>
      </w:tr>
      <w:tr w:rsidR="00825F1F" w:rsidRPr="00825F1F" w:rsidTr="00825F1F">
        <w:trPr>
          <w:trHeight w:val="400"/>
        </w:trPr>
        <w:tc>
          <w:tcPr>
            <w:tcW w:w="1276" w:type="dxa"/>
            <w:vAlign w:val="center"/>
          </w:tcPr>
          <w:p w:rsidR="00825F1F" w:rsidRPr="00825F1F" w:rsidRDefault="00825F1F" w:rsidP="00825F1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1559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0,41</w:t>
            </w: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0,51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0,39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0,62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0,49</w:t>
            </w:r>
          </w:p>
        </w:tc>
      </w:tr>
      <w:tr w:rsidR="00825F1F" w:rsidRPr="00825F1F" w:rsidTr="00825F1F">
        <w:trPr>
          <w:trHeight w:val="3674"/>
        </w:trPr>
        <w:tc>
          <w:tcPr>
            <w:tcW w:w="10206" w:type="dxa"/>
            <w:gridSpan w:val="7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43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lastRenderedPageBreak/>
              <w:t>Примечание.</w:t>
            </w:r>
          </w:p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43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1. При наличии в населенном пункте жилых домов с газовыми и электрическими плитами показатели определяются методом интерполяции пропорционально их соотношению.</w:t>
            </w:r>
          </w:p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43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2.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43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3. В таблице не учтены нагрузки от </w:t>
            </w:r>
            <w:proofErr w:type="spellStart"/>
            <w:r w:rsidRPr="00825F1F">
              <w:rPr>
                <w:rFonts w:eastAsia="Calibri"/>
                <w:sz w:val="24"/>
                <w:szCs w:val="24"/>
              </w:rPr>
              <w:t>мелкопромышленных</w:t>
            </w:r>
            <w:proofErr w:type="spellEnd"/>
            <w:r w:rsidRPr="00825F1F">
              <w:rPr>
                <w:rFonts w:eastAsia="Calibri"/>
                <w:sz w:val="24"/>
                <w:szCs w:val="24"/>
              </w:rPr>
              <w:t xml:space="preserve"> предприятий. Для их учета следует применять следующие коэффициенты:</w:t>
            </w:r>
          </w:p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43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для населенных пунктов с плитами на природном газе: 1,2 – 1,6;</w:t>
            </w:r>
          </w:p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43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для населенных пунктов со стационарными электрическими плитами: 1,1 – 1,5.</w:t>
            </w:r>
          </w:p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743"/>
              <w:rPr>
                <w:rFonts w:eastAsia="Calibri"/>
                <w:sz w:val="24"/>
                <w:szCs w:val="24"/>
                <w:highlight w:val="cyan"/>
              </w:rPr>
            </w:pPr>
            <w:r w:rsidRPr="00825F1F">
              <w:rPr>
                <w:rFonts w:eastAsia="Calibri"/>
                <w:sz w:val="24"/>
                <w:szCs w:val="24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Выбор 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825F1F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или 35 – 110 – 330 – 750 </w:t>
      </w:r>
      <w:proofErr w:type="spellStart"/>
      <w:r w:rsidRPr="00825F1F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825F1F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электрических сетей должно выполняться комплексно с увязкой между собой </w:t>
      </w:r>
      <w:proofErr w:type="spell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электроснабжающих</w:t>
      </w:r>
      <w:proofErr w:type="spell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сетей напряжением 35 – 110 </w:t>
      </w:r>
      <w:proofErr w:type="spell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кВ</w:t>
      </w:r>
      <w:proofErr w:type="spell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и выше и распределительных сетей напряжением 6 – 20 </w:t>
      </w:r>
      <w:proofErr w:type="spell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кВ</w:t>
      </w:r>
      <w:proofErr w:type="spell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учетом всех потребителей населенных пунктов и прилегающих к ним территорий.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принадлежности.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Правил устройства электроустановок и </w:t>
      </w: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раздела 2 </w:t>
      </w:r>
      <w:r w:rsidRPr="00825F1F">
        <w:rPr>
          <w:rFonts w:ascii="Times New Roman" w:eastAsia="Calibri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665125" w:rsidRPr="00665125" w:rsidRDefault="00825F1F" w:rsidP="006651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5.1.2.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</w:t>
      </w:r>
      <w:hyperlink r:id="rId12" w:history="1">
        <w:r w:rsidR="00665125" w:rsidRPr="00665125">
          <w:rPr>
            <w:rFonts w:ascii="Times New Roman" w:hAnsi="Times New Roman" w:cs="Times New Roman"/>
            <w:sz w:val="24"/>
            <w:szCs w:val="24"/>
          </w:rPr>
          <w:t>норм и правил</w:t>
        </w:r>
      </w:hyperlink>
      <w:r w:rsidR="00665125" w:rsidRPr="00665125"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"Правила безопасности сетей газораспределения и </w:t>
      </w:r>
      <w:proofErr w:type="spellStart"/>
      <w:r w:rsidR="00665125" w:rsidRPr="0066512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665125" w:rsidRPr="00665125">
        <w:rPr>
          <w:rFonts w:ascii="Times New Roman" w:hAnsi="Times New Roman" w:cs="Times New Roman"/>
          <w:sz w:val="24"/>
          <w:szCs w:val="24"/>
        </w:rPr>
        <w:t>".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Укрупненный показатель потребления газа следует принимать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размере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: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 наличии централизованного горячего водоснабжения – 120 куб. м в год на человека;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 горячем водоснабжении от газовых водонагревателей – 300 куб. м в год на человека;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 отсутствии горячего водоснабжения – 180 куб. м в год на человека;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для сельских населенных пунктов – 220 куб. м в год на человека.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25F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Максимальные размеры земельных участков для размещения газонаполнительных станций в зависимости от их производительности составляют: 10 тысяч тонн в год – 6 га; 20 тысяч тонн в год – 7 га; 40 тысяч тонн в год – 8 га.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Размеры земельных участков для размещения газонаполнительных пунктов следует принимать не более 0,6 га.</w:t>
      </w:r>
    </w:p>
    <w:p w:rsidR="00825F1F" w:rsidRPr="00825F1F" w:rsidRDefault="00825F1F" w:rsidP="00825F1F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1" w:name="_Toc424561656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5.2. Рекомендации к определению нормативной потребности населения муниципального района в объектах транспорта, расположенных вне границ населенных пунктов, размещению указанных объектов</w:t>
      </w:r>
      <w:bookmarkEnd w:id="21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5.2.1. Проектирование предприятий и объектов автосервиса, предназначенных для обслуживания подвижного состава (станции технического обслуживания, автомобильные заправочные станции, моечные пункты, осмотровые эстакады, площадки-стоянки) следует осуществлять на основе экономических и статистических изысканий в зависимости от интенсивности движения автомобильного транспорта.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5.2.2. Количество и вместимость предприятий торговли и общественного питания, предназначенных для обслуживания проезжающих людей, следует принимать по заданию на проектирование с учетом интенсивности движения автомобилей, численности проезжающих автотуристов, а также потребностей близлежащих населенных пунктов.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5.2.3. На автомобильных дорогах следует предусматривать площадки отдыха, остановки туристского транспорта. Рекомендуемое расстояние между ними для автомобильных дорог </w:t>
      </w:r>
      <w:r w:rsidRPr="00825F1F">
        <w:rPr>
          <w:rFonts w:ascii="Times New Roman" w:eastAsia="Calibri" w:hAnsi="Times New Roman" w:cs="Times New Roman"/>
          <w:sz w:val="24"/>
          <w:szCs w:val="24"/>
          <w:lang w:val="en-US" w:bidi="hi-IN"/>
        </w:rPr>
        <w:t>III</w:t>
      </w: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категории составляет 25 – 35 километров, для автомобильных дорог </w:t>
      </w:r>
      <w:r w:rsidRPr="00825F1F">
        <w:rPr>
          <w:rFonts w:ascii="Times New Roman" w:eastAsia="Calibri" w:hAnsi="Times New Roman" w:cs="Times New Roman"/>
          <w:sz w:val="24"/>
          <w:szCs w:val="24"/>
          <w:lang w:val="en-US" w:bidi="hi-IN"/>
        </w:rPr>
        <w:t>IV</w:t>
      </w: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категории – 45 – 55 километров. 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Вместимость данных площадок следует рассчитывать на одновременную остановку не менее 10 – 15 транспортных единиц на дорогах III категории, 10 – на дорогах IV категории.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lastRenderedPageBreak/>
        <w:t xml:space="preserve">5.2.4.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местах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остановок общественного пассажирского автомобильного транспорта рекомендуется  предусматривать остановочные и посадочные площадки, павильоны для пассажиров.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Ширину остановочных площадок следует принимать равной ширине основных полос проезжей части, а длину – в зависимости от числа единовременно останавливающихся автобусов, но не менее 10 метров.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5.2.</w:t>
      </w:r>
      <w:r w:rsidR="00665125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. Требования к размещению автомобильных дорог вне границ населенных пунктов и объектов транспортного обслуживания, относящихся к объектам местного значения муниципального района, их параметры устанавливаются в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</w:t>
      </w:r>
      <w:r w:rsidR="00665125">
        <w:rPr>
          <w:rFonts w:ascii="Times New Roman" w:eastAsia="Calibri" w:hAnsi="Times New Roman" w:cs="Times New Roman"/>
          <w:sz w:val="24"/>
          <w:szCs w:val="24"/>
        </w:rPr>
        <w:t xml:space="preserve">СП 42.13330 «СНиП 2.07.01-89* </w:t>
      </w:r>
      <w:r w:rsidRPr="00825F1F">
        <w:rPr>
          <w:rFonts w:ascii="Times New Roman" w:eastAsia="Calibri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 и иными нормативными документами в области транспорта</w:t>
      </w:r>
      <w:r w:rsidR="00665125">
        <w:rPr>
          <w:rFonts w:ascii="Times New Roman" w:eastAsia="Calibri" w:hAnsi="Times New Roman" w:cs="Times New Roman"/>
          <w:sz w:val="24"/>
          <w:szCs w:val="24"/>
        </w:rPr>
        <w:t>»</w:t>
      </w:r>
      <w:r w:rsidRPr="00825F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F1F" w:rsidRPr="00825F1F" w:rsidRDefault="00825F1F" w:rsidP="00825F1F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2" w:name="_Toc424561657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5.3. Рекомендации к размещению объектов образования</w:t>
      </w:r>
      <w:bookmarkEnd w:id="22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5C1ED4" w:rsidP="005C1E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</w:t>
      </w:r>
      <w:r w:rsidR="00825F1F"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5.3.1. Требования к размещению объектов образования и их параметры </w:t>
      </w:r>
      <w:r w:rsidR="00825F1F"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устанавливаются в </w:t>
      </w:r>
      <w:proofErr w:type="gramStart"/>
      <w:r w:rsidR="00825F1F"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="00825F1F"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</w:t>
      </w:r>
      <w:r w:rsidR="00665125">
        <w:rPr>
          <w:rFonts w:ascii="Times New Roman" w:eastAsia="Calibri" w:hAnsi="Times New Roman" w:cs="Times New Roman"/>
          <w:sz w:val="24"/>
          <w:szCs w:val="24"/>
        </w:rPr>
        <w:t xml:space="preserve">СП 42.13330 «СНиП 2.07.01-89* </w:t>
      </w:r>
      <w:r w:rsidR="00825F1F" w:rsidRPr="00825F1F">
        <w:rPr>
          <w:rFonts w:ascii="Times New Roman" w:eastAsia="Calibri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поселений», </w:t>
      </w:r>
      <w:hyperlink r:id="rId13" w:history="1">
        <w:r w:rsidR="00665125" w:rsidRPr="00665125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665125" w:rsidRPr="00665125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</w:t>
      </w:r>
      <w:r w:rsidR="00825F1F" w:rsidRPr="00825F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5.3.2. Для сельских населенных пунктов с численностью населения менее 200 человек рекомендуется предусматривать размещение дошкольных учреждений малой вместимости совместно с начальными классами.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5.3.3. В сельских населенных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пунктах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места учреждений дополнительного образования рекомендуется предусматривать в зданиях общеобразовательных школ.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5.3.4. Норматив числа мест в дошкольных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учреждениях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для здоровых детей составляет: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5F1F" w:rsidRPr="00825F1F" w:rsidSect="00825F1F">
          <w:footerReference w:type="default" r:id="rId14"/>
          <w:footerReference w:type="first" r:id="rId15"/>
          <w:pgSz w:w="11906" w:h="16838"/>
          <w:pgMar w:top="1135" w:right="566" w:bottom="1135" w:left="1134" w:header="567" w:footer="293" w:gutter="0"/>
          <w:cols w:space="708"/>
          <w:titlePg/>
          <w:docGrid w:linePitch="360"/>
        </w:sect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1 группу – 10 – 20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группы –18 – 40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группы – 28 – 60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 группы – 48 – 80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5 групп – 46 – 100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 групп – 58 – 120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7 групп – 64 – 140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 групп – 74 – 160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9 групп – 84 – 180 мест;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 групп – 92 – 200 мест.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sectPr w:rsidR="00825F1F" w:rsidRPr="00825F1F" w:rsidSect="00825F1F">
          <w:type w:val="continuous"/>
          <w:pgSz w:w="11906" w:h="16838"/>
          <w:pgMar w:top="1135" w:right="566" w:bottom="1135" w:left="1134" w:header="567" w:footer="293" w:gutter="0"/>
          <w:pgNumType w:start="1"/>
          <w:cols w:num="2" w:space="708"/>
          <w:titlePg/>
          <w:docGrid w:linePitch="360"/>
        </w:sect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lastRenderedPageBreak/>
        <w:t>5.3.5. Удельные показатели общей площади дошкольных учреждений (площади зданий) для городских и сельских населенных пунктов приведены в таблице 10.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10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25F1F" w:rsidRPr="00825F1F" w:rsidTr="00825F1F">
        <w:trPr>
          <w:trHeight w:val="544"/>
        </w:trPr>
        <w:tc>
          <w:tcPr>
            <w:tcW w:w="2835" w:type="dxa"/>
            <w:vMerge w:val="restart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bidi="hi-IN"/>
              </w:rPr>
              <w:t>Тип дошкольного учреждения</w:t>
            </w:r>
          </w:p>
        </w:tc>
        <w:tc>
          <w:tcPr>
            <w:tcW w:w="7371" w:type="dxa"/>
            <w:gridSpan w:val="2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bidi="hi-IN"/>
              </w:rPr>
              <w:t>Показатель (кв. метров на воспитанника)</w:t>
            </w:r>
          </w:p>
        </w:tc>
      </w:tr>
      <w:tr w:rsidR="00825F1F" w:rsidRPr="00825F1F" w:rsidTr="00825F1F">
        <w:trPr>
          <w:trHeight w:val="765"/>
        </w:trPr>
        <w:tc>
          <w:tcPr>
            <w:tcW w:w="2835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bidi="hi-IN"/>
              </w:rPr>
              <w:t>для городских населенных пунктов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bidi="hi-IN"/>
              </w:rPr>
              <w:t>для сельских населенных пунктов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1 группу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19,59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2 группы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12,05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3 группы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11,31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4 группы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15,99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10,49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6 групп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15,37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12,30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8 групп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14,51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11,04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10 групп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15,12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825F1F" w:rsidRPr="00825F1F" w:rsidTr="00825F1F">
        <w:trPr>
          <w:trHeight w:val="409"/>
        </w:trPr>
        <w:tc>
          <w:tcPr>
            <w:tcW w:w="2835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12 групп</w:t>
            </w:r>
          </w:p>
        </w:tc>
        <w:tc>
          <w:tcPr>
            <w:tcW w:w="368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13,89</w:t>
            </w:r>
          </w:p>
        </w:tc>
        <w:tc>
          <w:tcPr>
            <w:tcW w:w="3685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color w:val="000000"/>
                <w:sz w:val="24"/>
                <w:szCs w:val="24"/>
              </w:rPr>
              <w:t>–</w:t>
            </w:r>
          </w:p>
        </w:tc>
      </w:tr>
    </w:tbl>
    <w:p w:rsidR="00825F1F" w:rsidRPr="00825F1F" w:rsidRDefault="00825F1F" w:rsidP="00825F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5.3.6. Размеры земельных участков для дошкольных учреждений следует принимать в зависимости от вместимости объектов: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до 100 мест – 40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свыше 100 мест – 35 кв. метров на 1 место.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Указанные размеры земельных участков могут быть уменьшены на 25 % в условиях реконструкции; на 10 % во </w:t>
      </w:r>
      <w:r w:rsidRPr="00825F1F">
        <w:rPr>
          <w:rFonts w:ascii="Times New Roman" w:eastAsia="Calibri" w:hAnsi="Times New Roman" w:cs="Times New Roman"/>
          <w:sz w:val="24"/>
          <w:szCs w:val="24"/>
        </w:rPr>
        <w:t>вновь создаваемых или территориально развивающихся населенных пунктах, предполагаемая численность населения которых увеличится более чем в 2 раза.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5.3.7. Удельные показатели общей площади общеобразовательных учреждений (площади зданий) для городских и сельских населенных пунктов приведены в таблице 11.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11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825F1F" w:rsidRPr="00825F1F" w:rsidTr="00825F1F">
        <w:trPr>
          <w:trHeight w:val="386"/>
        </w:trPr>
        <w:tc>
          <w:tcPr>
            <w:tcW w:w="10206" w:type="dxa"/>
            <w:gridSpan w:val="4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bidi="hi-IN"/>
              </w:rPr>
              <w:t>Показатель (кв. метров на воспитанника)</w:t>
            </w:r>
          </w:p>
        </w:tc>
      </w:tr>
      <w:tr w:rsidR="00825F1F" w:rsidRPr="00825F1F" w:rsidTr="00825F1F">
        <w:trPr>
          <w:trHeight w:val="394"/>
        </w:trPr>
        <w:tc>
          <w:tcPr>
            <w:tcW w:w="5103" w:type="dxa"/>
            <w:gridSpan w:val="2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bidi="hi-IN"/>
              </w:rPr>
              <w:t>для городских населенных пунктов</w:t>
            </w:r>
          </w:p>
        </w:tc>
        <w:tc>
          <w:tcPr>
            <w:tcW w:w="5103" w:type="dxa"/>
            <w:gridSpan w:val="2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bidi="hi-IN"/>
              </w:rPr>
              <w:t>для сельских населенных пунктов</w:t>
            </w:r>
          </w:p>
        </w:tc>
      </w:tr>
      <w:tr w:rsidR="00825F1F" w:rsidRPr="00825F1F" w:rsidTr="00825F1F">
        <w:trPr>
          <w:trHeight w:val="298"/>
        </w:trPr>
        <w:tc>
          <w:tcPr>
            <w:tcW w:w="10206" w:type="dxa"/>
            <w:gridSpan w:val="4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val="en-US" w:bidi="hi-IN"/>
              </w:rPr>
              <w:t>I</w:t>
            </w:r>
            <w:r w:rsidRPr="00825F1F">
              <w:rPr>
                <w:rFonts w:eastAsia="Calibri"/>
                <w:sz w:val="24"/>
                <w:szCs w:val="24"/>
                <w:lang w:bidi="hi-IN"/>
              </w:rPr>
              <w:t xml:space="preserve"> ступень обучения (начальная):</w:t>
            </w:r>
          </w:p>
        </w:tc>
      </w:tr>
      <w:tr w:rsidR="00825F1F" w:rsidRPr="00825F1F" w:rsidTr="00825F1F">
        <w:trPr>
          <w:trHeight w:val="406"/>
        </w:trPr>
        <w:tc>
          <w:tcPr>
            <w:tcW w:w="3402" w:type="dxa"/>
            <w:vMerge w:val="restart"/>
            <w:vAlign w:val="center"/>
          </w:tcPr>
          <w:p w:rsidR="00825F1F" w:rsidRPr="00825F1F" w:rsidRDefault="00825F1F" w:rsidP="00825F1F">
            <w:pPr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4 класса (180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31,73</w:t>
            </w: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20 учащихся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13,75</w:t>
            </w:r>
          </w:p>
        </w:tc>
      </w:tr>
      <w:tr w:rsidR="00825F1F" w:rsidRPr="00825F1F" w:rsidTr="00825F1F">
        <w:trPr>
          <w:trHeight w:val="412"/>
        </w:trPr>
        <w:tc>
          <w:tcPr>
            <w:tcW w:w="3402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40 учащихся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10,18</w:t>
            </w:r>
          </w:p>
        </w:tc>
      </w:tr>
      <w:tr w:rsidR="00825F1F" w:rsidRPr="00825F1F" w:rsidTr="00825F1F">
        <w:trPr>
          <w:trHeight w:val="405"/>
        </w:trPr>
        <w:tc>
          <w:tcPr>
            <w:tcW w:w="3402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60 учащихся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10,07</w:t>
            </w:r>
          </w:p>
        </w:tc>
      </w:tr>
      <w:tr w:rsidR="00825F1F" w:rsidRPr="00825F1F" w:rsidTr="00825F1F">
        <w:trPr>
          <w:trHeight w:val="308"/>
        </w:trPr>
        <w:tc>
          <w:tcPr>
            <w:tcW w:w="10206" w:type="dxa"/>
            <w:gridSpan w:val="4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val="en-US" w:bidi="hi-IN"/>
              </w:rPr>
              <w:t>I</w:t>
            </w:r>
            <w:r w:rsidRPr="00825F1F">
              <w:rPr>
                <w:rFonts w:eastAsia="Calibri"/>
                <w:sz w:val="24"/>
                <w:szCs w:val="24"/>
                <w:lang w:bidi="hi-IN"/>
              </w:rPr>
              <w:t xml:space="preserve"> и </w:t>
            </w:r>
            <w:r w:rsidRPr="00825F1F">
              <w:rPr>
                <w:rFonts w:eastAsia="Calibri"/>
                <w:sz w:val="24"/>
                <w:szCs w:val="24"/>
                <w:lang w:val="en-US" w:bidi="hi-IN"/>
              </w:rPr>
              <w:t>II</w:t>
            </w:r>
            <w:r w:rsidRPr="00825F1F">
              <w:rPr>
                <w:rFonts w:eastAsia="Calibri"/>
                <w:sz w:val="24"/>
                <w:szCs w:val="24"/>
                <w:lang w:bidi="hi-IN"/>
              </w:rPr>
              <w:t xml:space="preserve"> ступени обучения (девятилетняя):</w:t>
            </w:r>
          </w:p>
        </w:tc>
      </w:tr>
      <w:tr w:rsidR="00825F1F" w:rsidRPr="00825F1F" w:rsidTr="00825F1F">
        <w:trPr>
          <w:trHeight w:val="500"/>
        </w:trPr>
        <w:tc>
          <w:tcPr>
            <w:tcW w:w="3402" w:type="dxa"/>
            <w:vMerge w:val="restart"/>
            <w:vAlign w:val="center"/>
          </w:tcPr>
          <w:p w:rsidR="00825F1F" w:rsidRPr="00825F1F" w:rsidRDefault="00825F1F" w:rsidP="00825F1F">
            <w:pPr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8 классов (400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val="en-US" w:bidi="hi-IN"/>
              </w:rPr>
              <w:t>20</w:t>
            </w:r>
            <w:r w:rsidRPr="00825F1F">
              <w:rPr>
                <w:rFonts w:eastAsia="Calibri"/>
                <w:sz w:val="24"/>
                <w:szCs w:val="24"/>
                <w:lang w:bidi="hi-IN"/>
              </w:rPr>
              <w:t>,00</w:t>
            </w: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108 учащихся (12 уч./класс)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19,43</w:t>
            </w:r>
          </w:p>
        </w:tc>
      </w:tr>
      <w:tr w:rsidR="00825F1F" w:rsidRPr="00825F1F" w:rsidTr="00825F1F">
        <w:trPr>
          <w:trHeight w:val="482"/>
        </w:trPr>
        <w:tc>
          <w:tcPr>
            <w:tcW w:w="3402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val="en-US" w:bidi="hi-IN"/>
              </w:rPr>
            </w:pP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162 учащихся (18 уч./класс)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16,10</w:t>
            </w:r>
          </w:p>
        </w:tc>
      </w:tr>
      <w:tr w:rsidR="00825F1F" w:rsidRPr="00825F1F" w:rsidTr="00825F1F">
        <w:trPr>
          <w:trHeight w:val="450"/>
        </w:trPr>
        <w:tc>
          <w:tcPr>
            <w:tcW w:w="3402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val="en-US" w:bidi="hi-IN"/>
              </w:rPr>
            </w:pPr>
          </w:p>
        </w:tc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216 учащихся (24 уч./класс)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15,15</w:t>
            </w:r>
          </w:p>
        </w:tc>
      </w:tr>
      <w:tr w:rsidR="00825F1F" w:rsidRPr="00825F1F" w:rsidTr="00825F1F">
        <w:trPr>
          <w:trHeight w:val="265"/>
        </w:trPr>
        <w:tc>
          <w:tcPr>
            <w:tcW w:w="10206" w:type="dxa"/>
            <w:gridSpan w:val="4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val="en-US" w:bidi="hi-IN"/>
              </w:rPr>
              <w:t>III</w:t>
            </w:r>
            <w:r w:rsidRPr="00825F1F">
              <w:rPr>
                <w:rFonts w:eastAsia="Calibri"/>
                <w:sz w:val="24"/>
                <w:szCs w:val="24"/>
                <w:lang w:bidi="hi-IN"/>
              </w:rPr>
              <w:t xml:space="preserve"> ступень обучения:</w:t>
            </w:r>
          </w:p>
        </w:tc>
      </w:tr>
      <w:tr w:rsidR="00825F1F" w:rsidRPr="00825F1F" w:rsidTr="00825F1F">
        <w:trPr>
          <w:trHeight w:val="470"/>
        </w:trPr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b/>
                <w:sz w:val="24"/>
                <w:szCs w:val="24"/>
                <w:lang w:val="en-US" w:bidi="hi-IN"/>
              </w:rPr>
            </w:pPr>
            <w:r w:rsidRPr="00825F1F">
              <w:rPr>
                <w:rFonts w:eastAsia="Calibri"/>
                <w:sz w:val="24"/>
                <w:szCs w:val="24"/>
              </w:rPr>
              <w:t>на 11 классов (275 учащихся)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23,92</w:t>
            </w:r>
          </w:p>
        </w:tc>
        <w:tc>
          <w:tcPr>
            <w:tcW w:w="3402" w:type="dxa"/>
            <w:vMerge w:val="restart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на 14 классов (350 учащихся)</w:t>
            </w:r>
          </w:p>
        </w:tc>
        <w:tc>
          <w:tcPr>
            <w:tcW w:w="1701" w:type="dxa"/>
            <w:vMerge w:val="restart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22,25</w:t>
            </w:r>
          </w:p>
        </w:tc>
      </w:tr>
      <w:tr w:rsidR="00825F1F" w:rsidRPr="00825F1F" w:rsidTr="00825F1F">
        <w:trPr>
          <w:trHeight w:val="452"/>
        </w:trPr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на 22 класса (550 учащихся)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20,46</w:t>
            </w:r>
          </w:p>
        </w:tc>
        <w:tc>
          <w:tcPr>
            <w:tcW w:w="3402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</w:tr>
      <w:tr w:rsidR="00825F1F" w:rsidRPr="00825F1F" w:rsidTr="00825F1F">
        <w:trPr>
          <w:trHeight w:val="512"/>
        </w:trPr>
        <w:tc>
          <w:tcPr>
            <w:tcW w:w="3402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на 33 класса (825 учащихся)</w:t>
            </w:r>
          </w:p>
        </w:tc>
        <w:tc>
          <w:tcPr>
            <w:tcW w:w="1701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bidi="hi-IN"/>
              </w:rPr>
            </w:pPr>
            <w:r w:rsidRPr="00825F1F">
              <w:rPr>
                <w:rFonts w:eastAsia="Calibri"/>
                <w:sz w:val="24"/>
                <w:szCs w:val="24"/>
                <w:lang w:bidi="hi-IN"/>
              </w:rPr>
              <w:t>16,96</w:t>
            </w:r>
          </w:p>
        </w:tc>
        <w:tc>
          <w:tcPr>
            <w:tcW w:w="3402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bidi="hi-IN"/>
              </w:rPr>
            </w:pPr>
          </w:p>
        </w:tc>
      </w:tr>
    </w:tbl>
    <w:p w:rsidR="00825F1F" w:rsidRPr="00825F1F" w:rsidRDefault="00825F1F" w:rsidP="00825F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5.3.8. Размеры земельных участков для общеобразовательных учреждений следует принимать в зависимости от вместимости объектов: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до 400 мест – 50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400 – 500 мест – 60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500 – 600 мест – 50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600 – 800 мест – 40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800 – 1100 мест – 33 кв. метра на 1 место;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1100 – 1500 место – 21 кв. метр на 1 место;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1500 – 2000 мест – 17 кв. метров на 1 место.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Указанные размеры могут быть уменьшены на 20 % в условиях реконструкции.</w:t>
      </w:r>
    </w:p>
    <w:p w:rsidR="00825F1F" w:rsidRPr="00825F1F" w:rsidRDefault="00825F1F" w:rsidP="00825F1F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3" w:name="_Toc424561658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5.4. Рекомендации к определению нормативной потребности населения муниципального района в объектах здравоохранения, размещению указанных объектов</w:t>
      </w:r>
      <w:bookmarkEnd w:id="23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5.4.1. Рекомендуемые показатели обеспеченности населения муниципального района аптеками и молочными кухнями, территориальной доступности таких объектов для населения муниципального района приведены в таблице 12.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Таблица 12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825F1F" w:rsidRPr="00825F1F" w:rsidTr="00825F1F">
        <w:trPr>
          <w:trHeight w:val="931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Уровень территориальной доступности  для населения </w:t>
            </w:r>
          </w:p>
        </w:tc>
      </w:tr>
      <w:tr w:rsidR="00825F1F" w:rsidRPr="00825F1F" w:rsidTr="00825F1F">
        <w:trPr>
          <w:trHeight w:val="406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Аптеки</w:t>
            </w:r>
          </w:p>
        </w:tc>
      </w:tr>
      <w:tr w:rsidR="00825F1F" w:rsidRPr="00825F1F" w:rsidTr="00825F1F">
        <w:trPr>
          <w:trHeight w:val="967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10 тыс. человек /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50 кв. метров общей площади на 1 тыс. человек 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825F1F" w:rsidRPr="00825F1F" w:rsidTr="00825F1F">
        <w:trPr>
          <w:trHeight w:val="723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14 кв. метров общей площади на 1 тыс. человек 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доступности</w:t>
            </w:r>
          </w:p>
        </w:tc>
      </w:tr>
      <w:tr w:rsidR="00825F1F" w:rsidRPr="00825F1F" w:rsidTr="00825F1F">
        <w:trPr>
          <w:trHeight w:val="440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Молочные кухни (для детей до 1 года)</w:t>
            </w:r>
          </w:p>
        </w:tc>
      </w:tr>
      <w:tr w:rsidR="00825F1F" w:rsidRPr="00825F1F" w:rsidTr="00825F1F">
        <w:trPr>
          <w:trHeight w:val="576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городских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 порции в сутки на 1 ребенка</w:t>
            </w:r>
          </w:p>
        </w:tc>
        <w:tc>
          <w:tcPr>
            <w:tcW w:w="3260" w:type="dxa"/>
            <w:vMerge w:val="restart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25F1F" w:rsidRPr="00825F1F" w:rsidTr="00825F1F">
        <w:trPr>
          <w:trHeight w:val="70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 сельских населенных </w:t>
            </w:r>
            <w:proofErr w:type="gramStart"/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пунктах</w:t>
            </w:r>
            <w:proofErr w:type="gramEnd"/>
          </w:p>
        </w:tc>
        <w:tc>
          <w:tcPr>
            <w:tcW w:w="3260" w:type="dxa"/>
            <w:vMerge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Merge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5F1F" w:rsidRPr="00825F1F" w:rsidRDefault="00825F1F" w:rsidP="00825F1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825F1F" w:rsidRPr="00825F1F" w:rsidRDefault="00825F1F" w:rsidP="005C1E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5.4.2. Требования к размещению объектов здравоохранения и их параметры 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устанавливаются в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СП 42.13330</w:t>
      </w:r>
      <w:r w:rsidR="005C1E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СНиП 2.07.01-89*</w:t>
      </w:r>
      <w:r w:rsidR="005C1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поселений», </w:t>
      </w:r>
      <w:r w:rsidR="005C1ED4">
        <w:rPr>
          <w:rFonts w:ascii="Times New Roman" w:hAnsi="Times New Roman" w:cs="Times New Roman"/>
          <w:sz w:val="24"/>
          <w:szCs w:val="24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и иными нормативными документами.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5.4.3. Размеры земельных участков для стационаров вех типов следует принимать в зависимости от вместимости объектов: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50 коек – 300 кв. метров на 1 койко-место;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50 – 100 коек – 300 – 200 кв. метров на 1 койко-место;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100 – 200 коек – 200 – 140 кв. метров на 1 койко-место;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200 – 400 коек – 140 – 100 кв. метров на 1 койко-место;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400 – 800 коек – 100 – 80 кв. метров на 1 койко-место;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800 – 1000 коек – 80 – 60 кв. метров на 1 койко-место;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свыше 1000 коек – 60 кв. метров на 1 койко-место.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Указанные размеры могут быть уменьшены на 25 % в условиях реконструкции.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5.4.4. Размер земельного участка для амбулаторно-поликлинических учреждений, диспансеров без стационара следует предусматривать равным 0,1 га на 100 посещений в смену, но не менее 0,3 га на объект.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5.4.5. Размер земельного участка для фельдшерско-акушерского пункта следует принимать равным 0,2 га.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5.4.6. Размер земельного участка для станции (подстанции) скорой медицинской помощи, выдвижного пункта медицинской помощи рекомендуется принимать в размере 0,05 га на 1 автомобиль, но не менее 0,1 га.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5.4.7. Размер земельного участка для аптек следует принимать равным 0,2 – 0,3 га.</w:t>
      </w:r>
    </w:p>
    <w:p w:rsidR="00825F1F" w:rsidRPr="00825F1F" w:rsidRDefault="00825F1F" w:rsidP="00825F1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5.4.8. Размер земельного участка для молочных кухонь рекомендуется принимать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размере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0,015 га на 1 тыс. порций в сутки, но не менее 0,15 га.</w:t>
      </w:r>
    </w:p>
    <w:p w:rsidR="00825F1F" w:rsidRPr="00825F1F" w:rsidRDefault="00825F1F" w:rsidP="00825F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:rsidR="00825F1F" w:rsidRPr="00825F1F" w:rsidRDefault="00825F1F" w:rsidP="00825F1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4" w:name="_Toc424561659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5.5. Рекомендации к размещению объектов информатизации и связи</w:t>
      </w:r>
      <w:bookmarkEnd w:id="24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lastRenderedPageBreak/>
        <w:t>5.5.2. При застройке новых территорий следует предусматривать устройство локальных сетей системы оповещения населения по сигналам гражданской обороны и по сигналам чрезвычайных ситуаций.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5.5.3. Площади земельных участков для размещения объектов информатизации и связи следует принимать в соответствии с таблицей 13.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Таблица 13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847"/>
        <w:gridCol w:w="3366"/>
      </w:tblGrid>
      <w:tr w:rsidR="00825F1F" w:rsidRPr="00825F1F" w:rsidTr="00825F1F">
        <w:trPr>
          <w:trHeight w:val="520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825F1F" w:rsidRPr="00825F1F" w:rsidTr="00825F1F">
        <w:trPr>
          <w:trHeight w:val="413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Межрайонный почтамт 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0,6 – 1 га</w:t>
            </w:r>
          </w:p>
        </w:tc>
      </w:tr>
      <w:tr w:rsidR="00825F1F" w:rsidRPr="00825F1F" w:rsidTr="00825F1F">
        <w:trPr>
          <w:trHeight w:val="419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0,25 га</w:t>
            </w:r>
          </w:p>
        </w:tc>
      </w:tr>
      <w:tr w:rsidR="00825F1F" w:rsidRPr="00825F1F" w:rsidTr="00825F1F">
        <w:trPr>
          <w:trHeight w:val="410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0,3 га</w:t>
            </w:r>
          </w:p>
        </w:tc>
      </w:tr>
      <w:tr w:rsidR="00825F1F" w:rsidRPr="00825F1F" w:rsidTr="00825F1F">
        <w:trPr>
          <w:trHeight w:val="416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40 – 100 кв. метров </w:t>
            </w:r>
          </w:p>
        </w:tc>
      </w:tr>
      <w:tr w:rsidR="00825F1F" w:rsidRPr="00825F1F" w:rsidTr="00825F1F">
        <w:trPr>
          <w:trHeight w:val="422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0,1 – 0,15 га</w:t>
            </w:r>
          </w:p>
        </w:tc>
      </w:tr>
      <w:tr w:rsidR="00825F1F" w:rsidRPr="00825F1F" w:rsidTr="00825F1F">
        <w:trPr>
          <w:trHeight w:val="415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0,05 – 0,1 га</w:t>
            </w:r>
          </w:p>
        </w:tc>
      </w:tr>
      <w:tr w:rsidR="00825F1F" w:rsidRPr="00825F1F" w:rsidTr="00825F1F">
        <w:trPr>
          <w:trHeight w:val="406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50 – 70 кв. метров </w:t>
            </w:r>
          </w:p>
        </w:tc>
      </w:tr>
      <w:tr w:rsidR="00825F1F" w:rsidRPr="00825F1F" w:rsidTr="00825F1F">
        <w:trPr>
          <w:trHeight w:val="426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825F1F" w:rsidRPr="00825F1F" w:rsidRDefault="00825F1F" w:rsidP="00825F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5F1F">
              <w:rPr>
                <w:rFonts w:eastAsia="Calibri"/>
                <w:sz w:val="24"/>
                <w:szCs w:val="24"/>
              </w:rPr>
              <w:t>0,3 – 0,5 га</w:t>
            </w:r>
          </w:p>
        </w:tc>
      </w:tr>
    </w:tbl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36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5.5.4.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коррозийно-активных, неприятно пахнущих веществ и пыли, за пределами их санитарно-защитных зон. 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5.5.5. Междугородные телефонные станции, городские телефонные станции, телеграфные узлы и станции, станции проводного вещания следует проектировать внутри квартала или микрорайона населенного пункта.</w:t>
      </w:r>
    </w:p>
    <w:p w:rsidR="00825F1F" w:rsidRPr="00825F1F" w:rsidRDefault="00825F1F" w:rsidP="00825F1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5.5.6. Размещение линий связи следует осуществлять в соответствии с требованиями 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СН 461-74 «Нормы отвода земель для линий связи».</w:t>
      </w:r>
    </w:p>
    <w:p w:rsidR="00825F1F" w:rsidRPr="00825F1F" w:rsidRDefault="00825F1F" w:rsidP="00825F1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5" w:name="_Toc424561660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5.6. Рекомендации к определению нормативной потребности населения муниципального района в объектах культуры и досуга, размещению указанных объектов</w:t>
      </w:r>
      <w:bookmarkEnd w:id="25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5.6.1. Рекомендуемые показатели уровня обеспеченности населения муниципального района объектами культуры и досуга, уровня территориальной доступности таких объектов для населения муниципального района следует принимать в соответствии с таблицей 14.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14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3116"/>
        <w:gridCol w:w="3257"/>
        <w:gridCol w:w="3257"/>
      </w:tblGrid>
      <w:tr w:rsidR="00825F1F" w:rsidRPr="00825F1F" w:rsidTr="00825F1F">
        <w:trPr>
          <w:trHeight w:val="1319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25F1F" w:rsidRPr="00825F1F" w:rsidTr="00825F1F">
        <w:trPr>
          <w:trHeight w:val="723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Кинотеатры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25 – 35 мест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825F1F" w:rsidRPr="00825F1F" w:rsidTr="00825F1F">
        <w:trPr>
          <w:trHeight w:val="723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Концертные залы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3,5 – 5 мест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825F1F" w:rsidRPr="00825F1F" w:rsidTr="00825F1F">
        <w:trPr>
          <w:trHeight w:val="761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Музеи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825F1F" w:rsidRPr="00825F1F" w:rsidTr="00825F1F">
        <w:trPr>
          <w:trHeight w:val="704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Выставочные залы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муниципальный район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  <w:tr w:rsidR="00825F1F" w:rsidRPr="00825F1F" w:rsidTr="00825F1F">
        <w:trPr>
          <w:trHeight w:val="1511"/>
        </w:trPr>
        <w:tc>
          <w:tcPr>
            <w:tcW w:w="567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19" w:type="dxa"/>
            <w:vAlign w:val="center"/>
          </w:tcPr>
          <w:p w:rsidR="00825F1F" w:rsidRPr="00825F1F" w:rsidRDefault="00825F1F" w:rsidP="00825F1F">
            <w:pPr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Универсальные спортивно-зрелищные залы, в том числе с искусственным льдом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 – 9 мест на 1 тыс. человек</w:t>
            </w:r>
          </w:p>
        </w:tc>
        <w:tc>
          <w:tcPr>
            <w:tcW w:w="3260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60 минут пешеходной доступности</w:t>
            </w:r>
          </w:p>
        </w:tc>
      </w:tr>
    </w:tbl>
    <w:p w:rsidR="00825F1F" w:rsidRPr="00825F1F" w:rsidRDefault="00825F1F" w:rsidP="00825F1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26" w:name="_Toc421805608"/>
    </w:p>
    <w:p w:rsidR="00825F1F" w:rsidRPr="00825F1F" w:rsidRDefault="00825F1F" w:rsidP="00825F1F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27" w:name="_Toc424561661"/>
      <w:r w:rsidRPr="00825F1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5.6.2. Для объектов культуры и досуга, не представленных в таблице 14, показатели следует принимать в соответствии с заданием на проектирование.</w:t>
      </w:r>
      <w:bookmarkEnd w:id="26"/>
      <w:bookmarkEnd w:id="27"/>
    </w:p>
    <w:p w:rsidR="00825F1F" w:rsidRPr="00825F1F" w:rsidRDefault="00825F1F" w:rsidP="00825F1F">
      <w:pPr>
        <w:spacing w:after="160" w:line="259" w:lineRule="auto"/>
        <w:rPr>
          <w:rFonts w:ascii="Calibri" w:eastAsia="Calibri" w:hAnsi="Calibri" w:cs="Times New Roman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5.6.3. При определении количества, состава и вместимости объектов культуры и досуга, проектируемых в городских населенных пунктах, необходимо дополнительно учитывать приезжающее население из других населенных пунктов, расположенных в зоне, ограниченной затратами времени на передвижение не более 1 часа.</w:t>
      </w:r>
    </w:p>
    <w:p w:rsidR="00825F1F" w:rsidRPr="00825F1F" w:rsidRDefault="00825F1F" w:rsidP="00825F1F">
      <w:pPr>
        <w:spacing w:after="0" w:line="360" w:lineRule="auto"/>
        <w:ind w:firstLine="743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При определении количества, состава и вместимости объектов культуры и досуга, проектируемых в сельских населенных пунктах, следует дополнительно учитывать население, приезжающее из других населенных пунктов, расположенных в зоне 30-минутной пешеходной доступности.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5.6.4. С целью создания условий для развития местного традиционного народного художественного творчества в административном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центре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рекомендуется размещение </w:t>
      </w:r>
      <w:proofErr w:type="spell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межпоселенческих</w:t>
      </w:r>
      <w:proofErr w:type="spell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клубных учреждений и информационно-методических центров.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5.6.5. В городских населенных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пунктах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рекомендуется формирование единых комплексов для организации культурно-массовой и физкультурно-оздоровительной работы для использования учащимися и населением в пределах пешеходной доступности не более 500 метров.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5.6.6. Требования к размещению объектов культуры, массового отдыха, досуга и их параметры 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устанавливаются в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СП 42.13330</w:t>
      </w:r>
      <w:r w:rsidR="005C1E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СНиП 2.07.01-89 Градостроительство. Планировка и застройка городских и сельских поселений».</w:t>
      </w:r>
    </w:p>
    <w:p w:rsidR="00825F1F" w:rsidRPr="00825F1F" w:rsidRDefault="00825F1F" w:rsidP="00825F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8" w:name="_Toc424561662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5.7. Рекомендации к определению нормативной потребности населения муниципального района в объектах социального обеспечения и социальной защиты, размещению указанных объектов</w:t>
      </w:r>
      <w:bookmarkEnd w:id="28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5.7.1. Рекомендуемые показатели уровня обеспеченности населения муниципального района объектами социального обеспечения и социальной защиты приведены в таблице 15.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15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4394"/>
      </w:tblGrid>
      <w:tr w:rsidR="00825F1F" w:rsidRPr="00825F1F" w:rsidTr="00825F1F">
        <w:trPr>
          <w:trHeight w:val="866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</w:tr>
      <w:tr w:rsidR="00825F1F" w:rsidRPr="00825F1F" w:rsidTr="00825F1F">
        <w:trPr>
          <w:trHeight w:val="1133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Отделения социального обслуживания на дому комплексных центров социального обслуживания населения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120 человек данной категории граждан</w:t>
            </w:r>
          </w:p>
        </w:tc>
      </w:tr>
      <w:tr w:rsidR="00825F1F" w:rsidRPr="00825F1F" w:rsidTr="00825F1F">
        <w:trPr>
          <w:trHeight w:val="1122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10 тыс. детей</w:t>
            </w:r>
          </w:p>
        </w:tc>
      </w:tr>
      <w:tr w:rsidR="00825F1F" w:rsidRPr="00825F1F" w:rsidTr="00825F1F">
        <w:trPr>
          <w:trHeight w:val="1406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городское поселение, но не менее 1 объекта на 1 тыс. детей и подростков с ограниченными возможностями</w:t>
            </w:r>
          </w:p>
        </w:tc>
      </w:tr>
      <w:tr w:rsidR="00825F1F" w:rsidRPr="00825F1F" w:rsidTr="00825F1F">
        <w:trPr>
          <w:trHeight w:val="560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Психоневрологический интернат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3 тыс. человек</w:t>
            </w:r>
          </w:p>
        </w:tc>
      </w:tr>
      <w:tr w:rsidR="00825F1F" w:rsidRPr="00825F1F" w:rsidTr="00825F1F">
        <w:trPr>
          <w:trHeight w:val="534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Детские дома-интернаты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3 тыс. человек</w:t>
            </w:r>
          </w:p>
        </w:tc>
      </w:tr>
      <w:tr w:rsidR="00825F1F" w:rsidRPr="00825F1F" w:rsidTr="00825F1F">
        <w:trPr>
          <w:trHeight w:val="860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Детские дома-интернаты  для умственно отсталых детей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место на 2 тыс. человек</w:t>
            </w:r>
          </w:p>
        </w:tc>
      </w:tr>
      <w:tr w:rsidR="00825F1F" w:rsidRPr="00825F1F" w:rsidTr="00825F1F">
        <w:trPr>
          <w:trHeight w:val="857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Приют для детей и подростков, оставшихся без попечения родителей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 на 10 тыс. детей и подростков, оставшихся без попечения родителей</w:t>
            </w:r>
          </w:p>
        </w:tc>
      </w:tr>
      <w:tr w:rsidR="00825F1F" w:rsidRPr="00825F1F" w:rsidTr="00825F1F">
        <w:trPr>
          <w:trHeight w:val="1111"/>
        </w:trPr>
        <w:tc>
          <w:tcPr>
            <w:tcW w:w="993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19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Учреждения органов по делам молодежи</w:t>
            </w:r>
          </w:p>
        </w:tc>
        <w:tc>
          <w:tcPr>
            <w:tcW w:w="439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25 кв. метров общей площади на 1 тыс. человек;</w:t>
            </w:r>
          </w:p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 рабочих места на 1 тыс. человек</w:t>
            </w:r>
          </w:p>
        </w:tc>
      </w:tr>
    </w:tbl>
    <w:p w:rsidR="00825F1F" w:rsidRPr="00825F1F" w:rsidRDefault="00825F1F" w:rsidP="00825F1F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5.7.2. Размещение центров социального обслуживания населения следует осуществлять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с требованиями СП 35-106-2003 «Расчет и размещение учреждений социального обслуживания пожилых людей».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5.7.3. Размеры земельных участков для размещения домов-интернатов для престарелых и инвалидов определяются в зависимости от вместимости объекта: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50 мест – 38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lastRenderedPageBreak/>
        <w:t>100 мест – 27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200 мест – 20 кв. метров на 1 место. 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Размещение домов-интернатов для престарелых и инвалидов возможно за пределами населенных пунктов.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5.7.4. Размеры земельных участков для детских домов-интернатов, в том числе домов-интернатов для умственно отсталых детей, следует принимать в зависимости от вместимости объекта: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100 мест – 80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120 мест – 60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200 мест – 50 кв. метров на 1 место.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5.7.5. Размеры земельных участков для домов ночного пребывания, центров социальной адаптации определяются в соответствии с вместимостью объекта: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25 мест – 9,8 кв. метра на 1 место;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50 мест – 9,0 кв. метров на 1 место;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bidi="hi-IN"/>
        </w:rPr>
        <w:t>100 мест – 9,0 кв. метров на 1 место.</w:t>
      </w:r>
    </w:p>
    <w:p w:rsidR="00825F1F" w:rsidRPr="00825F1F" w:rsidRDefault="00825F1F" w:rsidP="00825F1F">
      <w:pPr>
        <w:keepNext/>
        <w:keepLines/>
        <w:spacing w:before="120"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29" w:name="_Toc424561663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5.8. Рекомендации к определению нормативной потребности населения муниципального района в объектах физической культуры и массового спорта, размещению указанных объектов</w:t>
      </w:r>
      <w:bookmarkEnd w:id="29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bookmarkStart w:id="30" w:name="_Toc421805611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5.8.1. Определение нормативной потребности населения муниципального района в объектах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5.8.2.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bookmarkEnd w:id="30"/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25F1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5.8.3.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25F1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5.8.4. Размер земельного участка для детско-юношеских спортивных школ и бассейнов следует принимать равным 1,5 – 1,0 га на объект.</w:t>
      </w:r>
    </w:p>
    <w:p w:rsidR="00825F1F" w:rsidRPr="00825F1F" w:rsidRDefault="00825F1F" w:rsidP="00825F1F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bidi="hi-IN"/>
        </w:rPr>
      </w:pPr>
    </w:p>
    <w:p w:rsidR="00825F1F" w:rsidRPr="00825F1F" w:rsidRDefault="00825F1F" w:rsidP="00825F1F">
      <w:pPr>
        <w:keepNext/>
        <w:keepLines/>
        <w:spacing w:after="12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31" w:name="_Toc424561664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>5.9. Рекомендации к определению нормативной потребности населения муниципального района в объектах утилизации и переработки бытовых и промышленных отходов, размещению указанных объектов</w:t>
      </w:r>
      <w:bookmarkEnd w:id="31"/>
      <w:r w:rsidRPr="00825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5.9.1. Показатели норм накопления бытовых отходов следует принимать в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требованиями 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СП 42.13330</w:t>
      </w:r>
      <w:r w:rsidR="005C1E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СНиП 2.07.01-89</w:t>
      </w:r>
      <w:r w:rsidR="005C1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поселений»,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</w:rPr>
        <w:t>приведенными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в таблице 16.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825F1F" w:rsidRPr="00825F1F" w:rsidRDefault="00825F1F" w:rsidP="00825F1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Таблица 16</w:t>
      </w:r>
    </w:p>
    <w:tbl>
      <w:tblPr>
        <w:tblStyle w:val="25"/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2126"/>
        <w:gridCol w:w="2126"/>
      </w:tblGrid>
      <w:tr w:rsidR="00825F1F" w:rsidRPr="00825F1F" w:rsidTr="00825F1F">
        <w:trPr>
          <w:trHeight w:val="561"/>
        </w:trPr>
        <w:tc>
          <w:tcPr>
            <w:tcW w:w="5954" w:type="dxa"/>
            <w:vMerge w:val="restart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252" w:type="dxa"/>
            <w:gridSpan w:val="2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825F1F" w:rsidRPr="00825F1F" w:rsidTr="00825F1F">
        <w:trPr>
          <w:trHeight w:val="215"/>
        </w:trPr>
        <w:tc>
          <w:tcPr>
            <w:tcW w:w="5954" w:type="dxa"/>
            <w:vMerge/>
            <w:vAlign w:val="center"/>
          </w:tcPr>
          <w:p w:rsidR="00825F1F" w:rsidRPr="00825F1F" w:rsidRDefault="00825F1F" w:rsidP="00825F1F">
            <w:pPr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825F1F" w:rsidRPr="00825F1F" w:rsidTr="00825F1F">
        <w:trPr>
          <w:trHeight w:val="1438"/>
        </w:trPr>
        <w:tc>
          <w:tcPr>
            <w:tcW w:w="595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825F1F" w:rsidRPr="00825F1F" w:rsidRDefault="00825F1F" w:rsidP="00825F1F">
            <w:pPr>
              <w:ind w:left="45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825F1F" w:rsidRPr="00825F1F" w:rsidRDefault="00825F1F" w:rsidP="00825F1F">
            <w:pPr>
              <w:ind w:left="45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825F1F" w:rsidRPr="00825F1F" w:rsidTr="00825F1F">
        <w:trPr>
          <w:trHeight w:val="782"/>
        </w:trPr>
        <w:tc>
          <w:tcPr>
            <w:tcW w:w="595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825F1F" w:rsidRPr="00825F1F" w:rsidTr="00825F1F">
        <w:trPr>
          <w:trHeight w:val="464"/>
        </w:trPr>
        <w:tc>
          <w:tcPr>
            <w:tcW w:w="5954" w:type="dxa"/>
            <w:vAlign w:val="center"/>
          </w:tcPr>
          <w:p w:rsidR="00825F1F" w:rsidRPr="00825F1F" w:rsidRDefault="00825F1F" w:rsidP="00825F1F">
            <w:pP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126" w:type="dxa"/>
            <w:vAlign w:val="center"/>
          </w:tcPr>
          <w:p w:rsidR="00825F1F" w:rsidRPr="00825F1F" w:rsidRDefault="00825F1F" w:rsidP="00825F1F">
            <w:pPr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  <w:tr w:rsidR="00825F1F" w:rsidRPr="00825F1F" w:rsidTr="00825F1F">
        <w:trPr>
          <w:trHeight w:val="1057"/>
        </w:trPr>
        <w:tc>
          <w:tcPr>
            <w:tcW w:w="10206" w:type="dxa"/>
            <w:gridSpan w:val="3"/>
            <w:vAlign w:val="center"/>
          </w:tcPr>
          <w:p w:rsidR="00825F1F" w:rsidRPr="00825F1F" w:rsidRDefault="00825F1F" w:rsidP="00825F1F">
            <w:pPr>
              <w:ind w:firstLine="70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825F1F" w:rsidRPr="00825F1F" w:rsidRDefault="00825F1F" w:rsidP="00825F1F">
            <w:pPr>
              <w:ind w:firstLine="70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825F1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Большие значения норм накопления отходов следует принимать для больших городских населенных пунктов.</w:t>
            </w:r>
          </w:p>
        </w:tc>
      </w:tr>
    </w:tbl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5.9.2. Определение местоположения объектов утилизации и переработки бытовых и промышленных отходов необходимо осуществлять на основе оценки возможностей использования территории для данных целей в соответствии с санитарными нормами.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5.9.3. На территории муниципального района рекомендуется размещение централизованных </w:t>
      </w:r>
      <w:proofErr w:type="spell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межпоселенческих</w:t>
      </w:r>
      <w:proofErr w:type="spell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полигонов твердых бытовых и промышленных отходов для групп населенных пунктов. 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Рекомендуемый радиус обслуживания полигонов составляет 15 километров.</w:t>
      </w:r>
    </w:p>
    <w:p w:rsidR="00825F1F" w:rsidRPr="00825F1F" w:rsidRDefault="005C1ED4" w:rsidP="005C1E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 </w:t>
      </w:r>
      <w:r w:rsidR="00825F1F"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5.9.4. Размещение полигонов твердых бытовых отходов следует осуществлять в </w:t>
      </w:r>
      <w:proofErr w:type="gramStart"/>
      <w:r w:rsidR="00825F1F"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соответствии</w:t>
      </w:r>
      <w:proofErr w:type="gramEnd"/>
      <w:r w:rsidR="00825F1F"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с требованиями </w:t>
      </w:r>
      <w:r w:rsidR="00825F1F" w:rsidRPr="00825F1F">
        <w:rPr>
          <w:rFonts w:ascii="Times New Roman" w:eastAsia="Calibri" w:hAnsi="Times New Roman" w:cs="Times New Roman"/>
          <w:sz w:val="24"/>
          <w:szCs w:val="24"/>
        </w:rPr>
        <w:t>СП 42.13330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25F1F" w:rsidRPr="00825F1F">
        <w:rPr>
          <w:rFonts w:ascii="Times New Roman" w:eastAsia="Calibri" w:hAnsi="Times New Roman" w:cs="Times New Roman"/>
          <w:sz w:val="24"/>
          <w:szCs w:val="24"/>
        </w:rPr>
        <w:t>СНиП 2.07.01-89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F1F" w:rsidRPr="00825F1F">
        <w:rPr>
          <w:rFonts w:ascii="Times New Roman" w:eastAsia="Calibri" w:hAnsi="Times New Roman" w:cs="Times New Roman"/>
          <w:sz w:val="24"/>
          <w:szCs w:val="24"/>
        </w:rPr>
        <w:t xml:space="preserve">Градостроительство. </w:t>
      </w:r>
      <w:proofErr w:type="gramStart"/>
      <w:r w:rsidR="00825F1F" w:rsidRPr="00825F1F">
        <w:rPr>
          <w:rFonts w:ascii="Times New Roman" w:eastAsia="Calibri" w:hAnsi="Times New Roman" w:cs="Times New Roman"/>
          <w:sz w:val="24"/>
          <w:szCs w:val="24"/>
        </w:rPr>
        <w:t>Планировка и застройка городских и сельских поселений»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25F1F" w:rsidRPr="0082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5C1ED4">
          <w:rPr>
            <w:rFonts w:ascii="Times New Roman" w:hAnsi="Times New Roman" w:cs="Times New Roman"/>
            <w:sz w:val="24"/>
            <w:szCs w:val="24"/>
          </w:rPr>
          <w:t>СанПиН 2.1.3684-21</w:t>
        </w:r>
      </w:hyperlink>
      <w:r w:rsidRPr="005C1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проведению санитарно-противоэпидемических (профилактических) мероприятий"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5F1F" w:rsidRPr="00825F1F">
        <w:rPr>
          <w:rFonts w:ascii="Times New Roman" w:eastAsia="Calibri" w:hAnsi="Times New Roman" w:cs="Times New Roman"/>
          <w:sz w:val="24"/>
          <w:szCs w:val="24"/>
        </w:rPr>
        <w:t>Инструкции по проектированию, эксплуатации и рекультивации полигонов для твердых бытовых отходов, утвержденной Министерством строительства Российской Федерации 02.11.1996 г.</w:t>
      </w:r>
      <w:proofErr w:type="gramEnd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5.9.5. Размер земельного участка для размещения полигона твердых бытовых отходов следует принимать равным 0,02 – 0,05 га на 1000 т бытовых отходов.</w:t>
      </w:r>
    </w:p>
    <w:p w:rsidR="00825F1F" w:rsidRPr="00825F1F" w:rsidRDefault="00825F1F" w:rsidP="005C1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5.9.6. </w:t>
      </w:r>
      <w:proofErr w:type="gramStart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Объекты утилизации и переработки промышленных отходов проектируются в соответствии с требованиями </w:t>
      </w:r>
      <w:hyperlink r:id="rId17" w:history="1">
        <w:r w:rsidR="005C1ED4">
          <w:rPr>
            <w:rFonts w:ascii="Times New Roman" w:hAnsi="Times New Roman" w:cs="Times New Roman"/>
            <w:color w:val="0000FF"/>
            <w:sz w:val="24"/>
            <w:szCs w:val="24"/>
          </w:rPr>
          <w:t>СанПиН 2.1.3684-21</w:t>
        </w:r>
      </w:hyperlink>
      <w:r w:rsidR="005C1ED4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СНиП 2.01.28-85 «Полигоны по обезвреживанию и захоронению токсичных промышленных отходов.</w:t>
      </w:r>
      <w:proofErr w:type="gramEnd"/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Основн</w:t>
      </w:r>
      <w:r w:rsidR="005C1ED4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ые положения по проектированию»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825F1F" w:rsidRPr="00825F1F" w:rsidRDefault="00825F1F" w:rsidP="00825F1F">
      <w:pPr>
        <w:keepNext/>
        <w:keepLines/>
        <w:numPr>
          <w:ilvl w:val="0"/>
          <w:numId w:val="17"/>
        </w:numPr>
        <w:spacing w:before="240" w:after="240" w:line="360" w:lineRule="auto"/>
        <w:ind w:left="1066" w:hanging="3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bookmarkStart w:id="32" w:name="_Toc424561665"/>
      <w:r w:rsidRPr="00825F1F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2"/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6.1. Нормативы подготовлены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соответствии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с требованиями следующих нормативных правовых актов: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</w:t>
      </w:r>
      <w:r w:rsidR="005C1ED4">
        <w:rPr>
          <w:rFonts w:ascii="Times New Roman" w:eastAsia="Calibri" w:hAnsi="Times New Roman" w:cs="Times New Roman"/>
          <w:sz w:val="24"/>
          <w:szCs w:val="24"/>
        </w:rPr>
        <w:t>2</w:t>
      </w:r>
      <w:r w:rsidRPr="00825F1F">
        <w:rPr>
          <w:rFonts w:ascii="Times New Roman" w:eastAsia="Calibri" w:hAnsi="Times New Roman" w:cs="Times New Roman"/>
          <w:sz w:val="24"/>
          <w:szCs w:val="24"/>
        </w:rPr>
        <w:t>4 года» от 26.01.2009 г. № 42 (с изменениями на 30.05.2013 г.).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6.2. При подготовке нормативов использовались следующие нормативные документы: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СП 42.13330</w:t>
      </w:r>
      <w:r w:rsidR="005C1ED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5F1F">
        <w:rPr>
          <w:rFonts w:ascii="Times New Roman" w:eastAsia="Calibri" w:hAnsi="Times New Roman" w:cs="Times New Roman"/>
          <w:sz w:val="24"/>
          <w:szCs w:val="24"/>
        </w:rPr>
        <w:t>СНиП 2.07.01-89</w:t>
      </w:r>
      <w:r w:rsidR="005C1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F1F">
        <w:rPr>
          <w:rFonts w:ascii="Times New Roman" w:eastAsia="Calibri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357594">
        <w:rPr>
          <w:rFonts w:ascii="Times New Roman" w:eastAsia="Calibri" w:hAnsi="Times New Roman" w:cs="Times New Roman"/>
          <w:sz w:val="24"/>
          <w:szCs w:val="24"/>
        </w:rPr>
        <w:t xml:space="preserve">нистров Республики Татарстан № </w:t>
      </w:r>
      <w:r w:rsidRPr="00825F1F">
        <w:rPr>
          <w:rFonts w:ascii="Times New Roman" w:eastAsia="Calibri" w:hAnsi="Times New Roman" w:cs="Times New Roman"/>
          <w:sz w:val="24"/>
          <w:szCs w:val="24"/>
        </w:rPr>
        <w:t>1071 от 27.12.2013 г.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6.3. При подготовке нормативов учитывались: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социально-демографический состав и плотность населения муниципальных образований, расположенных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</w:rPr>
        <w:t>границах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планы и программы комплексного социально-экономического развития </w:t>
      </w:r>
      <w:r w:rsidRPr="00825F1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Верхнеуслонского</w:t>
      </w: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 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муниципального района;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>природно-климатические условия;</w:t>
      </w:r>
    </w:p>
    <w:p w:rsidR="00825F1F" w:rsidRPr="00825F1F" w:rsidRDefault="00825F1F" w:rsidP="00825F1F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предложения органов местного самоуправления муниципальных образований, расположенных в </w:t>
      </w:r>
      <w:proofErr w:type="gramStart"/>
      <w:r w:rsidRPr="00825F1F">
        <w:rPr>
          <w:rFonts w:ascii="Times New Roman" w:eastAsia="Calibri" w:hAnsi="Times New Roman" w:cs="Times New Roman"/>
          <w:sz w:val="24"/>
          <w:szCs w:val="24"/>
        </w:rPr>
        <w:t>границах</w:t>
      </w:r>
      <w:proofErr w:type="gramEnd"/>
      <w:r w:rsidRPr="00825F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и заинтересованных лиц.</w:t>
      </w:r>
    </w:p>
    <w:p w:rsidR="00825F1F" w:rsidRPr="00825F1F" w:rsidRDefault="00825F1F" w:rsidP="00825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33" w:name="_Toc421297944"/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8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местного значения муниципального района, для которых в основной части нормативов установлены расчетные показатели </w:t>
      </w:r>
      <w:r w:rsidRPr="00825F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минимально допустимого уровня обеспеченности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3"/>
      <w:proofErr w:type="gramEnd"/>
    </w:p>
    <w:p w:rsidR="00825F1F" w:rsidRPr="00825F1F" w:rsidRDefault="00825F1F" w:rsidP="00825F1F">
      <w:pPr>
        <w:spacing w:after="0"/>
        <w:jc w:val="right"/>
      </w:pPr>
    </w:p>
    <w:p w:rsidR="005329DD" w:rsidRDefault="005329DD"/>
    <w:sectPr w:rsidR="005329DD" w:rsidSect="00825F1F">
      <w:footerReference w:type="default" r:id="rId18"/>
      <w:footerReference w:type="first" r:id="rId19"/>
      <w:pgSz w:w="11906" w:h="16838"/>
      <w:pgMar w:top="1135" w:right="566" w:bottom="1135" w:left="1134" w:header="567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18" w:rsidRDefault="00901318">
      <w:pPr>
        <w:spacing w:after="0" w:line="240" w:lineRule="auto"/>
      </w:pPr>
      <w:r>
        <w:separator/>
      </w:r>
    </w:p>
  </w:endnote>
  <w:endnote w:type="continuationSeparator" w:id="0">
    <w:p w:rsidR="00901318" w:rsidRDefault="0090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530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6C0F" w:rsidRPr="008C29CC" w:rsidRDefault="001B6C0F">
        <w:pPr>
          <w:pStyle w:val="ab"/>
          <w:jc w:val="right"/>
          <w:rPr>
            <w:rFonts w:ascii="Times New Roman" w:hAnsi="Times New Roman" w:cs="Times New Roman"/>
          </w:rPr>
        </w:pPr>
        <w:r w:rsidRPr="008C29CC">
          <w:rPr>
            <w:rFonts w:ascii="Times New Roman" w:hAnsi="Times New Roman" w:cs="Times New Roman"/>
          </w:rPr>
          <w:fldChar w:fldCharType="begin"/>
        </w:r>
        <w:r w:rsidRPr="008C29CC">
          <w:rPr>
            <w:rFonts w:ascii="Times New Roman" w:hAnsi="Times New Roman" w:cs="Times New Roman"/>
          </w:rPr>
          <w:instrText xml:space="preserve"> PAGE   \* MERGEFORMAT </w:instrText>
        </w:r>
        <w:r w:rsidRPr="008C29CC">
          <w:rPr>
            <w:rFonts w:ascii="Times New Roman" w:hAnsi="Times New Roman" w:cs="Times New Roman"/>
          </w:rPr>
          <w:fldChar w:fldCharType="separate"/>
        </w:r>
        <w:r w:rsidR="00A967FD">
          <w:rPr>
            <w:rFonts w:ascii="Times New Roman" w:hAnsi="Times New Roman" w:cs="Times New Roman"/>
            <w:noProof/>
          </w:rPr>
          <w:t>2</w:t>
        </w:r>
        <w:r w:rsidRPr="008C29CC">
          <w:rPr>
            <w:rFonts w:ascii="Times New Roman" w:hAnsi="Times New Roman" w:cs="Times New Roman"/>
          </w:rPr>
          <w:fldChar w:fldCharType="end"/>
        </w:r>
      </w:p>
    </w:sdtContent>
  </w:sdt>
  <w:p w:rsidR="001B6C0F" w:rsidRDefault="001B6C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0F" w:rsidRDefault="001B6C0F">
    <w:pPr>
      <w:pStyle w:val="ab"/>
    </w:pPr>
  </w:p>
  <w:p w:rsidR="001B6C0F" w:rsidRDefault="001B6C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5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6C0F" w:rsidRPr="008C29CC" w:rsidRDefault="001B6C0F">
        <w:pPr>
          <w:pStyle w:val="14"/>
          <w:jc w:val="right"/>
          <w:rPr>
            <w:rFonts w:ascii="Times New Roman" w:hAnsi="Times New Roman" w:cs="Times New Roman"/>
          </w:rPr>
        </w:pPr>
        <w:r w:rsidRPr="008C29CC">
          <w:rPr>
            <w:rFonts w:ascii="Times New Roman" w:hAnsi="Times New Roman" w:cs="Times New Roman"/>
          </w:rPr>
          <w:fldChar w:fldCharType="begin"/>
        </w:r>
        <w:r w:rsidRPr="008C29CC">
          <w:rPr>
            <w:rFonts w:ascii="Times New Roman" w:hAnsi="Times New Roman" w:cs="Times New Roman"/>
          </w:rPr>
          <w:instrText xml:space="preserve"> PAGE   \* MERGEFORMAT </w:instrText>
        </w:r>
        <w:r w:rsidRPr="008C29CC">
          <w:rPr>
            <w:rFonts w:ascii="Times New Roman" w:hAnsi="Times New Roman" w:cs="Times New Roman"/>
          </w:rPr>
          <w:fldChar w:fldCharType="separate"/>
        </w:r>
        <w:r w:rsidR="00A967FD">
          <w:rPr>
            <w:rFonts w:ascii="Times New Roman" w:hAnsi="Times New Roman" w:cs="Times New Roman"/>
            <w:noProof/>
          </w:rPr>
          <w:t>11</w:t>
        </w:r>
        <w:r w:rsidRPr="008C29CC">
          <w:rPr>
            <w:rFonts w:ascii="Times New Roman" w:hAnsi="Times New Roman" w:cs="Times New Roman"/>
          </w:rPr>
          <w:fldChar w:fldCharType="end"/>
        </w:r>
      </w:p>
    </w:sdtContent>
  </w:sdt>
  <w:p w:rsidR="001B6C0F" w:rsidRDefault="001B6C0F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0F" w:rsidRDefault="001B6C0F">
    <w:pPr>
      <w:pStyle w:val="14"/>
    </w:pPr>
  </w:p>
  <w:p w:rsidR="001B6C0F" w:rsidRDefault="001B6C0F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18" w:rsidRDefault="00901318">
      <w:pPr>
        <w:spacing w:after="0" w:line="240" w:lineRule="auto"/>
      </w:pPr>
      <w:r>
        <w:separator/>
      </w:r>
    </w:p>
  </w:footnote>
  <w:footnote w:type="continuationSeparator" w:id="0">
    <w:p w:rsidR="00901318" w:rsidRDefault="0090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11981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>
    <w:nsid w:val="49143AB3"/>
    <w:multiLevelType w:val="hybridMultilevel"/>
    <w:tmpl w:val="BCC44C20"/>
    <w:lvl w:ilvl="0" w:tplc="9C1430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1165E"/>
    <w:multiLevelType w:val="hybridMultilevel"/>
    <w:tmpl w:val="2DA2F234"/>
    <w:lvl w:ilvl="0" w:tplc="16E477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17"/>
  </w:num>
  <w:num w:numId="16">
    <w:abstractNumId w:val="10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F"/>
    <w:rsid w:val="001B6C0F"/>
    <w:rsid w:val="00350694"/>
    <w:rsid w:val="00357594"/>
    <w:rsid w:val="005329DD"/>
    <w:rsid w:val="005C1ED4"/>
    <w:rsid w:val="00665125"/>
    <w:rsid w:val="00825F1F"/>
    <w:rsid w:val="00901318"/>
    <w:rsid w:val="00A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25F1F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825F1F"/>
    <w:pPr>
      <w:keepNext/>
      <w:keepLines/>
      <w:spacing w:before="200" w:after="0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5F1F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1"/>
    <w:link w:val="2"/>
    <w:rsid w:val="00825F1F"/>
    <w:rPr>
      <w:rFonts w:ascii="Times New Roman" w:hAnsi="Times New Roman" w:cs="Times New Roman"/>
      <w:b/>
      <w:sz w:val="28"/>
      <w:szCs w:val="28"/>
    </w:rPr>
  </w:style>
  <w:style w:type="paragraph" w:styleId="a4">
    <w:name w:val="List Paragraph"/>
    <w:basedOn w:val="a0"/>
    <w:qFormat/>
    <w:rsid w:val="00825F1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2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5F1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qFormat/>
    <w:rsid w:val="00825F1F"/>
    <w:pPr>
      <w:keepNext/>
      <w:keepLines/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customStyle="1" w:styleId="21">
    <w:name w:val="Заголовок 21"/>
    <w:basedOn w:val="a0"/>
    <w:next w:val="a0"/>
    <w:unhideWhenUsed/>
    <w:qFormat/>
    <w:rsid w:val="00825F1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825F1F"/>
  </w:style>
  <w:style w:type="paragraph" w:customStyle="1" w:styleId="13">
    <w:name w:val="Без интервала1"/>
    <w:next w:val="a7"/>
    <w:link w:val="a8"/>
    <w:qFormat/>
    <w:rsid w:val="00825F1F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1"/>
    <w:link w:val="13"/>
    <w:rsid w:val="00825F1F"/>
    <w:rPr>
      <w:rFonts w:eastAsia="Times New Roman"/>
      <w:lang w:eastAsia="ru-RU"/>
    </w:rPr>
  </w:style>
  <w:style w:type="paragraph" w:customStyle="1" w:styleId="51">
    <w:name w:val="??????? ??????????51"/>
    <w:basedOn w:val="a0"/>
    <w:next w:val="a9"/>
    <w:link w:val="aa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51"/>
    <w:uiPriority w:val="99"/>
    <w:rsid w:val="00825F1F"/>
  </w:style>
  <w:style w:type="paragraph" w:customStyle="1" w:styleId="14">
    <w:name w:val="Нижний колонтитул1"/>
    <w:basedOn w:val="a0"/>
    <w:next w:val="ab"/>
    <w:link w:val="ac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14"/>
    <w:uiPriority w:val="99"/>
    <w:rsid w:val="00825F1F"/>
  </w:style>
  <w:style w:type="character" w:customStyle="1" w:styleId="blk">
    <w:name w:val="blk"/>
    <w:basedOn w:val="a1"/>
    <w:rsid w:val="00825F1F"/>
  </w:style>
  <w:style w:type="character" w:customStyle="1" w:styleId="f">
    <w:name w:val="f"/>
    <w:basedOn w:val="a1"/>
    <w:rsid w:val="00825F1F"/>
  </w:style>
  <w:style w:type="paragraph" w:styleId="ad">
    <w:name w:val="Normal (Web)"/>
    <w:basedOn w:val="a0"/>
    <w:uiPriority w:val="99"/>
    <w:unhideWhenUsed/>
    <w:rsid w:val="00825F1F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e">
    <w:name w:val="Содержимое таблицы"/>
    <w:basedOn w:val="a0"/>
    <w:rsid w:val="00825F1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5">
    <w:name w:val="Гиперссылка1"/>
    <w:basedOn w:val="a1"/>
    <w:rsid w:val="00825F1F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825F1F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825F1F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825F1F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825F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Заголовок оглавления1"/>
    <w:basedOn w:val="1"/>
    <w:next w:val="a0"/>
    <w:uiPriority w:val="39"/>
    <w:unhideWhenUsed/>
    <w:qFormat/>
    <w:rsid w:val="00825F1F"/>
  </w:style>
  <w:style w:type="paragraph" w:customStyle="1" w:styleId="110">
    <w:name w:val="Оглавление 11"/>
    <w:basedOn w:val="a0"/>
    <w:next w:val="a0"/>
    <w:link w:val="17"/>
    <w:autoRedefine/>
    <w:uiPriority w:val="39"/>
    <w:unhideWhenUsed/>
    <w:qFormat/>
    <w:rsid w:val="00825F1F"/>
    <w:pPr>
      <w:tabs>
        <w:tab w:val="left" w:pos="567"/>
        <w:tab w:val="right" w:leader="dot" w:pos="9912"/>
      </w:tabs>
      <w:spacing w:after="100" w:line="259" w:lineRule="auto"/>
      <w:ind w:left="426" w:hanging="426"/>
    </w:pPr>
    <w:rPr>
      <w:rFonts w:ascii="Times New Roman" w:hAnsi="Times New Roman"/>
      <w:sz w:val="28"/>
    </w:rPr>
  </w:style>
  <w:style w:type="paragraph" w:customStyle="1" w:styleId="210">
    <w:name w:val="Оглавление 21"/>
    <w:basedOn w:val="a0"/>
    <w:next w:val="a0"/>
    <w:autoRedefine/>
    <w:uiPriority w:val="39"/>
    <w:unhideWhenUsed/>
    <w:qFormat/>
    <w:rsid w:val="00825F1F"/>
    <w:pPr>
      <w:spacing w:after="100" w:line="259" w:lineRule="auto"/>
      <w:ind w:left="220"/>
    </w:pPr>
    <w:rPr>
      <w:rFonts w:ascii="Times New Roman" w:hAnsi="Times New Roman"/>
      <w:sz w:val="28"/>
    </w:rPr>
  </w:style>
  <w:style w:type="character" w:customStyle="1" w:styleId="22">
    <w:name w:val="Гиперссылка2"/>
    <w:basedOn w:val="a1"/>
    <w:uiPriority w:val="99"/>
    <w:unhideWhenUsed/>
    <w:rsid w:val="00825F1F"/>
    <w:rPr>
      <w:color w:val="0563C1"/>
      <w:u w:val="single"/>
    </w:rPr>
  </w:style>
  <w:style w:type="paragraph" w:styleId="af">
    <w:name w:val="Body Text"/>
    <w:basedOn w:val="a0"/>
    <w:link w:val="af0"/>
    <w:rsid w:val="00825F1F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825F1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825F1F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825F1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825F1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8">
    <w:name w:val="Текст1"/>
    <w:basedOn w:val="a0"/>
    <w:rsid w:val="00825F1F"/>
    <w:pPr>
      <w:widowControl w:val="0"/>
      <w:suppressAutoHyphens/>
      <w:autoSpaceDE w:val="0"/>
      <w:spacing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1">
    <w:name w:val="Основной текст с отступом 21"/>
    <w:basedOn w:val="a0"/>
    <w:rsid w:val="00825F1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825F1F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basedOn w:val="a1"/>
    <w:rsid w:val="00825F1F"/>
    <w:rPr>
      <w:color w:val="0563C1"/>
      <w:u w:val="single"/>
    </w:rPr>
  </w:style>
  <w:style w:type="character" w:customStyle="1" w:styleId="ListLabel1">
    <w:name w:val="ListLabel 1"/>
    <w:rsid w:val="00825F1F"/>
    <w:rPr>
      <w:rFonts w:cs="Calibri"/>
      <w:color w:val="00000A"/>
    </w:rPr>
  </w:style>
  <w:style w:type="character" w:customStyle="1" w:styleId="ListLabel2">
    <w:name w:val="ListLabel 2"/>
    <w:rsid w:val="00825F1F"/>
    <w:rPr>
      <w:rFonts w:cs="Courier New"/>
    </w:rPr>
  </w:style>
  <w:style w:type="character" w:customStyle="1" w:styleId="af4">
    <w:name w:val="Ссылка указателя"/>
    <w:rsid w:val="00825F1F"/>
  </w:style>
  <w:style w:type="paragraph" w:customStyle="1" w:styleId="af5">
    <w:name w:val="Заголовок"/>
    <w:basedOn w:val="a0"/>
    <w:next w:val="af"/>
    <w:rsid w:val="00825F1F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f"/>
    <w:rsid w:val="00825F1F"/>
  </w:style>
  <w:style w:type="paragraph" w:styleId="af7">
    <w:name w:val="Title"/>
    <w:basedOn w:val="a0"/>
    <w:link w:val="af8"/>
    <w:qFormat/>
    <w:rsid w:val="00825F1F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8">
    <w:name w:val="Название Знак"/>
    <w:basedOn w:val="a1"/>
    <w:link w:val="af7"/>
    <w:rsid w:val="00825F1F"/>
    <w:rPr>
      <w:rFonts w:ascii="Calibri" w:eastAsia="SimSun" w:hAnsi="Calibri" w:cs="Mangal"/>
      <w:i/>
      <w:iCs/>
      <w:sz w:val="24"/>
      <w:szCs w:val="24"/>
    </w:rPr>
  </w:style>
  <w:style w:type="paragraph" w:customStyle="1" w:styleId="111">
    <w:name w:val="Указатель 11"/>
    <w:basedOn w:val="a0"/>
    <w:next w:val="a0"/>
    <w:autoRedefine/>
    <w:uiPriority w:val="99"/>
    <w:semiHidden/>
    <w:unhideWhenUsed/>
    <w:rsid w:val="00825F1F"/>
    <w:pPr>
      <w:spacing w:after="0" w:line="240" w:lineRule="auto"/>
      <w:ind w:left="220" w:hanging="220"/>
    </w:pPr>
  </w:style>
  <w:style w:type="paragraph" w:styleId="19">
    <w:name w:val="index 1"/>
    <w:basedOn w:val="a0"/>
    <w:next w:val="a0"/>
    <w:autoRedefine/>
    <w:uiPriority w:val="99"/>
    <w:semiHidden/>
    <w:unhideWhenUsed/>
    <w:rsid w:val="00825F1F"/>
    <w:pPr>
      <w:spacing w:after="0" w:line="240" w:lineRule="auto"/>
      <w:ind w:left="220" w:hanging="220"/>
    </w:pPr>
  </w:style>
  <w:style w:type="paragraph" w:styleId="af9">
    <w:name w:val="index heading"/>
    <w:basedOn w:val="a0"/>
    <w:rsid w:val="00825F1F"/>
    <w:pPr>
      <w:suppressLineNumbers/>
      <w:suppressAutoHyphens/>
      <w:spacing w:after="160" w:line="256" w:lineRule="auto"/>
    </w:pPr>
    <w:rPr>
      <w:rFonts w:ascii="Calibri" w:eastAsia="SimSun" w:hAnsi="Calibri" w:cs="Mangal"/>
    </w:rPr>
  </w:style>
  <w:style w:type="paragraph" w:customStyle="1" w:styleId="afa">
    <w:name w:val="Содержимое врезки"/>
    <w:basedOn w:val="a0"/>
    <w:rsid w:val="00825F1F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customStyle="1" w:styleId="1a">
    <w:name w:val="Стиль1"/>
    <w:basedOn w:val="1b"/>
    <w:link w:val="1c"/>
    <w:qFormat/>
    <w:rsid w:val="00825F1F"/>
    <w:pPr>
      <w:tabs>
        <w:tab w:val="left" w:pos="567"/>
        <w:tab w:val="right" w:leader="dot" w:pos="9355"/>
        <w:tab w:val="right" w:leader="dot" w:pos="9912"/>
      </w:tabs>
      <w:spacing w:line="259" w:lineRule="auto"/>
      <w:ind w:left="426" w:hanging="426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главление 1 Знак"/>
    <w:basedOn w:val="a1"/>
    <w:link w:val="110"/>
    <w:uiPriority w:val="39"/>
    <w:rsid w:val="00825F1F"/>
    <w:rPr>
      <w:rFonts w:ascii="Times New Roman" w:hAnsi="Times New Roman"/>
      <w:sz w:val="28"/>
    </w:rPr>
  </w:style>
  <w:style w:type="character" w:customStyle="1" w:styleId="1c">
    <w:name w:val="Стиль1 Знак"/>
    <w:basedOn w:val="17"/>
    <w:link w:val="1a"/>
    <w:rsid w:val="00825F1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25F1F"/>
  </w:style>
  <w:style w:type="paragraph" w:customStyle="1" w:styleId="afb">
    <w:name w:val="Маркер"/>
    <w:basedOn w:val="a0"/>
    <w:link w:val="afc"/>
    <w:rsid w:val="00825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Маркер Знак Знак"/>
    <w:link w:val="afb"/>
    <w:rsid w:val="00825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825F1F"/>
    <w:pPr>
      <w:numPr>
        <w:numId w:val="6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d">
    <w:name w:val="Абзац списка1"/>
    <w:basedOn w:val="a0"/>
    <w:rsid w:val="00825F1F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customStyle="1" w:styleId="1e">
    <w:name w:val="Сетка таблицы1"/>
    <w:basedOn w:val="a2"/>
    <w:next w:val="afd"/>
    <w:rsid w:val="00825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главление 31"/>
    <w:basedOn w:val="a0"/>
    <w:next w:val="a0"/>
    <w:autoRedefine/>
    <w:uiPriority w:val="39"/>
    <w:semiHidden/>
    <w:unhideWhenUsed/>
    <w:qFormat/>
    <w:rsid w:val="00825F1F"/>
    <w:pPr>
      <w:spacing w:after="100"/>
      <w:ind w:left="440"/>
    </w:pPr>
    <w:rPr>
      <w:rFonts w:eastAsia="Times New Roman"/>
    </w:rPr>
  </w:style>
  <w:style w:type="paragraph" w:customStyle="1" w:styleId="Default">
    <w:name w:val="Default"/>
    <w:rsid w:val="00825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25F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25F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25F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2">
    <w:name w:val="Заголовок 1 Знак1"/>
    <w:basedOn w:val="a1"/>
    <w:uiPriority w:val="9"/>
    <w:rsid w:val="0082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1"/>
    <w:uiPriority w:val="9"/>
    <w:semiHidden/>
    <w:rsid w:val="0082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qFormat/>
    <w:rsid w:val="00825F1F"/>
    <w:pPr>
      <w:spacing w:after="0" w:line="240" w:lineRule="auto"/>
    </w:pPr>
  </w:style>
  <w:style w:type="paragraph" w:styleId="a9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1f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aliases w:val="ВерхКолонтитул Знак1,??????? ?????????? Знак2,header-first Знак1,HeaderPort Знак1,??????? ?????????? Знак Знак1,??????? ??????????1 Знак1,??????? ??????????2 Знак1,??????? ??????????3 Знак1,??????? ??????????11 Знак1"/>
    <w:basedOn w:val="a1"/>
    <w:link w:val="a9"/>
    <w:uiPriority w:val="99"/>
    <w:rsid w:val="00825F1F"/>
  </w:style>
  <w:style w:type="paragraph" w:styleId="ab">
    <w:name w:val="footer"/>
    <w:basedOn w:val="a0"/>
    <w:link w:val="1f0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b"/>
    <w:uiPriority w:val="99"/>
    <w:rsid w:val="00825F1F"/>
  </w:style>
  <w:style w:type="character" w:styleId="afe">
    <w:name w:val="Hyperlink"/>
    <w:basedOn w:val="a1"/>
    <w:uiPriority w:val="99"/>
    <w:unhideWhenUsed/>
    <w:rsid w:val="00825F1F"/>
    <w:rPr>
      <w:color w:val="0000FF" w:themeColor="hyperlink"/>
      <w:u w:val="single"/>
    </w:rPr>
  </w:style>
  <w:style w:type="paragraph" w:styleId="1b">
    <w:name w:val="toc 1"/>
    <w:basedOn w:val="a0"/>
    <w:next w:val="a0"/>
    <w:autoRedefine/>
    <w:uiPriority w:val="39"/>
    <w:unhideWhenUsed/>
    <w:qFormat/>
    <w:rsid w:val="00825F1F"/>
    <w:pPr>
      <w:spacing w:after="100"/>
    </w:pPr>
  </w:style>
  <w:style w:type="table" w:styleId="afd">
    <w:name w:val="Table Grid"/>
    <w:basedOn w:val="a2"/>
    <w:uiPriority w:val="59"/>
    <w:rsid w:val="0082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0"/>
    <w:uiPriority w:val="39"/>
    <w:unhideWhenUsed/>
    <w:qFormat/>
    <w:rsid w:val="00825F1F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3"/>
    <w:uiPriority w:val="99"/>
    <w:semiHidden/>
    <w:unhideWhenUsed/>
    <w:rsid w:val="00825F1F"/>
  </w:style>
  <w:style w:type="paragraph" w:styleId="24">
    <w:name w:val="toc 2"/>
    <w:basedOn w:val="a0"/>
    <w:next w:val="a0"/>
    <w:autoRedefine/>
    <w:uiPriority w:val="39"/>
    <w:unhideWhenUsed/>
    <w:qFormat/>
    <w:rsid w:val="00825F1F"/>
    <w:pPr>
      <w:spacing w:after="100" w:line="259" w:lineRule="auto"/>
      <w:ind w:left="220"/>
    </w:pPr>
    <w:rPr>
      <w:rFonts w:ascii="Times New Roman" w:hAnsi="Times New Roman"/>
      <w:sz w:val="28"/>
    </w:rPr>
  </w:style>
  <w:style w:type="table" w:customStyle="1" w:styleId="25">
    <w:name w:val="Сетка таблицы2"/>
    <w:basedOn w:val="a2"/>
    <w:next w:val="afd"/>
    <w:rsid w:val="00825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главление 32"/>
    <w:basedOn w:val="a0"/>
    <w:next w:val="a0"/>
    <w:autoRedefine/>
    <w:uiPriority w:val="39"/>
    <w:semiHidden/>
    <w:unhideWhenUsed/>
    <w:qFormat/>
    <w:rsid w:val="00825F1F"/>
    <w:pPr>
      <w:spacing w:after="100"/>
      <w:ind w:left="44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25F1F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825F1F"/>
    <w:pPr>
      <w:keepNext/>
      <w:keepLines/>
      <w:spacing w:before="200" w:after="0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5F1F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1"/>
    <w:link w:val="2"/>
    <w:rsid w:val="00825F1F"/>
    <w:rPr>
      <w:rFonts w:ascii="Times New Roman" w:hAnsi="Times New Roman" w:cs="Times New Roman"/>
      <w:b/>
      <w:sz w:val="28"/>
      <w:szCs w:val="28"/>
    </w:rPr>
  </w:style>
  <w:style w:type="paragraph" w:styleId="a4">
    <w:name w:val="List Paragraph"/>
    <w:basedOn w:val="a0"/>
    <w:qFormat/>
    <w:rsid w:val="00825F1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2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5F1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qFormat/>
    <w:rsid w:val="00825F1F"/>
    <w:pPr>
      <w:keepNext/>
      <w:keepLines/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customStyle="1" w:styleId="21">
    <w:name w:val="Заголовок 21"/>
    <w:basedOn w:val="a0"/>
    <w:next w:val="a0"/>
    <w:unhideWhenUsed/>
    <w:qFormat/>
    <w:rsid w:val="00825F1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825F1F"/>
  </w:style>
  <w:style w:type="paragraph" w:customStyle="1" w:styleId="13">
    <w:name w:val="Без интервала1"/>
    <w:next w:val="a7"/>
    <w:link w:val="a8"/>
    <w:qFormat/>
    <w:rsid w:val="00825F1F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1"/>
    <w:link w:val="13"/>
    <w:rsid w:val="00825F1F"/>
    <w:rPr>
      <w:rFonts w:eastAsia="Times New Roman"/>
      <w:lang w:eastAsia="ru-RU"/>
    </w:rPr>
  </w:style>
  <w:style w:type="paragraph" w:customStyle="1" w:styleId="51">
    <w:name w:val="??????? ??????????51"/>
    <w:basedOn w:val="a0"/>
    <w:next w:val="a9"/>
    <w:link w:val="aa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51"/>
    <w:uiPriority w:val="99"/>
    <w:rsid w:val="00825F1F"/>
  </w:style>
  <w:style w:type="paragraph" w:customStyle="1" w:styleId="14">
    <w:name w:val="Нижний колонтитул1"/>
    <w:basedOn w:val="a0"/>
    <w:next w:val="ab"/>
    <w:link w:val="ac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14"/>
    <w:uiPriority w:val="99"/>
    <w:rsid w:val="00825F1F"/>
  </w:style>
  <w:style w:type="character" w:customStyle="1" w:styleId="blk">
    <w:name w:val="blk"/>
    <w:basedOn w:val="a1"/>
    <w:rsid w:val="00825F1F"/>
  </w:style>
  <w:style w:type="character" w:customStyle="1" w:styleId="f">
    <w:name w:val="f"/>
    <w:basedOn w:val="a1"/>
    <w:rsid w:val="00825F1F"/>
  </w:style>
  <w:style w:type="paragraph" w:styleId="ad">
    <w:name w:val="Normal (Web)"/>
    <w:basedOn w:val="a0"/>
    <w:uiPriority w:val="99"/>
    <w:unhideWhenUsed/>
    <w:rsid w:val="00825F1F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e">
    <w:name w:val="Содержимое таблицы"/>
    <w:basedOn w:val="a0"/>
    <w:rsid w:val="00825F1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5">
    <w:name w:val="Гиперссылка1"/>
    <w:basedOn w:val="a1"/>
    <w:rsid w:val="00825F1F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825F1F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825F1F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825F1F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825F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Заголовок оглавления1"/>
    <w:basedOn w:val="1"/>
    <w:next w:val="a0"/>
    <w:uiPriority w:val="39"/>
    <w:unhideWhenUsed/>
    <w:qFormat/>
    <w:rsid w:val="00825F1F"/>
  </w:style>
  <w:style w:type="paragraph" w:customStyle="1" w:styleId="110">
    <w:name w:val="Оглавление 11"/>
    <w:basedOn w:val="a0"/>
    <w:next w:val="a0"/>
    <w:link w:val="17"/>
    <w:autoRedefine/>
    <w:uiPriority w:val="39"/>
    <w:unhideWhenUsed/>
    <w:qFormat/>
    <w:rsid w:val="00825F1F"/>
    <w:pPr>
      <w:tabs>
        <w:tab w:val="left" w:pos="567"/>
        <w:tab w:val="right" w:leader="dot" w:pos="9912"/>
      </w:tabs>
      <w:spacing w:after="100" w:line="259" w:lineRule="auto"/>
      <w:ind w:left="426" w:hanging="426"/>
    </w:pPr>
    <w:rPr>
      <w:rFonts w:ascii="Times New Roman" w:hAnsi="Times New Roman"/>
      <w:sz w:val="28"/>
    </w:rPr>
  </w:style>
  <w:style w:type="paragraph" w:customStyle="1" w:styleId="210">
    <w:name w:val="Оглавление 21"/>
    <w:basedOn w:val="a0"/>
    <w:next w:val="a0"/>
    <w:autoRedefine/>
    <w:uiPriority w:val="39"/>
    <w:unhideWhenUsed/>
    <w:qFormat/>
    <w:rsid w:val="00825F1F"/>
    <w:pPr>
      <w:spacing w:after="100" w:line="259" w:lineRule="auto"/>
      <w:ind w:left="220"/>
    </w:pPr>
    <w:rPr>
      <w:rFonts w:ascii="Times New Roman" w:hAnsi="Times New Roman"/>
      <w:sz w:val="28"/>
    </w:rPr>
  </w:style>
  <w:style w:type="character" w:customStyle="1" w:styleId="22">
    <w:name w:val="Гиперссылка2"/>
    <w:basedOn w:val="a1"/>
    <w:uiPriority w:val="99"/>
    <w:unhideWhenUsed/>
    <w:rsid w:val="00825F1F"/>
    <w:rPr>
      <w:color w:val="0563C1"/>
      <w:u w:val="single"/>
    </w:rPr>
  </w:style>
  <w:style w:type="paragraph" w:styleId="af">
    <w:name w:val="Body Text"/>
    <w:basedOn w:val="a0"/>
    <w:link w:val="af0"/>
    <w:rsid w:val="00825F1F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825F1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825F1F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825F1F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825F1F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8">
    <w:name w:val="Текст1"/>
    <w:basedOn w:val="a0"/>
    <w:rsid w:val="00825F1F"/>
    <w:pPr>
      <w:widowControl w:val="0"/>
      <w:suppressAutoHyphens/>
      <w:autoSpaceDE w:val="0"/>
      <w:spacing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1">
    <w:name w:val="Основной текст с отступом 21"/>
    <w:basedOn w:val="a0"/>
    <w:rsid w:val="00825F1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825F1F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basedOn w:val="a1"/>
    <w:rsid w:val="00825F1F"/>
    <w:rPr>
      <w:color w:val="0563C1"/>
      <w:u w:val="single"/>
    </w:rPr>
  </w:style>
  <w:style w:type="character" w:customStyle="1" w:styleId="ListLabel1">
    <w:name w:val="ListLabel 1"/>
    <w:rsid w:val="00825F1F"/>
    <w:rPr>
      <w:rFonts w:cs="Calibri"/>
      <w:color w:val="00000A"/>
    </w:rPr>
  </w:style>
  <w:style w:type="character" w:customStyle="1" w:styleId="ListLabel2">
    <w:name w:val="ListLabel 2"/>
    <w:rsid w:val="00825F1F"/>
    <w:rPr>
      <w:rFonts w:cs="Courier New"/>
    </w:rPr>
  </w:style>
  <w:style w:type="character" w:customStyle="1" w:styleId="af4">
    <w:name w:val="Ссылка указателя"/>
    <w:rsid w:val="00825F1F"/>
  </w:style>
  <w:style w:type="paragraph" w:customStyle="1" w:styleId="af5">
    <w:name w:val="Заголовок"/>
    <w:basedOn w:val="a0"/>
    <w:next w:val="af"/>
    <w:rsid w:val="00825F1F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f"/>
    <w:rsid w:val="00825F1F"/>
  </w:style>
  <w:style w:type="paragraph" w:styleId="af7">
    <w:name w:val="Title"/>
    <w:basedOn w:val="a0"/>
    <w:link w:val="af8"/>
    <w:qFormat/>
    <w:rsid w:val="00825F1F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8">
    <w:name w:val="Название Знак"/>
    <w:basedOn w:val="a1"/>
    <w:link w:val="af7"/>
    <w:rsid w:val="00825F1F"/>
    <w:rPr>
      <w:rFonts w:ascii="Calibri" w:eastAsia="SimSun" w:hAnsi="Calibri" w:cs="Mangal"/>
      <w:i/>
      <w:iCs/>
      <w:sz w:val="24"/>
      <w:szCs w:val="24"/>
    </w:rPr>
  </w:style>
  <w:style w:type="paragraph" w:customStyle="1" w:styleId="111">
    <w:name w:val="Указатель 11"/>
    <w:basedOn w:val="a0"/>
    <w:next w:val="a0"/>
    <w:autoRedefine/>
    <w:uiPriority w:val="99"/>
    <w:semiHidden/>
    <w:unhideWhenUsed/>
    <w:rsid w:val="00825F1F"/>
    <w:pPr>
      <w:spacing w:after="0" w:line="240" w:lineRule="auto"/>
      <w:ind w:left="220" w:hanging="220"/>
    </w:pPr>
  </w:style>
  <w:style w:type="paragraph" w:styleId="19">
    <w:name w:val="index 1"/>
    <w:basedOn w:val="a0"/>
    <w:next w:val="a0"/>
    <w:autoRedefine/>
    <w:uiPriority w:val="99"/>
    <w:semiHidden/>
    <w:unhideWhenUsed/>
    <w:rsid w:val="00825F1F"/>
    <w:pPr>
      <w:spacing w:after="0" w:line="240" w:lineRule="auto"/>
      <w:ind w:left="220" w:hanging="220"/>
    </w:pPr>
  </w:style>
  <w:style w:type="paragraph" w:styleId="af9">
    <w:name w:val="index heading"/>
    <w:basedOn w:val="a0"/>
    <w:rsid w:val="00825F1F"/>
    <w:pPr>
      <w:suppressLineNumbers/>
      <w:suppressAutoHyphens/>
      <w:spacing w:after="160" w:line="256" w:lineRule="auto"/>
    </w:pPr>
    <w:rPr>
      <w:rFonts w:ascii="Calibri" w:eastAsia="SimSun" w:hAnsi="Calibri" w:cs="Mangal"/>
    </w:rPr>
  </w:style>
  <w:style w:type="paragraph" w:customStyle="1" w:styleId="afa">
    <w:name w:val="Содержимое врезки"/>
    <w:basedOn w:val="a0"/>
    <w:rsid w:val="00825F1F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customStyle="1" w:styleId="1a">
    <w:name w:val="Стиль1"/>
    <w:basedOn w:val="1b"/>
    <w:link w:val="1c"/>
    <w:qFormat/>
    <w:rsid w:val="00825F1F"/>
    <w:pPr>
      <w:tabs>
        <w:tab w:val="left" w:pos="567"/>
        <w:tab w:val="right" w:leader="dot" w:pos="9355"/>
        <w:tab w:val="right" w:leader="dot" w:pos="9912"/>
      </w:tabs>
      <w:spacing w:line="259" w:lineRule="auto"/>
      <w:ind w:left="426" w:hanging="426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главление 1 Знак"/>
    <w:basedOn w:val="a1"/>
    <w:link w:val="110"/>
    <w:uiPriority w:val="39"/>
    <w:rsid w:val="00825F1F"/>
    <w:rPr>
      <w:rFonts w:ascii="Times New Roman" w:hAnsi="Times New Roman"/>
      <w:sz w:val="28"/>
    </w:rPr>
  </w:style>
  <w:style w:type="character" w:customStyle="1" w:styleId="1c">
    <w:name w:val="Стиль1 Знак"/>
    <w:basedOn w:val="17"/>
    <w:link w:val="1a"/>
    <w:rsid w:val="00825F1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25F1F"/>
  </w:style>
  <w:style w:type="paragraph" w:customStyle="1" w:styleId="afb">
    <w:name w:val="Маркер"/>
    <w:basedOn w:val="a0"/>
    <w:link w:val="afc"/>
    <w:rsid w:val="00825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Маркер Знак Знак"/>
    <w:link w:val="afb"/>
    <w:rsid w:val="00825F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825F1F"/>
    <w:pPr>
      <w:numPr>
        <w:numId w:val="6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d">
    <w:name w:val="Абзац списка1"/>
    <w:basedOn w:val="a0"/>
    <w:rsid w:val="00825F1F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customStyle="1" w:styleId="1e">
    <w:name w:val="Сетка таблицы1"/>
    <w:basedOn w:val="a2"/>
    <w:next w:val="afd"/>
    <w:rsid w:val="00825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главление 31"/>
    <w:basedOn w:val="a0"/>
    <w:next w:val="a0"/>
    <w:autoRedefine/>
    <w:uiPriority w:val="39"/>
    <w:semiHidden/>
    <w:unhideWhenUsed/>
    <w:qFormat/>
    <w:rsid w:val="00825F1F"/>
    <w:pPr>
      <w:spacing w:after="100"/>
      <w:ind w:left="440"/>
    </w:pPr>
    <w:rPr>
      <w:rFonts w:eastAsia="Times New Roman"/>
    </w:rPr>
  </w:style>
  <w:style w:type="paragraph" w:customStyle="1" w:styleId="Default">
    <w:name w:val="Default"/>
    <w:rsid w:val="00825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25F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25F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25F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2">
    <w:name w:val="Заголовок 1 Знак1"/>
    <w:basedOn w:val="a1"/>
    <w:uiPriority w:val="9"/>
    <w:rsid w:val="0082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1"/>
    <w:uiPriority w:val="9"/>
    <w:semiHidden/>
    <w:rsid w:val="0082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qFormat/>
    <w:rsid w:val="00825F1F"/>
    <w:pPr>
      <w:spacing w:after="0" w:line="240" w:lineRule="auto"/>
    </w:pPr>
  </w:style>
  <w:style w:type="paragraph" w:styleId="a9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1f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aliases w:val="ВерхКолонтитул Знак1,??????? ?????????? Знак2,header-first Знак1,HeaderPort Знак1,??????? ?????????? Знак Знак1,??????? ??????????1 Знак1,??????? ??????????2 Знак1,??????? ??????????3 Знак1,??????? ??????????11 Знак1"/>
    <w:basedOn w:val="a1"/>
    <w:link w:val="a9"/>
    <w:uiPriority w:val="99"/>
    <w:rsid w:val="00825F1F"/>
  </w:style>
  <w:style w:type="paragraph" w:styleId="ab">
    <w:name w:val="footer"/>
    <w:basedOn w:val="a0"/>
    <w:link w:val="1f0"/>
    <w:uiPriority w:val="99"/>
    <w:unhideWhenUsed/>
    <w:rsid w:val="0082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b"/>
    <w:uiPriority w:val="99"/>
    <w:rsid w:val="00825F1F"/>
  </w:style>
  <w:style w:type="character" w:styleId="afe">
    <w:name w:val="Hyperlink"/>
    <w:basedOn w:val="a1"/>
    <w:uiPriority w:val="99"/>
    <w:unhideWhenUsed/>
    <w:rsid w:val="00825F1F"/>
    <w:rPr>
      <w:color w:val="0000FF" w:themeColor="hyperlink"/>
      <w:u w:val="single"/>
    </w:rPr>
  </w:style>
  <w:style w:type="paragraph" w:styleId="1b">
    <w:name w:val="toc 1"/>
    <w:basedOn w:val="a0"/>
    <w:next w:val="a0"/>
    <w:autoRedefine/>
    <w:uiPriority w:val="39"/>
    <w:unhideWhenUsed/>
    <w:qFormat/>
    <w:rsid w:val="00825F1F"/>
    <w:pPr>
      <w:spacing w:after="100"/>
    </w:pPr>
  </w:style>
  <w:style w:type="table" w:styleId="afd">
    <w:name w:val="Table Grid"/>
    <w:basedOn w:val="a2"/>
    <w:uiPriority w:val="59"/>
    <w:rsid w:val="0082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0"/>
    <w:uiPriority w:val="39"/>
    <w:unhideWhenUsed/>
    <w:qFormat/>
    <w:rsid w:val="00825F1F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3"/>
    <w:uiPriority w:val="99"/>
    <w:semiHidden/>
    <w:unhideWhenUsed/>
    <w:rsid w:val="00825F1F"/>
  </w:style>
  <w:style w:type="paragraph" w:styleId="24">
    <w:name w:val="toc 2"/>
    <w:basedOn w:val="a0"/>
    <w:next w:val="a0"/>
    <w:autoRedefine/>
    <w:uiPriority w:val="39"/>
    <w:unhideWhenUsed/>
    <w:qFormat/>
    <w:rsid w:val="00825F1F"/>
    <w:pPr>
      <w:spacing w:after="100" w:line="259" w:lineRule="auto"/>
      <w:ind w:left="220"/>
    </w:pPr>
    <w:rPr>
      <w:rFonts w:ascii="Times New Roman" w:hAnsi="Times New Roman"/>
      <w:sz w:val="28"/>
    </w:rPr>
  </w:style>
  <w:style w:type="table" w:customStyle="1" w:styleId="25">
    <w:name w:val="Сетка таблицы2"/>
    <w:basedOn w:val="a2"/>
    <w:next w:val="afd"/>
    <w:rsid w:val="00825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главление 32"/>
    <w:basedOn w:val="a0"/>
    <w:next w:val="a0"/>
    <w:autoRedefine/>
    <w:uiPriority w:val="39"/>
    <w:semiHidden/>
    <w:unhideWhenUsed/>
    <w:qFormat/>
    <w:rsid w:val="00825F1F"/>
    <w:pPr>
      <w:spacing w:after="100"/>
      <w:ind w:left="4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570AB730F60BB6D480768EBED843A9087A3DEA1113C2BBA0A6BE7368BB4A0241A912580DC80C80376110E0388DA2B37C55CE53EC18776Cr11AK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7461923DEB6021E7B77F1D3AAC0502841EC376ECF7CB68052D27E2D1C688354F1DD77585450156E8FAF8D0C99D9DA4D7F6489318C7299FD2s7K" TargetMode="External"/><Relationship Id="rId17" Type="http://schemas.openxmlformats.org/officeDocument/2006/relationships/hyperlink" Target="consultantplus://offline/ref=E40B7B27384439A1BD8F712C2B6FE76351C6BB290AAF9B51295F385DEED5E4E67EEAF9F3C0BC8C751702E9B50911691CA9F5EF58F440DDDBiFC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5DA2E4FA313DA5A98A1B0587B4C2AC9BDEF8D31CAA8ECA56721DA84A1C32EF9920CFC692AAA73191BABF2BF99A6E978DF34961597883B8z1A9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904E292C5D2BECF8B3F681EC4AD180863DC8F757D55E40DDAC1BEAC1F46EECBFA70C015BA3C1FAF7E6F76E14v4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3904E292C5D2BECF8B3F681EC4AD180863DC8F757D55E40DDAC1BEAC1F46EECBFA70C015BA3C1FAF7E6F76E14v4N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904E292C5D2BECF8B3E88CFA268C8B873697F951DD561282FE1DBD9EA468B9FFE70A5418E6C4FE1Fv0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8031</Words>
  <Characters>45781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4</cp:revision>
  <cp:lastPrinted>2021-08-26T07:02:00Z</cp:lastPrinted>
  <dcterms:created xsi:type="dcterms:W3CDTF">2021-08-06T11:05:00Z</dcterms:created>
  <dcterms:modified xsi:type="dcterms:W3CDTF">2021-08-26T08:11:00Z</dcterms:modified>
</cp:coreProperties>
</file>