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oter62.xml" ContentType="application/vnd.openxmlformats-officedocument.wordprocessingml.footer+xml"/>
  <Override PartName="/word/footer61.xml" ContentType="application/vnd.openxmlformats-officedocument.wordprocessingml.footer+xml"/>
  <Override PartName="/word/footer60.xml" ContentType="application/vnd.openxmlformats-officedocument.wordprocessingml.footer+xml"/>
  <Override PartName="/word/footer59.xml" ContentType="application/vnd.openxmlformats-officedocument.wordprocessingml.footer+xml"/>
  <Override PartName="/word/footer58.xml" ContentType="application/vnd.openxmlformats-officedocument.wordprocessingml.footer+xml"/>
  <Override PartName="/word/footer57.xml" ContentType="application/vnd.openxmlformats-officedocument.wordprocessingml.footer+xml"/>
  <Override PartName="/word/footer56.xml" ContentType="application/vnd.openxmlformats-officedocument.wordprocessingml.footer+xml"/>
  <Override PartName="/word/footer55.xml" ContentType="application/vnd.openxmlformats-officedocument.wordprocessingml.footer+xml"/>
  <Override PartName="/word/footer54.xml" ContentType="application/vnd.openxmlformats-officedocument.wordprocessingml.footer+xml"/>
  <Override PartName="/word/footer53.xml" ContentType="application/vnd.openxmlformats-officedocument.wordprocessingml.footer+xml"/>
  <Override PartName="/word/footer52.xml" ContentType="application/vnd.openxmlformats-officedocument.wordprocessingml.footer+xml"/>
  <Override PartName="/word/footer50.xml" ContentType="application/vnd.openxmlformats-officedocument.wordprocessingml.footer+xml"/>
  <Override PartName="/word/footer48.xml" ContentType="application/vnd.openxmlformats-officedocument.wordprocessingml.footer+xml"/>
  <Override PartName="/word/footer47.xml" ContentType="application/vnd.openxmlformats-officedocument.wordprocessingml.footer+xml"/>
  <Override PartName="/word/footer46.xml" ContentType="application/vnd.openxmlformats-officedocument.wordprocessingml.footer+xml"/>
  <Override PartName="/word/footer44.xml" ContentType="application/vnd.openxmlformats-officedocument.wordprocessingml.footer+xml"/>
  <Override PartName="/word/footer43.xml" ContentType="application/vnd.openxmlformats-officedocument.wordprocessingml.footer+xml"/>
  <Override PartName="/word/footer42.xml" ContentType="application/vnd.openxmlformats-officedocument.wordprocessingml.footer+xml"/>
  <Override PartName="/word/footer41.xml" ContentType="application/vnd.openxmlformats-officedocument.wordprocessingml.footer+xml"/>
  <Override PartName="/word/footer40.xml" ContentType="application/vnd.openxmlformats-officedocument.wordprocessingml.footer+xml"/>
  <Override PartName="/word/footer39.xml" ContentType="application/vnd.openxmlformats-officedocument.wordprocessingml.footer+xml"/>
  <Override PartName="/word/footer38.xml" ContentType="application/vnd.openxmlformats-officedocument.wordprocessingml.footer+xml"/>
  <Override PartName="/word/footer9.xml" ContentType="application/vnd.openxmlformats-officedocument.wordprocessingml.footer+xml"/>
  <Override PartName="/word/footer37.xml" ContentType="application/vnd.openxmlformats-officedocument.wordprocessingml.footer+xml"/>
  <Override PartName="/word/footer8.xml" ContentType="application/vnd.openxmlformats-officedocument.wordprocessingml.footer+xml"/>
  <Override PartName="/word/footer36.xml" ContentType="application/vnd.openxmlformats-officedocument.wordprocessingml.footer+xml"/>
  <Override PartName="/word/footer7.xml" ContentType="application/vnd.openxmlformats-officedocument.wordprocessingml.footer+xml"/>
  <Override PartName="/word/footer35.xml" ContentType="application/vnd.openxmlformats-officedocument.wordprocessingml.footer+xml"/>
  <Override PartName="/word/footer6.xml" ContentType="application/vnd.openxmlformats-officedocument.wordprocessingml.footer+xml"/>
  <Override PartName="/word/footer34.xml" ContentType="application/vnd.openxmlformats-officedocument.wordprocessingml.footer+xml"/>
  <Override PartName="/word/footer5.xml" ContentType="application/vnd.openxmlformats-officedocument.wordprocessingml.footer+xml"/>
  <Override PartName="/word/media/image16.png" ContentType="image/png"/>
  <Override PartName="/word/media/image12.png" ContentType="image/png"/>
  <Override PartName="/word/media/image6.png" ContentType="image/png"/>
  <Override PartName="/word/media/image18.png" ContentType="image/png"/>
  <Override PartName="/word/media/image5.wmf" ContentType="image/x-wmf"/>
  <Override PartName="/word/media/image3.png" ContentType="image/png"/>
  <Override PartName="/word/media/image15.png" ContentType="image/png"/>
  <Override PartName="/word/media/image9.png" ContentType="image/png"/>
  <Override PartName="/word/media/image17.png" ContentType="image/png"/>
  <Override PartName="/word/media/image1.png" ContentType="image/png"/>
  <Override PartName="/word/media/image13.png" ContentType="image/png"/>
  <Override PartName="/word/media/image4.wmf" ContentType="image/x-wmf"/>
  <Override PartName="/word/media/image2.png" ContentType="image/png"/>
  <Override PartName="/word/media/image14.png" ContentType="image/png"/>
  <Override PartName="/word/media/image7.png" ContentType="image/png"/>
  <Override PartName="/word/media/image8.png" ContentType="image/png"/>
  <Override PartName="/word/media/image10.png" ContentType="image/png"/>
  <Override PartName="/word/media/image11.png" ContentType="image/png"/>
  <Override PartName="/word/footer72.xml" ContentType="application/vnd.openxmlformats-officedocument.wordprocessingml.footer+xml"/>
  <Override PartName="/word/footer27.xml" ContentType="application/vnd.openxmlformats-officedocument.wordprocessingml.footer+xml"/>
  <Override PartName="/word/footer63.xml" ContentType="application/vnd.openxmlformats-officedocument.wordprocessingml.footer+xml"/>
  <Override PartName="/word/footer10.xml" ContentType="application/vnd.openxmlformats-officedocument.wordprocessingml.footer+xml"/>
  <Override PartName="/word/footer71.xml" ContentType="application/vnd.openxmlformats-officedocument.wordprocessingml.footer+xml"/>
  <Override PartName="/word/footer26.xml" ContentType="application/vnd.openxmlformats-officedocument.wordprocessingml.footer+xml"/>
  <Override PartName="/word/footer65.xml" ContentType="application/vnd.openxmlformats-officedocument.wordprocessingml.footer+xml"/>
  <Override PartName="/word/footer12.xml" ContentType="application/vnd.openxmlformats-officedocument.wordprocessingml.footer+xml"/>
  <Override PartName="/word/footer28.xml" ContentType="application/vnd.openxmlformats-officedocument.wordprocessingml.footer+xml"/>
  <Override PartName="/word/footer70.xml" ContentType="application/vnd.openxmlformats-officedocument.wordprocessingml.footer+xml"/>
  <Override PartName="/word/footer25.xml" ContentType="application/vnd.openxmlformats-officedocument.wordprocessingml.footer+xml"/>
  <Override PartName="/word/footer24.xml" ContentType="application/vnd.openxmlformats-officedocument.wordprocessingml.footer+xml"/>
  <Override PartName="/word/footer4.xml" ContentType="application/vnd.openxmlformats-officedocument.wordprocessingml.footer+xml"/>
  <Override PartName="/word/footer33.xml" ContentType="application/vnd.openxmlformats-officedocument.wordprocessingml.footer+xml"/>
  <Override PartName="/word/footer23.xml" ContentType="application/vnd.openxmlformats-officedocument.wordprocessingml.footer+xml"/>
  <Override PartName="/word/footer64.xml" ContentType="application/vnd.openxmlformats-officedocument.wordprocessingml.footer+xml"/>
  <Override PartName="/word/footer11.xml" ContentType="application/vnd.openxmlformats-officedocument.wordprocessingml.footer+xml"/>
  <Override PartName="/word/styles.xml" ContentType="application/vnd.openxmlformats-officedocument.wordprocessingml.styles+xml"/>
  <Override PartName="/word/footer99.xml" ContentType="application/vnd.openxmlformats-officedocument.wordprocessingml.footer+xml"/>
  <Override PartName="/word/footer3.xml" ContentType="application/vnd.openxmlformats-officedocument.wordprocessingml.footer+xml"/>
  <Override PartName="/word/footer32.xml" ContentType="application/vnd.openxmlformats-officedocument.wordprocessingml.footer+xml"/>
  <Override PartName="/word/footer75.xml" ContentType="application/vnd.openxmlformats-officedocument.wordprocessingml.footer+xml"/>
  <Override PartName="/word/footer22.xml" ContentType="application/vnd.openxmlformats-officedocument.wordprocessingml.footer+xml"/>
  <Override PartName="/word/footer51.xml" ContentType="application/vnd.openxmlformats-officedocument.wordprocessingml.footer+xml"/>
  <Override PartName="/word/document.xml" ContentType="application/vnd.openxmlformats-officedocument.wordprocessingml.document.main+xml"/>
  <Override PartName="/word/footer16.xml" ContentType="application/vnd.openxmlformats-officedocument.wordprocessingml.footer+xml"/>
  <Override PartName="/word/footer140.xml" ContentType="application/vnd.openxmlformats-officedocument.wordprocessingml.footer+xml"/>
  <Override PartName="/word/footer19.xml" ContentType="application/vnd.openxmlformats-officedocument.wordprocessingml.footer+xml"/>
  <Override PartName="/word/footer45.xml" ContentType="application/vnd.openxmlformats-officedocument.wordprocessingml.footer+xml"/>
  <Override PartName="/word/footer49.xml" ContentType="application/vnd.openxmlformats-officedocument.wordprocessingml.footer+xml"/>
  <Override PartName="/word/footer1.xml" ContentType="application/vnd.openxmlformats-officedocument.wordprocessingml.footer+xml"/>
  <Override PartName="/word/footer30.xml" ContentType="application/vnd.openxmlformats-officedocument.wordprocessingml.footer+xml"/>
  <Override PartName="/word/footer73.xml" ContentType="application/vnd.openxmlformats-officedocument.wordprocessingml.footer+xml"/>
  <Override PartName="/word/footer20.xml" ContentType="application/vnd.openxmlformats-officedocument.wordprocessingml.footer+xml"/>
  <Override PartName="/word/footer66.xml" ContentType="application/vnd.openxmlformats-officedocument.wordprocessingml.footer+xml"/>
  <Override PartName="/word/footer13.xml" ContentType="application/vnd.openxmlformats-officedocument.wordprocessingml.footer+xml"/>
  <Override PartName="/word/footer29.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96.xml" ContentType="application/vnd.openxmlformats-officedocument.wordprocessingml.footer+xml"/>
  <Override PartName="/word/footer117.xml" ContentType="application/vnd.openxmlformats-officedocument.wordprocessingml.footer+xml"/>
  <Override PartName="/word/footer133.xml" ContentType="application/vnd.openxmlformats-officedocument.wordprocessingml.footer+xml"/>
  <Override PartName="/word/footer97.xml" ContentType="application/vnd.openxmlformats-officedocument.wordprocessingml.footer+xml"/>
  <Override PartName="/word/footer118.xml" ContentType="application/vnd.openxmlformats-officedocument.wordprocessingml.footer+xml"/>
  <Override PartName="/word/footer126.xml" ContentType="application/vnd.openxmlformats-officedocument.wordprocessingml.footer+xml"/>
  <Override PartName="/word/footer95.xml" ContentType="application/vnd.openxmlformats-officedocument.wordprocessingml.footer+xml"/>
  <Override PartName="/word/numbering.xml" ContentType="application/vnd.openxmlformats-officedocument.wordprocessingml.numbering+xml"/>
  <Override PartName="/word/footer116.xml" ContentType="application/vnd.openxmlformats-officedocument.wordprocessingml.footer+xml"/>
  <Override PartName="/word/footer100.xml" ContentType="application/vnd.openxmlformats-officedocument.wordprocessingml.footer+xml"/>
  <Override PartName="/word/footer119.xml" ContentType="application/vnd.openxmlformats-officedocument.wordprocessingml.footer+xml"/>
  <Override PartName="/word/footer98.xml" ContentType="application/vnd.openxmlformats-officedocument.wordprocessingml.footer+xml"/>
  <Override PartName="/word/footer134.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89.xml" ContentType="application/vnd.openxmlformats-officedocument.wordprocessingml.footer+xml"/>
  <Override PartName="/word/footer120.xml" ContentType="application/vnd.openxmlformats-officedocument.wordprocessingml.footer+xml"/>
  <Override PartName="/word/footer2.xml" ContentType="application/vnd.openxmlformats-officedocument.wordprocessingml.footer+xml"/>
  <Override PartName="/word/footer31.xml" ContentType="application/vnd.openxmlformats-officedocument.wordprocessingml.footer+xml"/>
  <Override PartName="/word/footer136.xml" ContentType="application/vnd.openxmlformats-officedocument.wordprocessingml.footer+xml"/>
  <Override PartName="/word/footer121.xml" ContentType="application/vnd.openxmlformats-officedocument.wordprocessingml.footer+xml"/>
  <Override PartName="/word/footer137.xml" ContentType="application/vnd.openxmlformats-officedocument.wordprocessingml.footer+xml"/>
  <Override PartName="/word/footer122.xml" ContentType="application/vnd.openxmlformats-officedocument.wordprocessingml.footer+xml"/>
  <Override PartName="/word/footer138.xml" ContentType="application/vnd.openxmlformats-officedocument.wordprocessingml.footer+xml"/>
  <Override PartName="/word/fontTable.xml" ContentType="application/vnd.openxmlformats-officedocument.wordprocessingml.fontTable+xml"/>
  <Override PartName="/word/footer123.xml" ContentType="application/vnd.openxmlformats-officedocument.wordprocessingml.footer+xml"/>
  <Override PartName="/word/footer139.xml" ContentType="application/vnd.openxmlformats-officedocument.wordprocessingml.footer+xml"/>
  <Override PartName="/word/footer110.xml" ContentType="application/vnd.openxmlformats-officedocument.wordprocessingml.footer+xml"/>
  <Override PartName="/word/footer21.xml" ContentType="application/vnd.openxmlformats-officedocument.wordprocessingml.footer+xml"/>
  <Override PartName="/word/footer74.xml" ContentType="application/vnd.openxmlformats-officedocument.wordprocessingml.footer+xml"/>
  <Override PartName="/word/footer79.xml" ContentType="application/vnd.openxmlformats-officedocument.wordprocessingml.footer+xml"/>
  <Override PartName="/word/comments.xml" ContentType="application/vnd.openxmlformats-officedocument.wordprocessingml.comments+xml"/>
  <Override PartName="/word/settings.xml" ContentType="application/vnd.openxmlformats-officedocument.wordprocessingml.settings+xml"/>
  <Override PartName="/word/footer135.xml" ContentType="application/vnd.openxmlformats-officedocument.wordprocessingml.footer+xml"/>
  <Override PartName="/word/footer130.xml" ContentType="application/vnd.openxmlformats-officedocument.wordprocessingml.footer+xml"/>
  <Override PartName="/word/footnotes.xml" ContentType="application/vnd.openxmlformats-officedocument.wordprocessingml.footnotes+xml"/>
  <Override PartName="/word/footer115.xml" ContentType="application/vnd.openxmlformats-officedocument.wordprocessingml.footer+xml"/>
  <Override PartName="/word/footer94.xml" ContentType="application/vnd.openxmlformats-officedocument.wordprocessingml.footer+xml"/>
  <Override PartName="/word/_rels/document.xml.rels" ContentType="application/vnd.openxmlformats-package.relationships+xml"/>
  <Override PartName="/word/footer129.xml" ContentType="application/vnd.openxmlformats-officedocument.wordprocessingml.footer+xml"/>
  <Override PartName="/word/footer128.xml" ContentType="application/vnd.openxmlformats-officedocument.wordprocessingml.footer+xml"/>
  <Override PartName="/word/footer127.xml" ContentType="application/vnd.openxmlformats-officedocument.wordprocessingml.footer+xml"/>
  <Override PartName="/word/footer78.xml" ContentType="application/vnd.openxmlformats-officedocument.wordprocessingml.footer+xml"/>
  <Override PartName="/word/footer114.xml" ContentType="application/vnd.openxmlformats-officedocument.wordprocessingml.footer+xml"/>
  <Override PartName="/word/footer93.xml" ContentType="application/vnd.openxmlformats-officedocument.wordprocessingml.footer+xml"/>
  <Override PartName="/word/footer77.xml" ContentType="application/vnd.openxmlformats-officedocument.wordprocessingml.footer+xml"/>
  <Override PartName="/word/footer113.xml" ContentType="application/vnd.openxmlformats-officedocument.wordprocessingml.footer+xml"/>
  <Override PartName="/word/footer92.xml" ContentType="application/vnd.openxmlformats-officedocument.wordprocessingml.footer+xml"/>
  <Override PartName="/word/footer76.xml" ContentType="application/vnd.openxmlformats-officedocument.wordprocessingml.footer+xml"/>
  <Override PartName="/word/footer112.xml" ContentType="application/vnd.openxmlformats-officedocument.wordprocessingml.footer+xml"/>
  <Override PartName="/word/footer91.xml" ContentType="application/vnd.openxmlformats-officedocument.wordprocessingml.footer+xml"/>
  <Override PartName="/word/footer111.xml" ContentType="application/vnd.openxmlformats-officedocument.wordprocessingml.footer+xml"/>
  <Override PartName="/word/footer90.xml" ContentType="application/vnd.openxmlformats-officedocument.wordprocessingml.footer+xml"/>
  <Override PartName="/word/footer88.xml" ContentType="application/vnd.openxmlformats-officedocument.wordprocessingml.footer+xml"/>
  <Override PartName="/word/footer109.xml" ContentType="application/vnd.openxmlformats-officedocument.wordprocessingml.footer+xml"/>
  <Override PartName="/word/footer87.xml" ContentType="application/vnd.openxmlformats-officedocument.wordprocessingml.footer+xml"/>
  <Override PartName="/word/footer108.xml" ContentType="application/vnd.openxmlformats-officedocument.wordprocessingml.footer+xml"/>
  <Override PartName="/word/footer86.xml" ContentType="application/vnd.openxmlformats-officedocument.wordprocessingml.footer+xml"/>
  <Override PartName="/word/footer107.xml" ContentType="application/vnd.openxmlformats-officedocument.wordprocessingml.footer+xml"/>
  <Override PartName="/word/footer18.xml" ContentType="application/vnd.openxmlformats-officedocument.wordprocessingml.footer+xml"/>
  <Override PartName="/word/footer85.xml" ContentType="application/vnd.openxmlformats-officedocument.wordprocessingml.footer+xml"/>
  <Override PartName="/word/footer106.xml" ContentType="application/vnd.openxmlformats-officedocument.wordprocessingml.footer+xml"/>
  <Override PartName="/word/footer17.xml" ContentType="application/vnd.openxmlformats-officedocument.wordprocessingml.footer+xml"/>
  <Override PartName="/word/footer84.xml" ContentType="application/vnd.openxmlformats-officedocument.wordprocessingml.footer+xml"/>
  <Override PartName="/word/footer105.xml" ContentType="application/vnd.openxmlformats-officedocument.wordprocessingml.footer+xml"/>
  <Override PartName="/word/footer69.xml" ContentType="application/vnd.openxmlformats-officedocument.wordprocessingml.footer+xml"/>
  <Override PartName="/word/footer15.xml" ContentType="application/vnd.openxmlformats-officedocument.wordprocessingml.footer+xml"/>
  <Override PartName="/word/footer68.xml" ContentType="application/vnd.openxmlformats-officedocument.wordprocessingml.footer+xml"/>
  <Override PartName="/word/footer104.xml" ContentType="application/vnd.openxmlformats-officedocument.wordprocessingml.footer+xml"/>
  <Override PartName="/word/footer83.xml" ContentType="application/vnd.openxmlformats-officedocument.wordprocessingml.footer+xml"/>
  <Override PartName="/word/footer14.xml" ContentType="application/vnd.openxmlformats-officedocument.wordprocessingml.footer+xml"/>
  <Override PartName="/word/footer67.xml" ContentType="application/vnd.openxmlformats-officedocument.wordprocessingml.footer+xml"/>
  <Override PartName="/word/footer103.xml" ContentType="application/vnd.openxmlformats-officedocument.wordprocessingml.footer+xml"/>
  <Override PartName="/word/footer82.xml" ContentType="application/vnd.openxmlformats-officedocument.wordprocessingml.footer+xml"/>
  <Override PartName="/word/footer102.xml" ContentType="application/vnd.openxmlformats-officedocument.wordprocessingml.footer+xml"/>
  <Override PartName="/word/footer81.xml" ContentType="application/vnd.openxmlformats-officedocument.wordprocessingml.footer+xml"/>
  <Override PartName="/word/footer80.xml" ContentType="application/vnd.openxmlformats-officedocument.wordprocessingml.footer+xml"/>
  <Override PartName="/word/footer101.xml" ContentType="application/vnd.openxmlformats-officedocument.wordprocessingml.footer+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hd w:val="clear" w:color="auto" w:fill="FFFFFF"/>
        <w:bidi w:val="0"/>
        <w:spacing w:lineRule="auto" w:line="240" w:before="0" w:after="0"/>
        <w:jc w:val="center"/>
        <w:rPr>
          <w:rFonts w:ascii="Liberation Sans" w:hAnsi="Liberation Sans"/>
        </w:rPr>
      </w:pPr>
      <w:r>
        <w:rPr/>
        <mc:AlternateContent>
          <mc:Choice Requires="wps">
            <w:drawing>
              <wp:anchor behindDoc="0" distT="0" distB="0" distL="0" distR="0" simplePos="0" locked="0" layoutInCell="1" allowOverlap="1" relativeHeight="3">
                <wp:simplePos x="0" y="0"/>
                <wp:positionH relativeFrom="column">
                  <wp:posOffset>662940</wp:posOffset>
                </wp:positionH>
                <wp:positionV relativeFrom="paragraph">
                  <wp:posOffset>1584960</wp:posOffset>
                </wp:positionV>
                <wp:extent cx="1235075" cy="285750"/>
                <wp:effectExtent l="0" t="0" r="0" b="0"/>
                <wp:wrapNone/>
                <wp:docPr id="1" name="Поле 5"/>
                <a:graphic xmlns:a="http://schemas.openxmlformats.org/drawingml/2006/main">
                  <a:graphicData uri="http://schemas.microsoft.com/office/word/2010/wordprocessingShape">
                    <wps:wsp>
                      <wps:cNvSpPr/>
                      <wps:spPr>
                        <a:xfrm>
                          <a:off x="0" y="0"/>
                          <a:ext cx="1235160" cy="285840"/>
                        </a:xfrm>
                        <a:prstGeom prst="rect">
                          <a:avLst/>
                        </a:prstGeom>
                        <a:noFill/>
                        <a:ln w="6350">
                          <a:noFill/>
                        </a:ln>
                      </wps:spPr>
                      <wps:style>
                        <a:lnRef idx="0">
                          <a:schemeClr val="accent1"/>
                        </a:lnRef>
                        <a:fillRef idx="0">
                          <a:schemeClr val="accent1"/>
                        </a:fillRef>
                        <a:effectRef idx="0">
                          <a:schemeClr val="accent1"/>
                        </a:effectRef>
                        <a:fontRef idx="minor"/>
                      </wps:style>
                      <wps:txbx>
                        <w:txbxContent>
                          <w:p>
                            <w:pPr>
                              <w:pStyle w:val="Style60"/>
                              <w:bidi w:val="0"/>
                              <w:spacing w:before="0" w:after="200"/>
                              <w:rPr>
                                <w:rFonts w:ascii="Arial" w:hAnsi="Arial" w:cs="Arial"/>
                                <w:sz w:val="24"/>
                                <w:szCs w:val="24"/>
                              </w:rPr>
                            </w:pPr>
                            <w:r>
                              <w:rPr>
                                <w:color w:val="000000"/>
                              </w:rPr>
                              <w:t>25.03.2024</w:t>
                            </w:r>
                          </w:p>
                        </w:txbxContent>
                      </wps:txbx>
                      <wps:bodyPr anchor="t">
                        <a:prstTxWarp prst="textNoShape"/>
                        <a:noAutofit/>
                      </wps:bodyPr>
                    </wps:wsp>
                  </a:graphicData>
                </a:graphic>
              </wp:anchor>
            </w:drawing>
          </mc:Choice>
          <mc:Fallback>
            <w:pict>
              <v:rect id="shape_0" ID="Поле 5" path="m0,0l-2147483645,0l-2147483645,-2147483646l0,-2147483646xe" stroked="f" o:allowincell="f" style="position:absolute;margin-left:52.2pt;margin-top:124.8pt;width:97.2pt;height:22.45pt;mso-wrap-style:square;v-text-anchor:top">
                <v:fill o:detectmouseclick="t" on="false"/>
                <v:stroke color="#3465a4" weight="6480" joinstyle="round" endcap="flat"/>
                <v:textbox>
                  <w:txbxContent>
                    <w:p>
                      <w:pPr>
                        <w:pStyle w:val="Style60"/>
                        <w:bidi w:val="0"/>
                        <w:spacing w:before="0" w:after="200"/>
                        <w:rPr>
                          <w:rFonts w:ascii="Arial" w:hAnsi="Arial" w:cs="Arial"/>
                          <w:sz w:val="24"/>
                          <w:szCs w:val="24"/>
                        </w:rPr>
                      </w:pPr>
                      <w:r>
                        <w:rPr>
                          <w:color w:val="000000"/>
                        </w:rPr>
                        <w:t>25.03.2024</w:t>
                      </w:r>
                    </w:p>
                  </w:txbxContent>
                </v:textbox>
                <w10:wrap type="none"/>
              </v:rect>
            </w:pict>
          </mc:Fallback>
        </mc:AlternateContent>
        <mc:AlternateContent>
          <mc:Choice Requires="wps">
            <w:drawing>
              <wp:anchor behindDoc="0" distT="0" distB="0" distL="0" distR="0" simplePos="0" locked="0" layoutInCell="1" allowOverlap="1" relativeHeight="5" wp14:anchorId="375F2D0C">
                <wp:simplePos x="0" y="0"/>
                <wp:positionH relativeFrom="column">
                  <wp:posOffset>4030980</wp:posOffset>
                </wp:positionH>
                <wp:positionV relativeFrom="paragraph">
                  <wp:posOffset>1623695</wp:posOffset>
                </wp:positionV>
                <wp:extent cx="1257300" cy="266700"/>
                <wp:effectExtent l="0" t="0" r="0" b="0"/>
                <wp:wrapNone/>
                <wp:docPr id="2" name="Поле 23"/>
                <a:graphic xmlns:a="http://schemas.openxmlformats.org/drawingml/2006/main">
                  <a:graphicData uri="http://schemas.microsoft.com/office/word/2010/wordprocessingShape">
                    <wps:wsp>
                      <wps:cNvSpPr/>
                      <wps:spPr>
                        <a:xfrm>
                          <a:off x="0" y="0"/>
                          <a:ext cx="1257480" cy="266760"/>
                        </a:xfrm>
                        <a:prstGeom prst="rect">
                          <a:avLst/>
                        </a:prstGeom>
                        <a:noFill/>
                        <a:ln w="6350">
                          <a:noFill/>
                        </a:ln>
                      </wps:spPr>
                      <wps:style>
                        <a:lnRef idx="0"/>
                        <a:fillRef idx="0"/>
                        <a:effectRef idx="0"/>
                        <a:fontRef idx="minor"/>
                      </wps:style>
                      <wps:txbx>
                        <w:txbxContent>
                          <w:p>
                            <w:pPr>
                              <w:pStyle w:val="Style60"/>
                              <w:bidi w:val="0"/>
                              <w:spacing w:before="0" w:after="200"/>
                              <w:rPr>
                                <w:rFonts w:ascii="Times New Roman" w:hAnsi="Times New Roman" w:cs="Times New Roman"/>
                                <w:sz w:val="28"/>
                                <w:szCs w:val="28"/>
                              </w:rPr>
                            </w:pPr>
                            <w:r>
                              <w:rPr>
                                <w:rFonts w:cs="Times New Roman" w:ascii="Times New Roman" w:hAnsi="Times New Roman"/>
                                <w:color w:val="000000"/>
                                <w:sz w:val="28"/>
                                <w:szCs w:val="28"/>
                              </w:rPr>
                              <w:t xml:space="preserve">  № </w:t>
                            </w:r>
                            <w:r>
                              <w:rPr>
                                <w:rFonts w:cs="Times New Roman" w:ascii="Times New Roman" w:hAnsi="Times New Roman"/>
                                <w:color w:val="000000"/>
                                <w:sz w:val="28"/>
                                <w:szCs w:val="28"/>
                              </w:rPr>
                              <w:t>43-582</w:t>
                            </w:r>
                          </w:p>
                        </w:txbxContent>
                      </wps:txbx>
                      <wps:bodyPr anchor="t">
                        <a:prstTxWarp prst="textNoShape"/>
                        <a:noAutofit/>
                      </wps:bodyPr>
                    </wps:wsp>
                  </a:graphicData>
                </a:graphic>
              </wp:anchor>
            </w:drawing>
          </mc:Choice>
          <mc:Fallback>
            <w:pict>
              <v:rect id="shape_0" ID="Поле 23" path="m0,0l-2147483645,0l-2147483645,-2147483646l0,-2147483646xe" stroked="f" o:allowincell="f" style="position:absolute;margin-left:317.4pt;margin-top:127.85pt;width:98.95pt;height:20.95pt;mso-wrap-style:square;v-text-anchor:top" wp14:anchorId="375F2D0C">
                <v:fill o:detectmouseclick="t" on="false"/>
                <v:stroke color="#3465a4" weight="6480" joinstyle="round" endcap="flat"/>
                <v:textbox>
                  <w:txbxContent>
                    <w:p>
                      <w:pPr>
                        <w:pStyle w:val="Style60"/>
                        <w:bidi w:val="0"/>
                        <w:spacing w:before="0" w:after="200"/>
                        <w:rPr>
                          <w:rFonts w:ascii="Times New Roman" w:hAnsi="Times New Roman" w:cs="Times New Roman"/>
                          <w:sz w:val="28"/>
                          <w:szCs w:val="28"/>
                        </w:rPr>
                      </w:pPr>
                      <w:r>
                        <w:rPr>
                          <w:rFonts w:cs="Times New Roman" w:ascii="Times New Roman" w:hAnsi="Times New Roman"/>
                          <w:color w:val="000000"/>
                          <w:sz w:val="28"/>
                          <w:szCs w:val="28"/>
                        </w:rPr>
                        <w:t xml:space="preserve">  № </w:t>
                      </w:r>
                      <w:r>
                        <w:rPr>
                          <w:rFonts w:cs="Times New Roman" w:ascii="Times New Roman" w:hAnsi="Times New Roman"/>
                          <w:color w:val="000000"/>
                          <w:sz w:val="28"/>
                          <w:szCs w:val="28"/>
                        </w:rPr>
                        <w:t>43-582</w:t>
                      </w:r>
                    </w:p>
                  </w:txbxContent>
                </v:textbox>
                <w10:wrap type="none"/>
              </v:rect>
            </w:pict>
          </mc:Fallback>
        </mc:AlternateContent>
        <w:drawing>
          <wp:inline distT="0" distB="0" distL="0" distR="0">
            <wp:extent cx="6114415" cy="2197100"/>
            <wp:effectExtent l="0" t="0" r="0" b="0"/>
            <wp:docPr id="3" name="Рисунок 1 Копия 4" descr="СОВЕТ РЕШ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Копия 4" descr="СОВЕТ РЕШЕНИЕ"/>
                    <pic:cNvPicPr>
                      <a:picLocks noChangeAspect="1" noChangeArrowheads="1"/>
                    </pic:cNvPicPr>
                  </pic:nvPicPr>
                  <pic:blipFill>
                    <a:blip r:embed="rId2"/>
                    <a:stretch>
                      <a:fillRect/>
                    </a:stretch>
                  </pic:blipFill>
                  <pic:spPr bwMode="auto">
                    <a:xfrm>
                      <a:off x="0" y="0"/>
                      <a:ext cx="6114415" cy="2197100"/>
                    </a:xfrm>
                    <a:prstGeom prst="rect">
                      <a:avLst/>
                    </a:prstGeom>
                  </pic:spPr>
                </pic:pic>
              </a:graphicData>
            </a:graphic>
          </wp:inline>
        </w:drawing>
      </w:r>
    </w:p>
    <w:p>
      <w:pPr>
        <w:pStyle w:val="Normal"/>
        <w:shd w:val="clear" w:color="auto" w:fill="FFFFFF"/>
        <w:bidi w:val="0"/>
        <w:spacing w:lineRule="auto" w:line="240" w:before="0" w:after="0"/>
        <w:jc w:val="center"/>
        <w:rPr>
          <w:rFonts w:ascii="Liberation Sans" w:hAnsi="Liberation Sans" w:eastAsia="Times New Roman" w:cs="Arial"/>
          <w:b/>
          <w:bCs/>
          <w:sz w:val="24"/>
          <w:szCs w:val="24"/>
        </w:rPr>
      </w:pPr>
      <w:r>
        <w:rPr>
          <w:rFonts w:eastAsia="Times New Roman" w:cs="Arial" w:ascii="Liberation Sans" w:hAnsi="Liberation Sans"/>
          <w:b/>
          <w:bCs/>
          <w:sz w:val="24"/>
          <w:szCs w:val="24"/>
        </w:rPr>
      </w:r>
    </w:p>
    <w:p>
      <w:pPr>
        <w:pStyle w:val="Normal"/>
        <w:shd w:val="clear" w:color="auto" w:fill="FFFFFF"/>
        <w:bidi w:val="0"/>
        <w:spacing w:lineRule="auto" w:line="240" w:before="0" w:after="0"/>
        <w:ind w:left="284" w:hanging="0"/>
        <w:jc w:val="center"/>
        <w:rPr>
          <w:rFonts w:ascii="Liberation Sans" w:hAnsi="Liberation Sans"/>
        </w:rPr>
      </w:pPr>
      <w:r>
        <w:rPr>
          <w:rFonts w:eastAsia="Times New Roman" w:cs="Arial" w:ascii="Liberation Sans" w:hAnsi="Liberation Sans"/>
          <w:b/>
          <w:bCs/>
          <w:sz w:val="24"/>
          <w:szCs w:val="24"/>
          <w:lang w:eastAsia="ru-RU"/>
        </w:rPr>
        <w:t>О внесении изменений в генеральный план</w:t>
      </w:r>
    </w:p>
    <w:p>
      <w:pPr>
        <w:pStyle w:val="Normal"/>
        <w:shd w:val="clear" w:color="auto" w:fill="FFFFFF"/>
        <w:bidi w:val="0"/>
        <w:spacing w:lineRule="auto" w:line="240" w:before="0" w:after="0"/>
        <w:ind w:left="284" w:hanging="0"/>
        <w:jc w:val="center"/>
        <w:rPr>
          <w:rFonts w:ascii="Liberation Sans" w:hAnsi="Liberation Sans"/>
        </w:rPr>
      </w:pPr>
      <w:r>
        <w:rPr>
          <w:rFonts w:eastAsia="Times New Roman" w:cs="Arial" w:ascii="Liberation Sans" w:hAnsi="Liberation Sans"/>
          <w:b/>
          <w:bCs/>
          <w:sz w:val="24"/>
          <w:szCs w:val="24"/>
        </w:rPr>
        <w:t xml:space="preserve"> </w:t>
      </w:r>
      <w:r>
        <w:rPr>
          <w:rFonts w:cs="Arial" w:ascii="Liberation Sans" w:hAnsi="Liberation Sans"/>
          <w:b/>
          <w:sz w:val="24"/>
          <w:szCs w:val="24"/>
        </w:rPr>
        <w:t xml:space="preserve">Вахитовского </w:t>
      </w:r>
      <w:r>
        <w:rPr>
          <w:rFonts w:eastAsia="Times New Roman" w:cs="Arial" w:ascii="Liberation Sans" w:hAnsi="Liberation Sans"/>
          <w:b/>
          <w:bCs/>
          <w:sz w:val="24"/>
          <w:szCs w:val="24"/>
          <w:lang w:eastAsia="ru-RU"/>
        </w:rPr>
        <w:t>сельского поселения Верхнеуслонского муниципальн</w:t>
      </w:r>
      <w:r>
        <w:rPr>
          <w:rFonts w:eastAsia="Times New Roman" w:cs="Arial" w:ascii="Liberation Sans" w:hAnsi="Liberation Sans"/>
          <w:b/>
          <w:bCs/>
          <w:sz w:val="24"/>
          <w:szCs w:val="24"/>
        </w:rPr>
        <w:t>ого района Республики Татарстан</w:t>
      </w:r>
    </w:p>
    <w:p>
      <w:pPr>
        <w:pStyle w:val="Normal"/>
        <w:shd w:val="clear" w:color="auto" w:fill="FFFFFF"/>
        <w:bidi w:val="0"/>
        <w:spacing w:lineRule="auto" w:line="240" w:before="0" w:after="0"/>
        <w:jc w:val="center"/>
        <w:rPr>
          <w:rFonts w:ascii="Liberation Sans" w:hAnsi="Liberation Sans"/>
        </w:rPr>
      </w:pPr>
      <w:r>
        <w:rPr>
          <w:rFonts w:eastAsia="Times New Roman" w:cs="Arial" w:ascii="Liberation Sans" w:hAnsi="Liberation Sans"/>
          <w:sz w:val="24"/>
          <w:szCs w:val="24"/>
          <w:lang w:eastAsia="ru-RU"/>
        </w:rPr>
        <w:t> </w:t>
      </w:r>
    </w:p>
    <w:p>
      <w:pPr>
        <w:pStyle w:val="Normal"/>
        <w:shd w:val="clear" w:color="auto" w:fill="FFFFFF"/>
        <w:bidi w:val="0"/>
        <w:spacing w:lineRule="auto" w:line="240" w:before="0" w:after="0"/>
        <w:ind w:firstLine="708"/>
        <w:jc w:val="both"/>
        <w:rPr>
          <w:rFonts w:ascii="Liberation Sans" w:hAnsi="Liberation Sans"/>
        </w:rPr>
      </w:pPr>
      <w:r>
        <w:rPr>
          <w:rFonts w:eastAsia="Times New Roman" w:cs="Arial" w:ascii="Liberation Sans" w:hAnsi="Liberation Sans"/>
          <w:sz w:val="24"/>
          <w:szCs w:val="24"/>
          <w:lang w:eastAsia="ru-RU"/>
        </w:rPr>
        <w:t xml:space="preserve">В целях создания условий для устойчивого развития </w:t>
      </w:r>
      <w:r>
        <w:rPr>
          <w:rFonts w:cs="Arial" w:ascii="Liberation Sans" w:hAnsi="Liberation Sans"/>
          <w:sz w:val="24"/>
          <w:szCs w:val="24"/>
        </w:rPr>
        <w:t>Верхнеуслонского</w:t>
      </w:r>
      <w:r>
        <w:rPr>
          <w:rFonts w:cs="Arial" w:ascii="Liberation Sans" w:hAnsi="Liberation Sans"/>
          <w:b/>
          <w:sz w:val="24"/>
          <w:szCs w:val="24"/>
        </w:rPr>
        <w:t xml:space="preserve"> </w:t>
      </w:r>
      <w:r>
        <w:rPr>
          <w:rFonts w:eastAsia="Times New Roman" w:cs="Arial" w:ascii="Liberation Sans" w:hAnsi="Liberation Sans"/>
          <w:sz w:val="24"/>
          <w:szCs w:val="24"/>
          <w:lang w:eastAsia="ru-RU"/>
        </w:rPr>
        <w:t>сельского поселения Верхнеуслонского муниципального района, руководствуясь Федеральным законом от 06.10.2003 г. № 131-ФЗ «Об общих принципах организации местного самоуправления в Российской Федерации», Градостроительным кодексом Российской Федерации, Уставом Верхнеуслонского муниципального района, учетом протокола общественных обсуждений, заключения о результатах общественных обсуждений от 12.01.2024г. №129, заключения по проекту генерального плана, согласованного Кабинетом Министров Республики Татарстан,</w:t>
      </w:r>
    </w:p>
    <w:p>
      <w:pPr>
        <w:pStyle w:val="Normal"/>
        <w:bidi w:val="0"/>
        <w:spacing w:lineRule="auto" w:line="240"/>
        <w:ind w:firstLine="708"/>
        <w:jc w:val="both"/>
        <w:rPr>
          <w:rFonts w:ascii="Liberation Sans" w:hAnsi="Liberation Sans" w:cs="Times New Roman"/>
          <w:sz w:val="24"/>
          <w:szCs w:val="24"/>
        </w:rPr>
      </w:pPr>
      <w:r>
        <w:rPr>
          <w:rFonts w:cs="Times New Roman" w:ascii="Liberation Sans" w:hAnsi="Liberation Sans"/>
          <w:sz w:val="24"/>
          <w:szCs w:val="24"/>
        </w:rPr>
      </w:r>
    </w:p>
    <w:p>
      <w:pPr>
        <w:pStyle w:val="Normal"/>
        <w:shd w:val="clear" w:color="auto" w:fill="FFFFFF"/>
        <w:bidi w:val="0"/>
        <w:spacing w:lineRule="auto" w:line="240" w:before="0" w:after="0"/>
        <w:jc w:val="center"/>
        <w:rPr>
          <w:rFonts w:ascii="Liberation Sans" w:hAnsi="Liberation Sans"/>
        </w:rPr>
      </w:pPr>
      <w:r>
        <w:rPr>
          <w:rFonts w:eastAsia="Times New Roman" w:cs="Arial" w:ascii="Liberation Sans" w:hAnsi="Liberation Sans"/>
          <w:b/>
          <w:bCs/>
          <w:sz w:val="24"/>
          <w:szCs w:val="24"/>
          <w:lang w:eastAsia="ru-RU"/>
        </w:rPr>
        <w:t>Совет</w:t>
      </w:r>
    </w:p>
    <w:p>
      <w:pPr>
        <w:pStyle w:val="Normal"/>
        <w:shd w:val="clear" w:color="auto" w:fill="FFFFFF"/>
        <w:bidi w:val="0"/>
        <w:spacing w:lineRule="auto" w:line="240" w:before="0" w:after="0"/>
        <w:jc w:val="center"/>
        <w:rPr>
          <w:rFonts w:ascii="Liberation Sans" w:hAnsi="Liberation Sans"/>
        </w:rPr>
      </w:pPr>
      <w:r>
        <w:rPr>
          <w:rFonts w:eastAsia="Times New Roman" w:cs="Arial" w:ascii="Liberation Sans" w:hAnsi="Liberation Sans"/>
          <w:b/>
          <w:bCs/>
          <w:sz w:val="24"/>
          <w:szCs w:val="24"/>
          <w:lang w:eastAsia="ru-RU"/>
        </w:rPr>
        <w:t> </w:t>
      </w:r>
      <w:r>
        <w:rPr>
          <w:rFonts w:eastAsia="Times New Roman" w:cs="Arial" w:ascii="Liberation Sans" w:hAnsi="Liberation Sans"/>
          <w:b/>
          <w:bCs/>
          <w:sz w:val="24"/>
          <w:szCs w:val="24"/>
          <w:lang w:eastAsia="ru-RU"/>
        </w:rPr>
        <w:t>Верхнеуслонского муниципального района</w:t>
      </w:r>
    </w:p>
    <w:p>
      <w:pPr>
        <w:pStyle w:val="Normal"/>
        <w:shd w:val="clear" w:color="auto" w:fill="FFFFFF"/>
        <w:bidi w:val="0"/>
        <w:spacing w:lineRule="auto" w:line="240" w:before="0" w:after="0"/>
        <w:jc w:val="center"/>
        <w:rPr>
          <w:rFonts w:ascii="Liberation Sans" w:hAnsi="Liberation Sans"/>
        </w:rPr>
      </w:pPr>
      <w:r>
        <w:rPr>
          <w:rFonts w:eastAsia="Times New Roman" w:cs="Arial" w:ascii="Liberation Sans" w:hAnsi="Liberation Sans"/>
          <w:b/>
          <w:bCs/>
          <w:sz w:val="24"/>
          <w:szCs w:val="24"/>
          <w:lang w:eastAsia="ru-RU"/>
        </w:rPr>
        <w:t> </w:t>
      </w:r>
      <w:r>
        <w:rPr>
          <w:rFonts w:eastAsia="Times New Roman" w:cs="Arial" w:ascii="Liberation Sans" w:hAnsi="Liberation Sans"/>
          <w:b/>
          <w:bCs/>
          <w:sz w:val="24"/>
          <w:szCs w:val="24"/>
          <w:lang w:eastAsia="ru-RU"/>
        </w:rPr>
        <w:t>решил</w:t>
      </w:r>
      <w:r>
        <w:rPr>
          <w:rFonts w:eastAsia="Times New Roman" w:cs="Arial" w:ascii="Liberation Sans" w:hAnsi="Liberation Sans"/>
          <w:sz w:val="24"/>
          <w:szCs w:val="24"/>
          <w:lang w:eastAsia="ru-RU"/>
        </w:rPr>
        <w:t>:</w:t>
      </w:r>
    </w:p>
    <w:p>
      <w:pPr>
        <w:pStyle w:val="Normal"/>
        <w:widowControl w:val="false"/>
        <w:tabs>
          <w:tab w:val="clear" w:pos="709"/>
          <w:tab w:val="left" w:pos="142" w:leader="none"/>
        </w:tabs>
        <w:bidi w:val="0"/>
        <w:spacing w:lineRule="auto" w:line="240" w:before="0" w:after="0"/>
        <w:ind w:firstLine="567"/>
        <w:jc w:val="both"/>
        <w:rPr>
          <w:rFonts w:ascii="Liberation Sans" w:hAnsi="Liberation Sans"/>
        </w:rPr>
      </w:pPr>
      <w:r>
        <w:rPr>
          <w:rFonts w:eastAsia="Times New Roman" w:cs="Arial" w:ascii="Liberation Sans" w:hAnsi="Liberation Sans"/>
          <w:sz w:val="24"/>
          <w:szCs w:val="24"/>
          <w:lang w:eastAsia="ru-RU"/>
        </w:rPr>
        <w:t xml:space="preserve">1. </w:t>
      </w:r>
      <w:r>
        <w:rPr>
          <w:rFonts w:cs="Arial" w:ascii="Liberation Sans" w:hAnsi="Liberation Sans"/>
          <w:sz w:val="24"/>
          <w:szCs w:val="24"/>
        </w:rPr>
        <w:t>Внести в генеральный план Вахитовского сельского поселения Верхнеуслонского муниципального района Республики Татарстан, утвержденный решением Совета Верхнеуслонского муниципального района Республики Татарстан от 24.08.2020 г. № 60-698 «Об утверждении генерального плана Вахитовского сельского поселения Верхнеуслонского муниципального района Республики Татарстан», изменения в описание границ территориальных зон и утвердить в новой редакции (Приложение №1).</w:t>
      </w:r>
    </w:p>
    <w:p>
      <w:pPr>
        <w:pStyle w:val="S1"/>
        <w:tabs>
          <w:tab w:val="clear" w:pos="709"/>
          <w:tab w:val="left" w:pos="142" w:leader="none"/>
        </w:tabs>
        <w:bidi w:val="0"/>
        <w:spacing w:beforeAutospacing="0" w:before="0" w:afterAutospacing="0" w:after="0"/>
        <w:ind w:firstLine="567"/>
        <w:jc w:val="both"/>
        <w:rPr>
          <w:rFonts w:ascii="Liberation Sans" w:hAnsi="Liberation Sans"/>
        </w:rPr>
      </w:pPr>
      <w:r>
        <w:rPr>
          <w:rFonts w:cs="Arial" w:ascii="Liberation Sans" w:hAnsi="Liberation Sans"/>
          <w:sz w:val="24"/>
          <w:szCs w:val="24"/>
        </w:rPr>
        <w:t xml:space="preserve">2. Разместить настоящее </w:t>
      </w:r>
      <w:bookmarkStart w:id="0" w:name="_GoBack_Копия_4"/>
      <w:bookmarkEnd w:id="0"/>
      <w:r>
        <w:rPr>
          <w:rFonts w:cs="Arial" w:ascii="Liberation Sans" w:hAnsi="Liberation Sans"/>
          <w:sz w:val="24"/>
          <w:szCs w:val="24"/>
        </w:rPr>
        <w:t>решение на официальном портале правовой информации Республики Татарстан и на официальном сайте Верхнеуслонского муниципального района.</w:t>
      </w:r>
    </w:p>
    <w:p>
      <w:pPr>
        <w:pStyle w:val="ListParagraph"/>
        <w:numPr>
          <w:ilvl w:val="0"/>
          <w:numId w:val="0"/>
        </w:numPr>
        <w:shd w:val="clear" w:color="auto" w:fill="FFFFFF"/>
        <w:tabs>
          <w:tab w:val="clear" w:pos="709"/>
          <w:tab w:val="left" w:pos="142" w:leader="none"/>
          <w:tab w:val="left" w:pos="567" w:leader="none"/>
        </w:tabs>
        <w:bidi w:val="0"/>
        <w:spacing w:lineRule="auto" w:line="240" w:before="0" w:after="0"/>
        <w:ind w:left="0" w:hanging="0"/>
        <w:contextualSpacing/>
        <w:jc w:val="both"/>
        <w:rPr>
          <w:rFonts w:ascii="Liberation Sans" w:hAnsi="Liberation Sans"/>
        </w:rPr>
      </w:pPr>
      <w:r>
        <w:rPr>
          <w:rFonts w:eastAsia="Times New Roman" w:cs="Arial" w:ascii="Liberation Sans" w:hAnsi="Liberation Sans"/>
          <w:sz w:val="24"/>
          <w:szCs w:val="24"/>
          <w:lang w:eastAsia="ru-RU"/>
        </w:rPr>
        <w:t xml:space="preserve">      </w:t>
      </w:r>
      <w:r>
        <w:rPr>
          <w:rFonts w:eastAsia="Times New Roman" w:cs="Arial" w:ascii="Liberation Sans" w:hAnsi="Liberation Sans"/>
          <w:sz w:val="24"/>
          <w:szCs w:val="24"/>
          <w:lang w:eastAsia="ru-RU"/>
        </w:rPr>
        <w:t>3. Контроль за исполнением настоящего решения возложить на постоянную комиссию Совета Верхнеуслонского муниципального района по экономическому развитию, экологии, природным ресурсам и земельным вопросам. </w:t>
      </w:r>
    </w:p>
    <w:p>
      <w:pPr>
        <w:pStyle w:val="ListParagraph"/>
        <w:shd w:val="clear" w:color="auto" w:fill="FFFFFF"/>
        <w:tabs>
          <w:tab w:val="left" w:pos="709" w:leader="none"/>
          <w:tab w:val="left" w:pos="1134" w:leader="none"/>
        </w:tabs>
        <w:bidi w:val="0"/>
        <w:spacing w:lineRule="auto" w:line="240" w:before="0" w:after="0"/>
        <w:ind w:left="567" w:hanging="0"/>
        <w:contextualSpacing/>
        <w:jc w:val="both"/>
        <w:rPr>
          <w:rFonts w:ascii="Liberation Sans" w:hAnsi="Liberation Sans" w:eastAsia="Times New Roman" w:cs="Arial"/>
          <w:sz w:val="24"/>
          <w:szCs w:val="24"/>
          <w:lang w:eastAsia="ru-RU"/>
        </w:rPr>
      </w:pPr>
      <w:r>
        <w:rPr>
          <w:rFonts w:eastAsia="Times New Roman" w:cs="Arial" w:ascii="Liberation Sans" w:hAnsi="Liberation Sans"/>
          <w:sz w:val="24"/>
          <w:szCs w:val="24"/>
          <w:lang w:eastAsia="ru-RU"/>
        </w:rPr>
      </w:r>
    </w:p>
    <w:p>
      <w:pPr>
        <w:pStyle w:val="Normal"/>
        <w:shd w:val="clear" w:color="auto" w:fill="FFFFFF"/>
        <w:bidi w:val="0"/>
        <w:spacing w:lineRule="auto" w:line="240" w:before="0" w:after="0"/>
        <w:rPr>
          <w:rFonts w:ascii="Liberation Sans" w:hAnsi="Liberation Sans" w:eastAsia="Times New Roman" w:cs="Arial"/>
          <w:sz w:val="24"/>
          <w:szCs w:val="24"/>
          <w:lang w:eastAsia="ru-RU"/>
        </w:rPr>
      </w:pPr>
      <w:r>
        <w:rPr>
          <w:rFonts w:eastAsia="Times New Roman" w:cs="Arial" w:ascii="Liberation Sans" w:hAnsi="Liberation Sans"/>
          <w:sz w:val="24"/>
          <w:szCs w:val="24"/>
          <w:lang w:eastAsia="ru-RU"/>
        </w:rPr>
      </w:r>
    </w:p>
    <w:p>
      <w:pPr>
        <w:pStyle w:val="Normal"/>
        <w:shd w:val="clear" w:color="auto" w:fill="FFFFFF"/>
        <w:bidi w:val="0"/>
        <w:spacing w:lineRule="auto" w:line="240" w:before="0" w:after="0"/>
        <w:rPr>
          <w:rFonts w:ascii="Liberation Sans" w:hAnsi="Liberation Sans" w:eastAsia="Times New Roman" w:cs="Arial"/>
          <w:sz w:val="24"/>
          <w:szCs w:val="24"/>
          <w:lang w:eastAsia="ru-RU"/>
        </w:rPr>
      </w:pPr>
      <w:r>
        <w:rPr>
          <w:rFonts w:eastAsia="Times New Roman" w:cs="Arial" w:ascii="Liberation Sans" w:hAnsi="Liberation Sans"/>
          <w:sz w:val="24"/>
          <w:szCs w:val="24"/>
          <w:lang w:eastAsia="ru-RU"/>
        </w:rPr>
      </w:r>
    </w:p>
    <w:p>
      <w:pPr>
        <w:pStyle w:val="Normal"/>
        <w:bidi w:val="0"/>
        <w:spacing w:lineRule="auto" w:line="240" w:before="0" w:after="0"/>
        <w:ind w:left="-567" w:firstLine="567"/>
        <w:jc w:val="both"/>
        <w:rPr>
          <w:rFonts w:ascii="Liberation Sans" w:hAnsi="Liberation Sans"/>
        </w:rPr>
      </w:pPr>
      <w:r>
        <w:rPr>
          <w:rFonts w:eastAsia="Times New Roman" w:cs="Arial" w:ascii="Liberation Sans" w:hAnsi="Liberation Sans"/>
          <w:b/>
          <w:sz w:val="24"/>
          <w:szCs w:val="24"/>
          <w:lang w:eastAsia="ru-RU"/>
        </w:rPr>
        <w:t>Заместитель председателя  Совета,</w:t>
      </w:r>
    </w:p>
    <w:p>
      <w:pPr>
        <w:pStyle w:val="Normal"/>
        <w:bidi w:val="0"/>
        <w:spacing w:lineRule="auto" w:line="240" w:before="0" w:after="0"/>
        <w:ind w:left="-567" w:firstLine="567"/>
        <w:jc w:val="both"/>
        <w:rPr>
          <w:rFonts w:ascii="Liberation Sans" w:hAnsi="Liberation Sans"/>
        </w:rPr>
      </w:pPr>
      <w:r>
        <w:rPr>
          <w:rFonts w:eastAsia="Times New Roman" w:cs="Arial" w:ascii="Liberation Sans" w:hAnsi="Liberation Sans"/>
          <w:b/>
          <w:sz w:val="24"/>
          <w:szCs w:val="24"/>
          <w:lang w:eastAsia="ru-RU"/>
        </w:rPr>
        <w:t xml:space="preserve">Заместитель Главы Верхнеуслонского </w:t>
      </w:r>
    </w:p>
    <w:p>
      <w:pPr>
        <w:pStyle w:val="Normal"/>
        <w:bidi w:val="0"/>
        <w:spacing w:lineRule="auto" w:line="240" w:before="0" w:after="0"/>
        <w:ind w:left="-567" w:firstLine="567"/>
        <w:jc w:val="both"/>
        <w:rPr>
          <w:rFonts w:ascii="Liberation Sans" w:hAnsi="Liberation Sans"/>
        </w:rPr>
      </w:pPr>
      <w:r>
        <w:rPr>
          <w:rFonts w:eastAsia="Times New Roman" w:cs="Arial" w:ascii="Liberation Sans" w:hAnsi="Liberation Sans"/>
          <w:b/>
          <w:bCs/>
          <w:sz w:val="24"/>
          <w:szCs w:val="24"/>
          <w:lang w:eastAsia="ru-RU"/>
        </w:rPr>
        <w:t>муниципального района                                                                    С.В. Осянин</w:t>
      </w:r>
    </w:p>
    <w:p>
      <w:pPr>
        <w:pStyle w:val="Normal"/>
        <w:bidi w:val="0"/>
        <w:spacing w:lineRule="auto" w:line="240" w:before="0" w:after="0"/>
        <w:ind w:left="-567" w:firstLine="567"/>
        <w:jc w:val="both"/>
        <w:rPr>
          <w:rFonts w:ascii="Liberation Sans" w:hAnsi="Liberation Sans"/>
        </w:rPr>
      </w:pPr>
      <w:r>
        <w:rPr/>
      </w:r>
    </w:p>
    <w:p>
      <w:pPr>
        <w:pStyle w:val="Normal"/>
        <w:bidi w:val="0"/>
        <w:spacing w:lineRule="auto" w:line="240" w:before="0" w:after="0"/>
        <w:ind w:left="-567" w:firstLine="567"/>
        <w:jc w:val="both"/>
        <w:rPr>
          <w:rFonts w:ascii="Liberation Sans" w:hAnsi="Liberation Sans"/>
        </w:rPr>
      </w:pPr>
      <w:r>
        <w:rPr/>
      </w:r>
    </w:p>
    <w:p>
      <w:pPr>
        <w:pStyle w:val="Normal"/>
        <w:bidi w:val="0"/>
        <w:spacing w:lineRule="auto" w:line="240" w:before="0" w:after="0"/>
        <w:ind w:left="-567" w:firstLine="567"/>
        <w:jc w:val="both"/>
        <w:rPr>
          <w:rFonts w:ascii="Liberation Sans" w:hAnsi="Liberation Sans"/>
        </w:rPr>
      </w:pPr>
      <w:r>
        <w:rPr/>
      </w:r>
    </w:p>
    <w:p>
      <w:pPr>
        <w:pStyle w:val="Normal"/>
        <w:bidi w:val="0"/>
        <w:spacing w:lineRule="auto" w:line="240" w:before="0" w:after="0"/>
        <w:ind w:left="-567" w:firstLine="567"/>
        <w:jc w:val="both"/>
        <w:rPr>
          <w:rFonts w:ascii="Liberation Sans" w:hAnsi="Liberation Sans"/>
        </w:rPr>
      </w:pPr>
      <w:r>
        <w:rPr/>
      </w:r>
    </w:p>
    <w:p>
      <w:pPr>
        <w:sectPr>
          <w:type w:val="nextPage"/>
          <w:pgSz w:w="11906" w:h="16838"/>
          <w:pgMar w:left="1134" w:right="567" w:gutter="0" w:header="0" w:top="1134" w:footer="0" w:bottom="1134"/>
          <w:pgNumType w:fmt="decimal"/>
          <w:formProt w:val="false"/>
          <w:textDirection w:val="lrTb"/>
          <w:docGrid w:type="default" w:linePitch="600" w:charSpace="24576"/>
        </w:sectPr>
        <w:pStyle w:val="Normal"/>
        <w:bidi w:val="0"/>
        <w:spacing w:lineRule="auto" w:line="240" w:before="0" w:after="0"/>
        <w:ind w:left="-567" w:firstLine="567"/>
        <w:jc w:val="both"/>
        <w:rPr>
          <w:rFonts w:ascii="Liberation Sans" w:hAnsi="Liberation Sans"/>
        </w:rPr>
      </w:pPr>
      <w:r>
        <w:rPr/>
      </w:r>
    </w:p>
    <w:p>
      <w:pPr>
        <w:pStyle w:val="Normal"/>
        <w:bidi w:val="0"/>
        <w:spacing w:lineRule="auto" w:line="240" w:before="0" w:after="0"/>
        <w:ind w:left="-567" w:firstLine="567"/>
        <w:jc w:val="both"/>
        <w:rPr>
          <w:rFonts w:ascii="Liberation Sans" w:hAnsi="Liberation Sans"/>
        </w:rPr>
      </w:pPr>
      <w:r>
        <w:rPr/>
      </w:r>
    </w:p>
    <w:p>
      <w:pPr>
        <w:pStyle w:val="Normal"/>
        <w:bidi w:val="0"/>
        <w:spacing w:lineRule="auto" w:line="240" w:before="0" w:after="0"/>
        <w:ind w:left="-567" w:firstLine="567"/>
        <w:jc w:val="both"/>
        <w:rPr>
          <w:rFonts w:ascii="Liberation Sans" w:hAnsi="Liberation Sans"/>
        </w:rPr>
      </w:pPr>
      <w:r>
        <w:rPr/>
      </w:r>
    </w:p>
    <w:p>
      <w:pPr>
        <w:pStyle w:val="Style73"/>
        <w:rPr/>
      </w:pPr>
      <w:bookmarkStart w:id="1" w:name="_Toc291676238"/>
      <w:r>
        <w:rPr/>
        <w:t xml:space="preserve">Государственное бюджетное учреждение </w:t>
      </w:r>
    </w:p>
    <w:p>
      <w:pPr>
        <w:pStyle w:val="Style73"/>
        <w:rPr/>
      </w:pPr>
      <w:r>
        <w:rPr/>
        <w:t>«Фонд пространственных данных Республики Татарстан»</w:t>
      </w:r>
    </w:p>
    <w:p>
      <w:pPr>
        <w:pStyle w:val="Style73"/>
        <w:rPr/>
      </w:pPr>
      <w:r>
        <w:rPr/>
      </w:r>
    </w:p>
    <w:p>
      <w:pPr>
        <w:pStyle w:val="Style73"/>
        <w:rPr/>
      </w:pPr>
      <w:r>
        <w:rPr/>
      </w:r>
    </w:p>
    <w:p>
      <w:pPr>
        <w:pStyle w:val="Style73"/>
        <w:rPr/>
      </w:pPr>
      <w:r>
        <w:rPr/>
      </w:r>
    </w:p>
    <w:p>
      <w:pPr>
        <w:pStyle w:val="Style73"/>
        <w:rPr/>
      </w:pPr>
      <w:r>
        <w:rPr/>
      </w:r>
    </w:p>
    <w:p>
      <w:pPr>
        <w:pStyle w:val="Style73"/>
        <w:rPr/>
      </w:pPr>
      <w:r>
        <w:rPr/>
      </w:r>
    </w:p>
    <w:p>
      <w:pPr>
        <w:pStyle w:val="Style73"/>
        <w:rPr/>
      </w:pPr>
      <w:r>
        <w:rPr/>
      </w:r>
    </w:p>
    <w:p>
      <w:pPr>
        <w:pStyle w:val="Style73"/>
        <w:rPr/>
      </w:pPr>
      <w:r>
        <w:rPr/>
      </w:r>
    </w:p>
    <w:p>
      <w:pPr>
        <w:pStyle w:val="Style73"/>
        <w:rPr/>
      </w:pPr>
      <w:r>
        <w:rPr/>
      </w:r>
    </w:p>
    <w:p>
      <w:pPr>
        <w:pStyle w:val="Style73"/>
        <w:rPr/>
      </w:pPr>
      <w:r>
        <w:rPr/>
      </w:r>
    </w:p>
    <w:p>
      <w:pPr>
        <w:pStyle w:val="Style73"/>
        <w:rPr/>
      </w:pPr>
      <w:r>
        <w:rPr/>
      </w:r>
    </w:p>
    <w:p>
      <w:pPr>
        <w:pStyle w:val="Style73"/>
        <w:rPr/>
      </w:pPr>
      <w:r>
        <w:rPr/>
      </w:r>
    </w:p>
    <w:p>
      <w:pPr>
        <w:pStyle w:val="Style73"/>
        <w:rPr/>
      </w:pPr>
      <w:r>
        <w:rPr/>
      </w:r>
    </w:p>
    <w:p>
      <w:pPr>
        <w:pStyle w:val="Style73"/>
        <w:rPr/>
      </w:pPr>
      <w:r>
        <w:rPr/>
      </w:r>
    </w:p>
    <w:p>
      <w:pPr>
        <w:pStyle w:val="Style73"/>
        <w:rPr/>
      </w:pPr>
      <w:r>
        <w:rPr/>
        <w:t xml:space="preserve">ГЕНЕРАЛЬНЫЙ ПЛАН </w:t>
      </w:r>
    </w:p>
    <w:p>
      <w:pPr>
        <w:pStyle w:val="Style73"/>
        <w:rPr/>
      </w:pPr>
      <w:r>
        <w:rPr/>
        <w:t>ВАХИТОВСКОГО СЕЛЬСКОГО ПОСЕЛЕНИЯ</w:t>
      </w:r>
    </w:p>
    <w:p>
      <w:pPr>
        <w:pStyle w:val="Style73"/>
        <w:rPr/>
      </w:pPr>
      <w:r>
        <w:rPr/>
        <w:t xml:space="preserve">ВЕРХНЕУСЛОНСКОГО МУНИЦИПАЛЬНОГО РАЙОНА </w:t>
      </w:r>
    </w:p>
    <w:p>
      <w:pPr>
        <w:pStyle w:val="Style73"/>
        <w:rPr/>
      </w:pPr>
      <w:r>
        <w:rPr/>
        <w:t>РЕСПУБЛИКИ ТАТАРСТАН</w:t>
      </w:r>
    </w:p>
    <w:p>
      <w:pPr>
        <w:pStyle w:val="Style73"/>
        <w:rPr/>
      </w:pPr>
      <w:r>
        <w:rPr/>
        <w:t>(внесение изменений)</w:t>
      </w:r>
    </w:p>
    <w:p>
      <w:pPr>
        <w:pStyle w:val="Style73"/>
        <w:rPr>
          <w:b w:val="false"/>
        </w:rPr>
      </w:pPr>
      <w:r>
        <w:rPr>
          <w:b w:val="false"/>
        </w:rPr>
      </w:r>
    </w:p>
    <w:p>
      <w:pPr>
        <w:pStyle w:val="Style73"/>
        <w:rPr/>
      </w:pPr>
      <w:r>
        <w:rPr/>
        <w:t>Положение о территориальном планировании</w:t>
      </w:r>
    </w:p>
    <w:p>
      <w:pPr>
        <w:pStyle w:val="Style73"/>
        <w:rPr/>
      </w:pPr>
      <w:r>
        <w:rPr/>
      </w:r>
    </w:p>
    <w:p>
      <w:pPr>
        <w:pStyle w:val="Style73"/>
        <w:rPr>
          <w:b w:val="false"/>
        </w:rPr>
      </w:pPr>
      <w:r>
        <w:rPr>
          <w:b w:val="false"/>
        </w:rPr>
      </w:r>
    </w:p>
    <w:p>
      <w:pPr>
        <w:pStyle w:val="Style73"/>
        <w:rPr>
          <w:b w:val="false"/>
        </w:rPr>
      </w:pPr>
      <w:r>
        <w:rPr>
          <w:b w:val="false"/>
        </w:rPr>
      </w:r>
    </w:p>
    <w:p>
      <w:pPr>
        <w:pStyle w:val="Style73"/>
        <w:rPr>
          <w:b w:val="false"/>
        </w:rPr>
      </w:pPr>
      <w:r>
        <w:rPr>
          <w:b w:val="false"/>
        </w:rPr>
      </w:r>
    </w:p>
    <w:p>
      <w:pPr>
        <w:pStyle w:val="Style73"/>
        <w:rPr>
          <w:b w:val="false"/>
        </w:rPr>
      </w:pPr>
      <w:r>
        <w:rPr>
          <w:b w:val="false"/>
        </w:rPr>
      </w:r>
    </w:p>
    <w:p>
      <w:pPr>
        <w:pStyle w:val="Style73"/>
        <w:rPr>
          <w:b w:val="false"/>
        </w:rPr>
      </w:pPr>
      <w:r>
        <w:rPr>
          <w:b w:val="false"/>
        </w:rPr>
      </w:r>
    </w:p>
    <w:p>
      <w:pPr>
        <w:pStyle w:val="Style73"/>
        <w:rPr>
          <w:b w:val="false"/>
        </w:rPr>
      </w:pPr>
      <w:r>
        <w:rPr>
          <w:b w:val="false"/>
        </w:rPr>
      </w:r>
    </w:p>
    <w:p>
      <w:pPr>
        <w:pStyle w:val="Style73"/>
        <w:rPr>
          <w:b w:val="false"/>
        </w:rPr>
      </w:pPr>
      <w:r>
        <w:rPr>
          <w:b w:val="false"/>
        </w:rPr>
      </w:r>
    </w:p>
    <w:p>
      <w:pPr>
        <w:pStyle w:val="Style73"/>
        <w:rPr>
          <w:b w:val="false"/>
        </w:rPr>
      </w:pPr>
      <w:r>
        <w:rPr>
          <w:b w:val="false"/>
        </w:rPr>
      </w:r>
    </w:p>
    <w:p>
      <w:pPr>
        <w:pStyle w:val="Style73"/>
        <w:rPr>
          <w:b w:val="false"/>
        </w:rPr>
      </w:pPr>
      <w:r>
        <w:rPr>
          <w:b w:val="false"/>
        </w:rPr>
      </w:r>
    </w:p>
    <w:p>
      <w:pPr>
        <w:pStyle w:val="Style73"/>
        <w:rPr>
          <w:b w:val="false"/>
        </w:rPr>
      </w:pPr>
      <w:r>
        <w:rPr>
          <w:b w:val="false"/>
        </w:rPr>
      </w:r>
    </w:p>
    <w:p>
      <w:pPr>
        <w:pStyle w:val="Style73"/>
        <w:rPr>
          <w:b w:val="false"/>
        </w:rPr>
      </w:pPr>
      <w:r>
        <w:rPr>
          <w:b w:val="false"/>
        </w:rPr>
      </w:r>
    </w:p>
    <w:p>
      <w:pPr>
        <w:pStyle w:val="Style73"/>
        <w:rPr>
          <w:b w:val="false"/>
        </w:rPr>
      </w:pPr>
      <w:r>
        <w:rPr>
          <w:b w:val="false"/>
        </w:rPr>
      </w:r>
    </w:p>
    <w:p>
      <w:pPr>
        <w:pStyle w:val="Style73"/>
        <w:rPr>
          <w:b w:val="false"/>
        </w:rPr>
      </w:pPr>
      <w:r>
        <w:rPr>
          <w:b w:val="false"/>
        </w:rPr>
      </w:r>
    </w:p>
    <w:p>
      <w:pPr>
        <w:pStyle w:val="Style73"/>
        <w:rPr>
          <w:b w:val="false"/>
        </w:rPr>
      </w:pPr>
      <w:r>
        <w:rPr>
          <w:b w:val="false"/>
        </w:rPr>
      </w:r>
    </w:p>
    <w:p>
      <w:pPr>
        <w:pStyle w:val="Style73"/>
        <w:rPr>
          <w:b w:val="false"/>
        </w:rPr>
      </w:pPr>
      <w:r>
        <w:rPr>
          <w:b w:val="false"/>
        </w:rPr>
      </w:r>
    </w:p>
    <w:p>
      <w:pPr>
        <w:pStyle w:val="Style73"/>
        <w:rPr>
          <w:b w:val="false"/>
        </w:rPr>
      </w:pPr>
      <w:r>
        <w:rPr>
          <w:b w:val="false"/>
        </w:rPr>
      </w:r>
    </w:p>
    <w:p>
      <w:pPr>
        <w:pStyle w:val="Style73"/>
        <w:rPr>
          <w:b w:val="false"/>
        </w:rPr>
      </w:pPr>
      <w:r>
        <w:rPr>
          <w:b w:val="false"/>
        </w:rPr>
      </w:r>
    </w:p>
    <w:p>
      <w:pPr>
        <w:pStyle w:val="Style73"/>
        <w:rPr>
          <w:b w:val="false"/>
        </w:rPr>
      </w:pPr>
      <w:r>
        <w:rPr>
          <w:b w:val="false"/>
        </w:rPr>
      </w:r>
    </w:p>
    <w:p>
      <w:pPr>
        <w:pStyle w:val="Style73"/>
        <w:rPr>
          <w:b w:val="false"/>
        </w:rPr>
      </w:pPr>
      <w:r>
        <w:rPr>
          <w:b w:val="false"/>
        </w:rPr>
      </w:r>
    </w:p>
    <w:p>
      <w:pPr>
        <w:pStyle w:val="Style73"/>
        <w:rPr>
          <w:b w:val="false"/>
        </w:rPr>
      </w:pPr>
      <w:r>
        <w:rPr>
          <w:b w:val="false"/>
        </w:rPr>
      </w:r>
    </w:p>
    <w:p>
      <w:pPr>
        <w:pStyle w:val="Style73"/>
        <w:rPr/>
      </w:pPr>
      <w:bookmarkStart w:id="2" w:name="_Toc366154061"/>
      <w:bookmarkStart w:id="3" w:name="_Toc366497629"/>
      <w:bookmarkStart w:id="4" w:name="_Toc369676777"/>
      <w:bookmarkStart w:id="5" w:name="_Toc501115898"/>
      <w:bookmarkStart w:id="6" w:name="_Toc405467901"/>
      <w:bookmarkStart w:id="7" w:name="_Toc358029342"/>
      <w:bookmarkStart w:id="8" w:name="_Toc366502835"/>
      <w:bookmarkStart w:id="9" w:name="_Toc346122604"/>
      <w:bookmarkStart w:id="10" w:name="_Toc391296026"/>
      <w:bookmarkStart w:id="11" w:name="_Toc496957921"/>
      <w:bookmarkStart w:id="12" w:name="_Toc435603165"/>
      <w:bookmarkStart w:id="13" w:name="_Toc496957860"/>
      <w:bookmarkStart w:id="14" w:name="_Toc39043722"/>
      <w:r>
        <w:rPr/>
        <w:t xml:space="preserve">Казань 2024 </w:t>
      </w:r>
    </w:p>
    <w:p>
      <w:pPr>
        <w:pStyle w:val="Style73"/>
        <w:rPr/>
      </w:pPr>
      <w:r>
        <w:rPr/>
      </w:r>
    </w:p>
    <w:tbl>
      <w:tblPr>
        <w:tblW w:w="9747" w:type="dxa"/>
        <w:jc w:val="left"/>
        <w:tblInd w:w="-108" w:type="dxa"/>
        <w:tblLayout w:type="fixed"/>
        <w:tblCellMar>
          <w:top w:w="0" w:type="dxa"/>
          <w:left w:w="108" w:type="dxa"/>
          <w:bottom w:w="0" w:type="dxa"/>
          <w:right w:w="108" w:type="dxa"/>
        </w:tblCellMar>
        <w:tblLook w:noVBand="1" w:val="04a0" w:noHBand="0" w:lastColumn="0" w:firstColumn="1" w:lastRow="0" w:firstRow="1"/>
      </w:tblPr>
      <w:tblGrid>
        <w:gridCol w:w="962"/>
        <w:gridCol w:w="6511"/>
        <w:gridCol w:w="2274"/>
      </w:tblGrid>
      <w:tr>
        <w:trPr/>
        <w:tc>
          <w:tcPr>
            <w:tcW w:w="9747" w:type="dxa"/>
            <w:gridSpan w:val="3"/>
            <w:tcBorders/>
            <w:shd w:color="auto" w:fill="auto" w:val="clear"/>
          </w:tcPr>
          <w:p>
            <w:pPr>
              <w:pStyle w:val="Normal"/>
              <w:widowControl w:val="false"/>
              <w:jc w:val="center"/>
              <w:rPr>
                <w:b/>
                <w:szCs w:val="28"/>
              </w:rPr>
            </w:pPr>
            <w:r>
              <w:rPr>
                <w:b/>
                <w:szCs w:val="28"/>
              </w:rPr>
            </w:r>
          </w:p>
          <w:p>
            <w:pPr>
              <w:pStyle w:val="Normal"/>
              <w:widowControl w:val="false"/>
              <w:jc w:val="center"/>
              <w:rPr>
                <w:szCs w:val="28"/>
              </w:rPr>
            </w:pPr>
            <w:r>
              <w:rPr>
                <w:b/>
                <w:szCs w:val="28"/>
              </w:rPr>
              <w:t>СОСТАВ ПРОЕКТА</w:t>
            </w:r>
          </w:p>
        </w:tc>
      </w:tr>
      <w:tr>
        <w:trPr/>
        <w:tc>
          <w:tcPr>
            <w:tcW w:w="9747" w:type="dxa"/>
            <w:gridSpan w:val="3"/>
            <w:tcBorders/>
            <w:shd w:color="auto" w:fill="auto" w:val="clear"/>
          </w:tcPr>
          <w:p>
            <w:pPr>
              <w:pStyle w:val="Style73"/>
              <w:widowControl w:val="false"/>
              <w:rPr>
                <w:b w:val="false"/>
                <w:bCs w:val="false"/>
                <w:szCs w:val="28"/>
              </w:rPr>
            </w:pPr>
            <w:r>
              <w:rPr>
                <w:b w:val="false"/>
                <w:bCs w:val="false"/>
                <w:szCs w:val="28"/>
              </w:rPr>
              <w:t>Генерального плана Вахитовского сельского поселения</w:t>
            </w:r>
          </w:p>
          <w:p>
            <w:pPr>
              <w:pStyle w:val="Style73"/>
              <w:widowControl w:val="false"/>
              <w:rPr>
                <w:b w:val="false"/>
                <w:szCs w:val="28"/>
              </w:rPr>
            </w:pPr>
            <w:r>
              <w:rPr>
                <w:b w:val="false"/>
                <w:bCs w:val="false"/>
                <w:szCs w:val="28"/>
              </w:rPr>
              <w:t xml:space="preserve">Верхнеуслонского муниципального района </w:t>
            </w:r>
            <w:r>
              <w:rPr>
                <w:b w:val="false"/>
                <w:szCs w:val="28"/>
              </w:rPr>
              <w:t>Республики Татарстан</w:t>
            </w:r>
          </w:p>
        </w:tc>
      </w:tr>
      <w:tr>
        <w:trPr/>
        <w:tc>
          <w:tcPr>
            <w:tcW w:w="9747" w:type="dxa"/>
            <w:gridSpan w:val="3"/>
            <w:tcBorders>
              <w:bottom w:val="single" w:sz="4" w:space="0" w:color="000000"/>
            </w:tcBorders>
            <w:shd w:color="auto" w:fill="auto" w:val="clear"/>
          </w:tcPr>
          <w:p>
            <w:pPr>
              <w:pStyle w:val="Normal"/>
              <w:widowControl w:val="false"/>
              <w:ind w:hanging="0"/>
              <w:jc w:val="center"/>
              <w:rPr>
                <w:szCs w:val="28"/>
              </w:rPr>
            </w:pPr>
            <w:r>
              <w:rPr>
                <w:szCs w:val="28"/>
              </w:rPr>
            </w:r>
          </w:p>
        </w:tc>
      </w:tr>
      <w:tr>
        <w:trPr/>
        <w:tc>
          <w:tcPr>
            <w:tcW w:w="9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0"/>
              <w:jc w:val="center"/>
              <w:rPr>
                <w:szCs w:val="28"/>
              </w:rPr>
            </w:pPr>
            <w:r>
              <w:rPr>
                <w:szCs w:val="28"/>
              </w:rPr>
              <w:t xml:space="preserve">№ </w:t>
            </w:r>
            <w:r>
              <w:rPr>
                <w:szCs w:val="28"/>
              </w:rPr>
              <w:t>п/п</w:t>
            </w:r>
          </w:p>
        </w:tc>
        <w:tc>
          <w:tcPr>
            <w:tcW w:w="651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0"/>
              <w:jc w:val="center"/>
              <w:rPr>
                <w:szCs w:val="28"/>
              </w:rPr>
            </w:pPr>
            <w:r>
              <w:rPr>
                <w:szCs w:val="28"/>
              </w:rPr>
              <w:t>Наименование</w:t>
            </w:r>
          </w:p>
        </w:tc>
        <w:tc>
          <w:tcPr>
            <w:tcW w:w="22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0"/>
              <w:jc w:val="center"/>
              <w:rPr>
                <w:szCs w:val="28"/>
              </w:rPr>
            </w:pPr>
            <w:r>
              <w:rPr>
                <w:szCs w:val="28"/>
              </w:rPr>
              <w:t xml:space="preserve">№ </w:t>
            </w:r>
            <w:r>
              <w:rPr>
                <w:szCs w:val="28"/>
              </w:rPr>
              <w:t>листа/листов</w:t>
            </w:r>
          </w:p>
        </w:tc>
      </w:tr>
      <w:tr>
        <w:trPr/>
        <w:tc>
          <w:tcPr>
            <w:tcW w:w="9747"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ind w:hanging="0"/>
              <w:contextualSpacing/>
              <w:rPr>
                <w:b/>
                <w:szCs w:val="28"/>
              </w:rPr>
            </w:pPr>
            <w:r>
              <w:rPr>
                <w:b/>
                <w:szCs w:val="28"/>
              </w:rPr>
            </w:r>
          </w:p>
        </w:tc>
      </w:tr>
      <w:tr>
        <w:trPr/>
        <w:tc>
          <w:tcPr>
            <w:tcW w:w="9747"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ind w:hanging="0"/>
              <w:contextualSpacing/>
              <w:rPr>
                <w:szCs w:val="28"/>
              </w:rPr>
            </w:pPr>
            <w:r>
              <w:rPr>
                <w:b/>
                <w:szCs w:val="28"/>
              </w:rPr>
              <w:t>Том 1 Генеральный план</w:t>
            </w:r>
          </w:p>
        </w:tc>
      </w:tr>
      <w:tr>
        <w:trPr/>
        <w:tc>
          <w:tcPr>
            <w:tcW w:w="9747"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0"/>
              <w:jc w:val="left"/>
              <w:rPr>
                <w:szCs w:val="28"/>
              </w:rPr>
            </w:pPr>
            <w:r>
              <w:rPr>
                <w:szCs w:val="28"/>
              </w:rPr>
              <w:t xml:space="preserve">              </w:t>
            </w:r>
            <w:r>
              <w:rPr>
                <w:szCs w:val="28"/>
              </w:rPr>
              <w:t>Текстовые материалы</w:t>
            </w:r>
          </w:p>
        </w:tc>
      </w:tr>
      <w:tr>
        <w:trPr/>
        <w:tc>
          <w:tcPr>
            <w:tcW w:w="9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0"/>
              <w:jc w:val="center"/>
              <w:rPr>
                <w:szCs w:val="28"/>
              </w:rPr>
            </w:pPr>
            <w:r>
              <w:rPr>
                <w:szCs w:val="28"/>
              </w:rPr>
              <w:t>1</w:t>
            </w:r>
          </w:p>
        </w:tc>
        <w:tc>
          <w:tcPr>
            <w:tcW w:w="651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0"/>
              <w:jc w:val="left"/>
              <w:rPr>
                <w:szCs w:val="28"/>
              </w:rPr>
            </w:pPr>
            <w:r>
              <w:rPr>
                <w:szCs w:val="28"/>
              </w:rPr>
              <w:t>Положение о территориальном планировании</w:t>
            </w:r>
          </w:p>
        </w:tc>
        <w:tc>
          <w:tcPr>
            <w:tcW w:w="22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0"/>
              <w:jc w:val="center"/>
              <w:rPr>
                <w:szCs w:val="28"/>
              </w:rPr>
            </w:pPr>
            <w:r>
              <w:rPr>
                <w:szCs w:val="28"/>
              </w:rPr>
              <w:t>42</w:t>
            </w:r>
          </w:p>
        </w:tc>
      </w:tr>
      <w:tr>
        <w:trPr/>
        <w:tc>
          <w:tcPr>
            <w:tcW w:w="9747"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0"/>
              <w:jc w:val="left"/>
              <w:rPr>
                <w:szCs w:val="28"/>
              </w:rPr>
            </w:pPr>
            <w:r>
              <w:rPr>
                <w:szCs w:val="28"/>
              </w:rPr>
              <w:t xml:space="preserve">              </w:t>
            </w:r>
            <w:r>
              <w:rPr>
                <w:szCs w:val="28"/>
              </w:rPr>
              <w:t>Графические материалы</w:t>
            </w:r>
          </w:p>
        </w:tc>
      </w:tr>
      <w:tr>
        <w:trPr/>
        <w:tc>
          <w:tcPr>
            <w:tcW w:w="9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0"/>
              <w:jc w:val="center"/>
              <w:rPr>
                <w:szCs w:val="28"/>
              </w:rPr>
            </w:pPr>
            <w:r>
              <w:rPr>
                <w:szCs w:val="28"/>
              </w:rPr>
              <w:t>2</w:t>
            </w:r>
          </w:p>
        </w:tc>
        <w:tc>
          <w:tcPr>
            <w:tcW w:w="651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0"/>
              <w:jc w:val="left"/>
              <w:rPr>
                <w:szCs w:val="28"/>
              </w:rPr>
            </w:pPr>
            <w:r>
              <w:rPr>
                <w:szCs w:val="28"/>
              </w:rPr>
              <w:t>Карта планируемого размещения объектов местного значения М1:10000</w:t>
            </w:r>
          </w:p>
        </w:tc>
        <w:tc>
          <w:tcPr>
            <w:tcW w:w="22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0"/>
              <w:jc w:val="center"/>
              <w:rPr>
                <w:szCs w:val="28"/>
              </w:rPr>
            </w:pPr>
            <w:r>
              <w:rPr>
                <w:szCs w:val="28"/>
              </w:rPr>
              <w:t>1/1</w:t>
            </w:r>
          </w:p>
        </w:tc>
      </w:tr>
      <w:tr>
        <w:trPr/>
        <w:tc>
          <w:tcPr>
            <w:tcW w:w="9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0"/>
              <w:jc w:val="center"/>
              <w:rPr>
                <w:szCs w:val="28"/>
              </w:rPr>
            </w:pPr>
            <w:r>
              <w:rPr>
                <w:szCs w:val="28"/>
              </w:rPr>
              <w:t>3</w:t>
            </w:r>
          </w:p>
        </w:tc>
        <w:tc>
          <w:tcPr>
            <w:tcW w:w="651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0"/>
              <w:jc w:val="left"/>
              <w:rPr>
                <w:szCs w:val="28"/>
              </w:rPr>
            </w:pPr>
            <w:r>
              <w:rPr>
                <w:szCs w:val="28"/>
              </w:rPr>
              <w:t>Карта границ населенных пунктов (в том числе границ образуемых населенных пунктов) М1:10000</w:t>
            </w:r>
          </w:p>
        </w:tc>
        <w:tc>
          <w:tcPr>
            <w:tcW w:w="22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0"/>
              <w:jc w:val="center"/>
              <w:rPr>
                <w:szCs w:val="28"/>
              </w:rPr>
            </w:pPr>
            <w:r>
              <w:rPr>
                <w:szCs w:val="28"/>
              </w:rPr>
              <w:t>2/1</w:t>
            </w:r>
          </w:p>
        </w:tc>
      </w:tr>
      <w:tr>
        <w:trPr/>
        <w:tc>
          <w:tcPr>
            <w:tcW w:w="9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0"/>
              <w:jc w:val="center"/>
              <w:rPr>
                <w:szCs w:val="28"/>
              </w:rPr>
            </w:pPr>
            <w:r>
              <w:rPr>
                <w:szCs w:val="28"/>
              </w:rPr>
              <w:t>4</w:t>
            </w:r>
          </w:p>
        </w:tc>
        <w:tc>
          <w:tcPr>
            <w:tcW w:w="651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0"/>
              <w:jc w:val="left"/>
              <w:rPr>
                <w:szCs w:val="28"/>
              </w:rPr>
            </w:pPr>
            <w:r>
              <w:rPr>
                <w:szCs w:val="28"/>
              </w:rPr>
              <w:t>Карта функциональных зон М1:10000</w:t>
            </w:r>
          </w:p>
        </w:tc>
        <w:tc>
          <w:tcPr>
            <w:tcW w:w="22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0"/>
              <w:jc w:val="center"/>
              <w:rPr>
                <w:szCs w:val="28"/>
              </w:rPr>
            </w:pPr>
            <w:r>
              <w:rPr>
                <w:szCs w:val="28"/>
              </w:rPr>
              <w:t>3/1</w:t>
            </w:r>
          </w:p>
        </w:tc>
      </w:tr>
      <w:tr>
        <w:trPr/>
        <w:tc>
          <w:tcPr>
            <w:tcW w:w="9747"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0"/>
              <w:jc w:val="left"/>
              <w:rPr>
                <w:szCs w:val="28"/>
              </w:rPr>
            </w:pPr>
            <w:r>
              <w:rPr>
                <w:szCs w:val="28"/>
              </w:rPr>
              <w:t xml:space="preserve">              </w:t>
            </w:r>
            <w:r>
              <w:rPr>
                <w:szCs w:val="28"/>
              </w:rPr>
              <w:t>Приложение</w:t>
            </w:r>
          </w:p>
        </w:tc>
      </w:tr>
      <w:tr>
        <w:trPr/>
        <w:tc>
          <w:tcPr>
            <w:tcW w:w="9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0"/>
              <w:jc w:val="center"/>
              <w:rPr>
                <w:szCs w:val="28"/>
              </w:rPr>
            </w:pPr>
            <w:r>
              <w:rPr>
                <w:szCs w:val="28"/>
              </w:rPr>
              <w:t>5</w:t>
            </w:r>
          </w:p>
        </w:tc>
        <w:tc>
          <w:tcPr>
            <w:tcW w:w="651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0"/>
              <w:jc w:val="left"/>
              <w:rPr>
                <w:szCs w:val="28"/>
              </w:rPr>
            </w:pPr>
            <w:r>
              <w:rPr>
                <w:szCs w:val="28"/>
              </w:rPr>
              <w:t>Сведения о границах населенных пунктов</w:t>
            </w:r>
          </w:p>
        </w:tc>
        <w:tc>
          <w:tcPr>
            <w:tcW w:w="22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0"/>
              <w:jc w:val="center"/>
              <w:rPr>
                <w:szCs w:val="28"/>
              </w:rPr>
            </w:pPr>
            <w:r>
              <w:rPr>
                <w:szCs w:val="28"/>
              </w:rPr>
              <w:t>55</w:t>
            </w:r>
            <w:bookmarkStart w:id="15" w:name="_GoBack"/>
            <w:bookmarkEnd w:id="15"/>
          </w:p>
        </w:tc>
      </w:tr>
      <w:tr>
        <w:trPr/>
        <w:tc>
          <w:tcPr>
            <w:tcW w:w="9747"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ind w:hanging="0"/>
              <w:contextualSpacing/>
              <w:rPr>
                <w:b/>
                <w:szCs w:val="28"/>
              </w:rPr>
            </w:pPr>
            <w:r>
              <w:rPr>
                <w:b/>
                <w:szCs w:val="28"/>
              </w:rPr>
            </w:r>
          </w:p>
        </w:tc>
      </w:tr>
      <w:tr>
        <w:trPr/>
        <w:tc>
          <w:tcPr>
            <w:tcW w:w="9747"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ind w:hanging="0"/>
              <w:contextualSpacing/>
              <w:rPr>
                <w:szCs w:val="28"/>
              </w:rPr>
            </w:pPr>
            <w:r>
              <w:rPr>
                <w:b/>
                <w:szCs w:val="28"/>
              </w:rPr>
              <w:t>Том 2 Материалы по обоснованию генерального плана</w:t>
            </w:r>
          </w:p>
        </w:tc>
      </w:tr>
      <w:tr>
        <w:trPr/>
        <w:tc>
          <w:tcPr>
            <w:tcW w:w="9747"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0"/>
              <w:jc w:val="left"/>
              <w:rPr>
                <w:szCs w:val="28"/>
              </w:rPr>
            </w:pPr>
            <w:r>
              <w:rPr>
                <w:szCs w:val="28"/>
              </w:rPr>
              <w:t xml:space="preserve">              </w:t>
            </w:r>
            <w:r>
              <w:rPr>
                <w:szCs w:val="28"/>
              </w:rPr>
              <w:t>Текстовые материалы</w:t>
            </w:r>
          </w:p>
        </w:tc>
      </w:tr>
      <w:tr>
        <w:trPr/>
        <w:tc>
          <w:tcPr>
            <w:tcW w:w="9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0"/>
              <w:jc w:val="center"/>
              <w:rPr>
                <w:szCs w:val="28"/>
              </w:rPr>
            </w:pPr>
            <w:r>
              <w:rPr>
                <w:szCs w:val="28"/>
              </w:rPr>
              <w:t>1</w:t>
            </w:r>
          </w:p>
        </w:tc>
        <w:tc>
          <w:tcPr>
            <w:tcW w:w="651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0"/>
              <w:jc w:val="left"/>
              <w:rPr>
                <w:szCs w:val="28"/>
              </w:rPr>
            </w:pPr>
            <w:r>
              <w:rPr>
                <w:szCs w:val="28"/>
              </w:rPr>
              <w:t>Пояснительная записка</w:t>
            </w:r>
          </w:p>
        </w:tc>
        <w:tc>
          <w:tcPr>
            <w:tcW w:w="22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0"/>
              <w:jc w:val="center"/>
              <w:rPr>
                <w:szCs w:val="28"/>
              </w:rPr>
            </w:pPr>
            <w:r>
              <w:rPr>
                <w:szCs w:val="28"/>
              </w:rPr>
              <w:t>91</w:t>
            </w:r>
          </w:p>
        </w:tc>
      </w:tr>
      <w:tr>
        <w:trPr/>
        <w:tc>
          <w:tcPr>
            <w:tcW w:w="9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0"/>
              <w:jc w:val="center"/>
              <w:rPr>
                <w:szCs w:val="28"/>
              </w:rPr>
            </w:pPr>
            <w:r>
              <w:rPr>
                <w:szCs w:val="28"/>
              </w:rPr>
              <w:t>2</w:t>
            </w:r>
          </w:p>
        </w:tc>
        <w:tc>
          <w:tcPr>
            <w:tcW w:w="651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0"/>
              <w:jc w:val="left"/>
              <w:rPr>
                <w:szCs w:val="28"/>
              </w:rPr>
            </w:pPr>
            <w:r>
              <w:rPr>
                <w:szCs w:val="28"/>
              </w:rPr>
              <w:t>Охрана окружающей среды. Пояснительная записка</w:t>
            </w:r>
          </w:p>
        </w:tc>
        <w:tc>
          <w:tcPr>
            <w:tcW w:w="22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0"/>
              <w:jc w:val="center"/>
              <w:rPr>
                <w:szCs w:val="28"/>
              </w:rPr>
            </w:pPr>
            <w:r>
              <w:rPr>
                <w:szCs w:val="28"/>
              </w:rPr>
              <w:t>153</w:t>
            </w:r>
          </w:p>
        </w:tc>
      </w:tr>
      <w:tr>
        <w:trPr/>
        <w:tc>
          <w:tcPr>
            <w:tcW w:w="9747"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0"/>
              <w:jc w:val="left"/>
              <w:rPr>
                <w:szCs w:val="28"/>
              </w:rPr>
            </w:pPr>
            <w:r>
              <w:rPr>
                <w:szCs w:val="28"/>
              </w:rPr>
              <w:t xml:space="preserve">              </w:t>
            </w:r>
            <w:r>
              <w:rPr>
                <w:szCs w:val="28"/>
              </w:rPr>
              <w:t>Графические материалы</w:t>
            </w:r>
          </w:p>
        </w:tc>
      </w:tr>
      <w:tr>
        <w:trPr/>
        <w:tc>
          <w:tcPr>
            <w:tcW w:w="9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0"/>
              <w:jc w:val="center"/>
              <w:rPr>
                <w:szCs w:val="28"/>
              </w:rPr>
            </w:pPr>
            <w:r>
              <w:rPr>
                <w:szCs w:val="28"/>
              </w:rPr>
              <w:t>3</w:t>
            </w:r>
          </w:p>
        </w:tc>
        <w:tc>
          <w:tcPr>
            <w:tcW w:w="651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0"/>
              <w:jc w:val="left"/>
              <w:rPr>
                <w:szCs w:val="28"/>
              </w:rPr>
            </w:pPr>
            <w:r>
              <w:rPr>
                <w:szCs w:val="28"/>
              </w:rPr>
              <w:t>Карта современного использования территории М1:10000</w:t>
            </w:r>
          </w:p>
        </w:tc>
        <w:tc>
          <w:tcPr>
            <w:tcW w:w="22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0"/>
              <w:jc w:val="center"/>
              <w:rPr>
                <w:szCs w:val="28"/>
              </w:rPr>
            </w:pPr>
            <w:r>
              <w:rPr>
                <w:szCs w:val="28"/>
              </w:rPr>
              <w:t>1/1</w:t>
            </w:r>
          </w:p>
        </w:tc>
      </w:tr>
      <w:tr>
        <w:trPr/>
        <w:tc>
          <w:tcPr>
            <w:tcW w:w="9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0"/>
              <w:jc w:val="center"/>
              <w:rPr>
                <w:szCs w:val="28"/>
              </w:rPr>
            </w:pPr>
            <w:r>
              <w:rPr>
                <w:szCs w:val="28"/>
              </w:rPr>
              <w:t>4</w:t>
            </w:r>
          </w:p>
        </w:tc>
        <w:tc>
          <w:tcPr>
            <w:tcW w:w="651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0"/>
              <w:jc w:val="left"/>
              <w:rPr>
                <w:szCs w:val="28"/>
              </w:rPr>
            </w:pPr>
            <w:r>
              <w:rPr>
                <w:szCs w:val="28"/>
              </w:rPr>
              <w:t>Карта территорий, подверженных риску возникновения чрезвычайных ситуаций природного и техногенного характера, мероприятий по гражданской обороне М1:10000</w:t>
            </w:r>
          </w:p>
        </w:tc>
        <w:tc>
          <w:tcPr>
            <w:tcW w:w="22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0"/>
              <w:jc w:val="center"/>
              <w:rPr>
                <w:szCs w:val="28"/>
              </w:rPr>
            </w:pPr>
            <w:r>
              <w:rPr>
                <w:szCs w:val="28"/>
              </w:rPr>
              <w:t>2/1</w:t>
            </w:r>
          </w:p>
        </w:tc>
      </w:tr>
      <w:tr>
        <w:trPr/>
        <w:tc>
          <w:tcPr>
            <w:tcW w:w="9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0"/>
              <w:jc w:val="center"/>
              <w:rPr>
                <w:szCs w:val="28"/>
              </w:rPr>
            </w:pPr>
            <w:r>
              <w:rPr>
                <w:szCs w:val="28"/>
              </w:rPr>
              <w:t>5</w:t>
            </w:r>
          </w:p>
        </w:tc>
        <w:tc>
          <w:tcPr>
            <w:tcW w:w="651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0"/>
              <w:jc w:val="left"/>
              <w:rPr>
                <w:szCs w:val="28"/>
              </w:rPr>
            </w:pPr>
            <w:r>
              <w:rPr>
                <w:szCs w:val="28"/>
              </w:rPr>
              <w:t>Карта инженерной инфраструктуры М1:10000</w:t>
            </w:r>
          </w:p>
        </w:tc>
        <w:tc>
          <w:tcPr>
            <w:tcW w:w="22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0"/>
              <w:jc w:val="center"/>
              <w:rPr>
                <w:szCs w:val="28"/>
              </w:rPr>
            </w:pPr>
            <w:r>
              <w:rPr>
                <w:szCs w:val="28"/>
              </w:rPr>
              <w:t>3/1</w:t>
            </w:r>
          </w:p>
        </w:tc>
      </w:tr>
      <w:tr>
        <w:trPr/>
        <w:tc>
          <w:tcPr>
            <w:tcW w:w="9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0"/>
              <w:jc w:val="center"/>
              <w:rPr>
                <w:szCs w:val="28"/>
              </w:rPr>
            </w:pPr>
            <w:r>
              <w:rPr>
                <w:szCs w:val="28"/>
              </w:rPr>
              <w:t>6</w:t>
            </w:r>
          </w:p>
        </w:tc>
        <w:tc>
          <w:tcPr>
            <w:tcW w:w="651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0"/>
              <w:jc w:val="left"/>
              <w:rPr>
                <w:szCs w:val="28"/>
              </w:rPr>
            </w:pPr>
            <w:r>
              <w:rPr>
                <w:szCs w:val="28"/>
              </w:rPr>
              <w:t>Карта зон с особыми условиями использования территории (существующее положение) М1:10000</w:t>
            </w:r>
          </w:p>
        </w:tc>
        <w:tc>
          <w:tcPr>
            <w:tcW w:w="22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0"/>
              <w:jc w:val="center"/>
              <w:rPr>
                <w:szCs w:val="28"/>
              </w:rPr>
            </w:pPr>
            <w:r>
              <w:rPr>
                <w:szCs w:val="28"/>
              </w:rPr>
              <w:t>4/1</w:t>
            </w:r>
          </w:p>
        </w:tc>
      </w:tr>
      <w:tr>
        <w:trPr/>
        <w:tc>
          <w:tcPr>
            <w:tcW w:w="9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0"/>
              <w:jc w:val="center"/>
              <w:rPr>
                <w:szCs w:val="28"/>
              </w:rPr>
            </w:pPr>
            <w:r>
              <w:rPr>
                <w:szCs w:val="28"/>
              </w:rPr>
              <w:t>7</w:t>
            </w:r>
          </w:p>
        </w:tc>
        <w:tc>
          <w:tcPr>
            <w:tcW w:w="651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0"/>
              <w:jc w:val="left"/>
              <w:rPr>
                <w:szCs w:val="28"/>
              </w:rPr>
            </w:pPr>
            <w:r>
              <w:rPr>
                <w:szCs w:val="28"/>
              </w:rPr>
              <w:t>Карта зон с особыми условиями использования территории (проектное предложение) М1:10000</w:t>
            </w:r>
          </w:p>
        </w:tc>
        <w:tc>
          <w:tcPr>
            <w:tcW w:w="22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ind w:hanging="0"/>
              <w:jc w:val="center"/>
              <w:rPr>
                <w:szCs w:val="28"/>
              </w:rPr>
            </w:pPr>
            <w:r>
              <w:rPr>
                <w:szCs w:val="28"/>
              </w:rPr>
              <w:t>5/1</w:t>
            </w:r>
          </w:p>
        </w:tc>
      </w:tr>
    </w:tbl>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bookmarkStart w:id="16" w:name="_Toc82780933"/>
      <w:bookmarkStart w:id="17" w:name="_Toc82780933"/>
    </w:p>
    <w:p>
      <w:pPr>
        <w:pStyle w:val="Style74"/>
        <w:ind w:left="0" w:hanging="0"/>
        <w:rPr>
          <w:caps w:val="false"/>
          <w:smallCaps w:val="false"/>
          <w:sz w:val="24"/>
          <w:szCs w:val="24"/>
        </w:rPr>
      </w:pPr>
      <w:bookmarkStart w:id="18" w:name="_Toc291676238"/>
      <w:bookmarkStart w:id="19" w:name="_Toc366154061"/>
      <w:bookmarkStart w:id="20" w:name="_Toc366497629"/>
      <w:bookmarkStart w:id="21" w:name="_Toc369676777"/>
      <w:bookmarkStart w:id="22" w:name="_Toc501115898"/>
      <w:bookmarkStart w:id="23" w:name="_Toc405467901"/>
      <w:bookmarkStart w:id="24" w:name="_Toc358029342"/>
      <w:bookmarkStart w:id="25" w:name="_Toc366502835"/>
      <w:bookmarkStart w:id="26" w:name="_Toc346122604"/>
      <w:bookmarkStart w:id="27" w:name="_Toc391296026"/>
      <w:bookmarkStart w:id="28" w:name="_Toc496957921"/>
      <w:bookmarkStart w:id="29" w:name="_Toc435603165"/>
      <w:bookmarkStart w:id="30" w:name="_Toc496957860"/>
      <w:bookmarkStart w:id="31" w:name="_Toc39043722"/>
      <w:bookmarkStart w:id="32" w:name="_Toc82780933"/>
      <w:bookmarkStart w:id="33" w:name="_Toc156489373"/>
      <w:bookmarkStart w:id="34" w:name="_Toc124720071"/>
      <w:bookmarkStart w:id="35" w:name="_Toc103341205"/>
      <w:bookmarkStart w:id="36" w:name="_Toc124488480"/>
      <w:bookmarkStart w:id="37" w:name="_Toc144896051"/>
      <w:r>
        <w:rPr>
          <w:szCs w:val="28"/>
        </w:rPr>
        <w:t>СОДЕРЖАНИЕ</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sdt>
      <w:sdtPr>
        <w:docPartObj>
          <w:docPartGallery w:val="Table of Contents"/>
          <w:docPartUnique w:val="true"/>
        </w:docPartObj>
      </w:sdtPr>
      <w:sdtContent>
        <w:p>
          <w:pPr>
            <w:pStyle w:val="17"/>
            <w:rPr>
              <w:rFonts w:ascii="Calibri" w:hAnsi="Calibri"/>
              <w:b w:val="false"/>
              <w:bCs w:val="false"/>
              <w:caps w:val="false"/>
              <w:smallCaps w:val="false"/>
              <w:sz w:val="24"/>
              <w:szCs w:val="24"/>
            </w:rPr>
          </w:pPr>
          <w:r>
            <w:fldChar w:fldCharType="begin"/>
          </w:r>
          <w:r>
            <w:rPr>
              <w:webHidden/>
              <w:rStyle w:val="Style14"/>
              <w:smallCaps w:val="false"/>
              <w:caps w:val="false"/>
              <w:sz w:val="24"/>
              <w:szCs w:val="24"/>
            </w:rPr>
            <w:instrText xml:space="preserve"> TOC \z \o "1-3" \u \h</w:instrText>
          </w:r>
          <w:r>
            <w:rPr>
              <w:webHidden/>
              <w:rStyle w:val="Style14"/>
              <w:smallCaps w:val="false"/>
              <w:caps w:val="false"/>
              <w:sz w:val="24"/>
              <w:szCs w:val="24"/>
            </w:rPr>
            <w:fldChar w:fldCharType="separate"/>
          </w:r>
          <w:hyperlink w:anchor="_Toc156489374">
            <w:r>
              <w:rPr>
                <w:webHidden/>
                <w:rStyle w:val="Style14"/>
                <w:caps w:val="false"/>
                <w:smallCaps w:val="false"/>
                <w:sz w:val="24"/>
                <w:szCs w:val="24"/>
              </w:rPr>
              <w:t>1.</w:t>
            </w:r>
            <w:r>
              <w:rPr>
                <w:rStyle w:val="Style14"/>
                <w:rFonts w:ascii="Calibri" w:hAnsi="Calibri"/>
                <w:b w:val="false"/>
                <w:bCs w:val="false"/>
                <w:caps w:val="false"/>
                <w:smallCaps w:val="false"/>
                <w:sz w:val="24"/>
                <w:szCs w:val="24"/>
              </w:rPr>
              <w:tab/>
            </w:r>
            <w:r>
              <w:rPr>
                <w:rStyle w:val="Style14"/>
                <w:caps w:val="false"/>
                <w:smallCaps w:val="false"/>
                <w:sz w:val="24"/>
                <w:szCs w:val="24"/>
              </w:rPr>
              <w:t>ВВЕДЕНИЕ</w:t>
            </w:r>
            <w:r>
              <w:rPr>
                <w:webHidden/>
              </w:rPr>
              <w:fldChar w:fldCharType="begin"/>
            </w:r>
            <w:r>
              <w:rPr>
                <w:webHidden/>
              </w:rPr>
              <w:instrText xml:space="preserve">PAGEREF _Toc156489374 \h</w:instrText>
            </w:r>
            <w:r>
              <w:rPr>
                <w:webHidden/>
              </w:rPr>
              <w:fldChar w:fldCharType="separate"/>
            </w:r>
            <w:r>
              <w:rPr>
                <w:rStyle w:val="Style14"/>
                <w:caps w:val="false"/>
                <w:smallCaps w:val="false"/>
                <w:vanish w:val="false"/>
                <w:sz w:val="24"/>
                <w:szCs w:val="24"/>
              </w:rPr>
              <w:tab/>
              <w:t>4</w:t>
            </w:r>
            <w:r>
              <w:rPr>
                <w:webHidden/>
              </w:rPr>
              <w:fldChar w:fldCharType="end"/>
            </w:r>
          </w:hyperlink>
        </w:p>
        <w:p>
          <w:pPr>
            <w:pStyle w:val="17"/>
            <w:rPr>
              <w:rFonts w:ascii="Calibri" w:hAnsi="Calibri"/>
              <w:b w:val="false"/>
              <w:bCs w:val="false"/>
              <w:caps w:val="false"/>
              <w:smallCaps w:val="false"/>
              <w:sz w:val="24"/>
              <w:szCs w:val="24"/>
            </w:rPr>
          </w:pPr>
          <w:hyperlink w:anchor="_Toc156489375">
            <w:r>
              <w:rPr>
                <w:webHidden/>
                <w:rStyle w:val="Style14"/>
                <w:caps w:val="false"/>
                <w:smallCaps w:val="false"/>
                <w:sz w:val="24"/>
                <w:szCs w:val="24"/>
              </w:rPr>
              <w:t>2.</w:t>
            </w:r>
            <w:r>
              <w:rPr>
                <w:rStyle w:val="Style14"/>
                <w:rFonts w:ascii="Calibri" w:hAnsi="Calibri"/>
                <w:b w:val="false"/>
                <w:bCs w:val="false"/>
                <w:caps w:val="false"/>
                <w:smallCaps w:val="false"/>
                <w:sz w:val="24"/>
                <w:szCs w:val="24"/>
              </w:rPr>
              <w:tab/>
            </w:r>
            <w:r>
              <w:rPr>
                <w:rStyle w:val="Style14"/>
                <w:caps w:val="false"/>
                <w:smallCaps w:val="false"/>
                <w:sz w:val="24"/>
                <w:szCs w:val="24"/>
              </w:rPr>
              <w:t>ОБЩИЕ СВЕДЕНИЯ О ВАХИТОВСКОМ СЕЛЬСКОМ ПОСЕЛЕНИИ ВЕРХНЕУСЛОНСКОГО МУНИЦИПАЛЬНОГО РАЙОНА</w:t>
            </w:r>
            <w:r>
              <w:rPr>
                <w:webHidden/>
              </w:rPr>
              <w:fldChar w:fldCharType="begin"/>
            </w:r>
            <w:r>
              <w:rPr>
                <w:webHidden/>
              </w:rPr>
              <w:instrText xml:space="preserve">PAGEREF _Toc156489375 \h</w:instrText>
            </w:r>
            <w:r>
              <w:rPr>
                <w:webHidden/>
              </w:rPr>
              <w:fldChar w:fldCharType="separate"/>
            </w:r>
            <w:r>
              <w:rPr>
                <w:rStyle w:val="Style14"/>
                <w:caps w:val="false"/>
                <w:smallCaps w:val="false"/>
                <w:vanish w:val="false"/>
                <w:sz w:val="24"/>
                <w:szCs w:val="24"/>
              </w:rPr>
              <w:tab/>
              <w:t>6</w:t>
            </w:r>
            <w:r>
              <w:rPr>
                <w:webHidden/>
              </w:rPr>
              <w:fldChar w:fldCharType="end"/>
            </w:r>
          </w:hyperlink>
        </w:p>
        <w:p>
          <w:pPr>
            <w:pStyle w:val="17"/>
            <w:rPr>
              <w:rFonts w:ascii="Calibri" w:hAnsi="Calibri"/>
              <w:b w:val="false"/>
              <w:bCs w:val="false"/>
              <w:caps w:val="false"/>
              <w:smallCaps w:val="false"/>
              <w:sz w:val="24"/>
              <w:szCs w:val="24"/>
            </w:rPr>
          </w:pPr>
          <w:hyperlink w:anchor="_Toc156489376">
            <w:r>
              <w:rPr>
                <w:webHidden/>
                <w:rStyle w:val="Style14"/>
                <w:caps w:val="false"/>
                <w:smallCaps w:val="false"/>
                <w:sz w:val="24"/>
                <w:szCs w:val="24"/>
              </w:rPr>
              <w:t>3.</w:t>
            </w:r>
            <w:r>
              <w:rPr>
                <w:rStyle w:val="Style14"/>
                <w:rFonts w:ascii="Calibri" w:hAnsi="Calibri"/>
                <w:b w:val="false"/>
                <w:bCs w:val="false"/>
                <w:caps w:val="false"/>
                <w:smallCaps w:val="false"/>
                <w:sz w:val="24"/>
                <w:szCs w:val="24"/>
              </w:rPr>
              <w:tab/>
            </w:r>
            <w:r>
              <w:rPr>
                <w:rStyle w:val="Style14"/>
                <w:caps w:val="false"/>
                <w:smallCaps w:val="false"/>
                <w:sz w:val="24"/>
                <w:szCs w:val="24"/>
              </w:rPr>
              <w:t>ПЕРЕЧЕНЬ МЕРОПРИЯТИЙ ФЕДЕРАЛЬНОГО, РЕГИОНАЛЬНОГО И МЕСТНОГО ЗНАЧЕНИЙ ПО ГЕНЕРАЛЬНОМУ ПЛАНУ ВАХИТОВСКОГО СЕЛЬСКОГО ПОСЕЛЕНИЯ ВЕРХНЕУСЛОНСКОГО МУНИЦИПАЛЬНОГО РАЙОНА</w:t>
            </w:r>
            <w:r>
              <w:rPr>
                <w:webHidden/>
              </w:rPr>
              <w:fldChar w:fldCharType="begin"/>
            </w:r>
            <w:r>
              <w:rPr>
                <w:webHidden/>
              </w:rPr>
              <w:instrText xml:space="preserve">PAGEREF _Toc156489376 \h</w:instrText>
            </w:r>
            <w:r>
              <w:rPr>
                <w:webHidden/>
              </w:rPr>
              <w:fldChar w:fldCharType="separate"/>
            </w:r>
            <w:r>
              <w:rPr>
                <w:rStyle w:val="Style14"/>
                <w:caps w:val="false"/>
                <w:smallCaps w:val="false"/>
                <w:vanish w:val="false"/>
                <w:sz w:val="24"/>
                <w:szCs w:val="24"/>
              </w:rPr>
              <w:tab/>
              <w:t>7</w:t>
            </w:r>
            <w:r>
              <w:rPr>
                <w:webHidden/>
              </w:rPr>
              <w:fldChar w:fldCharType="end"/>
            </w:r>
          </w:hyperlink>
        </w:p>
        <w:p>
          <w:pPr>
            <w:pStyle w:val="28"/>
            <w:rPr>
              <w:rFonts w:ascii="Calibri" w:hAnsi="Calibri"/>
              <w:caps w:val="false"/>
              <w:smallCaps w:val="false"/>
              <w:sz w:val="24"/>
              <w:szCs w:val="24"/>
            </w:rPr>
          </w:pPr>
          <w:hyperlink w:anchor="_Toc156489377">
            <w:r>
              <w:rPr>
                <w:webHidden/>
                <w:rStyle w:val="Style14"/>
                <w:caps w:val="false"/>
                <w:smallCaps w:val="false"/>
                <w:sz w:val="24"/>
                <w:szCs w:val="24"/>
              </w:rPr>
              <w:t>3.1. Общие организационные мероприятия</w:t>
            </w:r>
            <w:r>
              <w:rPr>
                <w:webHidden/>
              </w:rPr>
              <w:fldChar w:fldCharType="begin"/>
            </w:r>
            <w:r>
              <w:rPr>
                <w:webHidden/>
              </w:rPr>
              <w:instrText xml:space="preserve">PAGEREF _Toc156489377 \h</w:instrText>
            </w:r>
            <w:r>
              <w:rPr>
                <w:webHidden/>
              </w:rPr>
              <w:fldChar w:fldCharType="separate"/>
            </w:r>
            <w:r>
              <w:rPr>
                <w:rStyle w:val="Style14"/>
                <w:caps w:val="false"/>
                <w:smallCaps w:val="false"/>
                <w:vanish w:val="false"/>
                <w:sz w:val="24"/>
                <w:szCs w:val="24"/>
              </w:rPr>
              <w:tab/>
              <w:t>7</w:t>
            </w:r>
            <w:r>
              <w:rPr>
                <w:webHidden/>
              </w:rPr>
              <w:fldChar w:fldCharType="end"/>
            </w:r>
          </w:hyperlink>
        </w:p>
        <w:p>
          <w:pPr>
            <w:pStyle w:val="28"/>
            <w:rPr>
              <w:rFonts w:ascii="Calibri" w:hAnsi="Calibri"/>
              <w:caps w:val="false"/>
              <w:smallCaps w:val="false"/>
              <w:sz w:val="24"/>
              <w:szCs w:val="24"/>
            </w:rPr>
          </w:pPr>
          <w:hyperlink w:anchor="_Toc156489378">
            <w:r>
              <w:rPr>
                <w:webHidden/>
                <w:rStyle w:val="Style14"/>
                <w:caps w:val="false"/>
                <w:smallCaps w:val="false"/>
                <w:sz w:val="24"/>
                <w:szCs w:val="24"/>
              </w:rPr>
              <w:t>3.2. Мероприятия по развитию производственных территорий</w:t>
            </w:r>
            <w:r>
              <w:rPr>
                <w:webHidden/>
              </w:rPr>
              <w:fldChar w:fldCharType="begin"/>
            </w:r>
            <w:r>
              <w:rPr>
                <w:webHidden/>
              </w:rPr>
              <w:instrText xml:space="preserve">PAGEREF _Toc156489378 \h</w:instrText>
            </w:r>
            <w:r>
              <w:rPr>
                <w:webHidden/>
              </w:rPr>
              <w:fldChar w:fldCharType="separate"/>
            </w:r>
            <w:r>
              <w:rPr>
                <w:rStyle w:val="Style14"/>
                <w:caps w:val="false"/>
                <w:smallCaps w:val="false"/>
                <w:vanish w:val="false"/>
                <w:sz w:val="24"/>
                <w:szCs w:val="24"/>
              </w:rPr>
              <w:tab/>
              <w:t>7</w:t>
            </w:r>
            <w:r>
              <w:rPr>
                <w:webHidden/>
              </w:rPr>
              <w:fldChar w:fldCharType="end"/>
            </w:r>
          </w:hyperlink>
        </w:p>
        <w:p>
          <w:pPr>
            <w:pStyle w:val="28"/>
            <w:rPr>
              <w:rFonts w:ascii="Calibri" w:hAnsi="Calibri"/>
              <w:caps w:val="false"/>
              <w:smallCaps w:val="false"/>
              <w:sz w:val="24"/>
              <w:szCs w:val="24"/>
            </w:rPr>
          </w:pPr>
          <w:hyperlink w:anchor="_Toc156489379">
            <w:r>
              <w:rPr>
                <w:webHidden/>
                <w:rStyle w:val="Style14"/>
                <w:caps w:val="false"/>
                <w:smallCaps w:val="false"/>
                <w:sz w:val="24"/>
                <w:szCs w:val="24"/>
              </w:rPr>
              <w:t>3.3. Мероприятия по развитию агропромышленного комплекса</w:t>
            </w:r>
            <w:r>
              <w:rPr>
                <w:webHidden/>
              </w:rPr>
              <w:fldChar w:fldCharType="begin"/>
            </w:r>
            <w:r>
              <w:rPr>
                <w:webHidden/>
              </w:rPr>
              <w:instrText xml:space="preserve">PAGEREF _Toc156489379 \h</w:instrText>
            </w:r>
            <w:r>
              <w:rPr>
                <w:webHidden/>
              </w:rPr>
              <w:fldChar w:fldCharType="separate"/>
            </w:r>
            <w:r>
              <w:rPr>
                <w:rStyle w:val="Style14"/>
                <w:caps w:val="false"/>
                <w:smallCaps w:val="false"/>
                <w:vanish w:val="false"/>
                <w:sz w:val="24"/>
                <w:szCs w:val="24"/>
              </w:rPr>
              <w:tab/>
              <w:t>7</w:t>
            </w:r>
            <w:r>
              <w:rPr>
                <w:webHidden/>
              </w:rPr>
              <w:fldChar w:fldCharType="end"/>
            </w:r>
          </w:hyperlink>
        </w:p>
        <w:p>
          <w:pPr>
            <w:pStyle w:val="28"/>
            <w:rPr>
              <w:rFonts w:ascii="Calibri" w:hAnsi="Calibri"/>
              <w:caps w:val="false"/>
              <w:smallCaps w:val="false"/>
              <w:sz w:val="24"/>
              <w:szCs w:val="24"/>
            </w:rPr>
          </w:pPr>
          <w:hyperlink w:anchor="_Toc156489380">
            <w:r>
              <w:rPr>
                <w:webHidden/>
                <w:rStyle w:val="Style14"/>
                <w:caps w:val="false"/>
                <w:smallCaps w:val="false"/>
                <w:sz w:val="24"/>
                <w:szCs w:val="24"/>
              </w:rPr>
              <w:t>3.4</w:t>
            </w:r>
            <w:r>
              <w:rPr>
                <w:rStyle w:val="Style14"/>
                <w:rFonts w:ascii="Calibri" w:hAnsi="Calibri"/>
                <w:caps w:val="false"/>
                <w:smallCaps w:val="false"/>
                <w:sz w:val="24"/>
                <w:szCs w:val="24"/>
              </w:rPr>
              <w:tab/>
            </w:r>
            <w:r>
              <w:rPr>
                <w:rStyle w:val="Style14"/>
                <w:caps w:val="false"/>
                <w:smallCaps w:val="false"/>
                <w:sz w:val="24"/>
                <w:szCs w:val="24"/>
              </w:rPr>
              <w:t>. Мероприятия по развитию лесного комплекса</w:t>
            </w:r>
            <w:r>
              <w:rPr>
                <w:webHidden/>
              </w:rPr>
              <w:fldChar w:fldCharType="begin"/>
            </w:r>
            <w:r>
              <w:rPr>
                <w:webHidden/>
              </w:rPr>
              <w:instrText xml:space="preserve">PAGEREF _Toc156489380 \h</w:instrText>
            </w:r>
            <w:r>
              <w:rPr>
                <w:webHidden/>
              </w:rPr>
              <w:fldChar w:fldCharType="separate"/>
            </w:r>
            <w:r>
              <w:rPr>
                <w:rStyle w:val="Style14"/>
                <w:caps w:val="false"/>
                <w:smallCaps w:val="false"/>
                <w:vanish w:val="false"/>
                <w:sz w:val="24"/>
                <w:szCs w:val="24"/>
              </w:rPr>
              <w:tab/>
              <w:t>9</w:t>
            </w:r>
            <w:r>
              <w:rPr>
                <w:webHidden/>
              </w:rPr>
              <w:fldChar w:fldCharType="end"/>
            </w:r>
          </w:hyperlink>
        </w:p>
        <w:p>
          <w:pPr>
            <w:pStyle w:val="28"/>
            <w:rPr>
              <w:rFonts w:ascii="Calibri" w:hAnsi="Calibri"/>
              <w:caps w:val="false"/>
              <w:smallCaps w:val="false"/>
              <w:sz w:val="24"/>
              <w:szCs w:val="24"/>
            </w:rPr>
          </w:pPr>
          <w:hyperlink w:anchor="_Toc156489381">
            <w:r>
              <w:rPr>
                <w:webHidden/>
                <w:rStyle w:val="Style14"/>
                <w:caps w:val="false"/>
                <w:smallCaps w:val="false"/>
                <w:sz w:val="24"/>
                <w:szCs w:val="24"/>
              </w:rPr>
              <w:t>3.5</w:t>
            </w:r>
            <w:r>
              <w:rPr>
                <w:rStyle w:val="Style14"/>
                <w:rFonts w:ascii="Calibri" w:hAnsi="Calibri"/>
                <w:caps w:val="false"/>
                <w:smallCaps w:val="false"/>
                <w:sz w:val="24"/>
                <w:szCs w:val="24"/>
              </w:rPr>
              <w:tab/>
            </w:r>
            <w:r>
              <w:rPr>
                <w:rStyle w:val="Style14"/>
                <w:caps w:val="false"/>
                <w:smallCaps w:val="false"/>
                <w:sz w:val="24"/>
                <w:szCs w:val="24"/>
              </w:rPr>
              <w:t>. Мероприятия по развитию жилищной инфраструктуры</w:t>
            </w:r>
            <w:r>
              <w:rPr>
                <w:webHidden/>
              </w:rPr>
              <w:fldChar w:fldCharType="begin"/>
            </w:r>
            <w:r>
              <w:rPr>
                <w:webHidden/>
              </w:rPr>
              <w:instrText xml:space="preserve">PAGEREF _Toc156489381 \h</w:instrText>
            </w:r>
            <w:r>
              <w:rPr>
                <w:webHidden/>
              </w:rPr>
              <w:fldChar w:fldCharType="separate"/>
            </w:r>
            <w:r>
              <w:rPr>
                <w:rStyle w:val="Style14"/>
                <w:caps w:val="false"/>
                <w:smallCaps w:val="false"/>
                <w:vanish w:val="false"/>
                <w:sz w:val="24"/>
                <w:szCs w:val="24"/>
              </w:rPr>
              <w:tab/>
              <w:t>9</w:t>
            </w:r>
            <w:r>
              <w:rPr>
                <w:webHidden/>
              </w:rPr>
              <w:fldChar w:fldCharType="end"/>
            </w:r>
          </w:hyperlink>
        </w:p>
        <w:p>
          <w:pPr>
            <w:pStyle w:val="28"/>
            <w:rPr>
              <w:rFonts w:ascii="Calibri" w:hAnsi="Calibri"/>
              <w:caps w:val="false"/>
              <w:smallCaps w:val="false"/>
              <w:sz w:val="24"/>
              <w:szCs w:val="24"/>
            </w:rPr>
          </w:pPr>
          <w:hyperlink w:anchor="_Toc156489382">
            <w:r>
              <w:rPr>
                <w:webHidden/>
                <w:rStyle w:val="Style14"/>
                <w:caps w:val="false"/>
                <w:smallCaps w:val="false"/>
                <w:sz w:val="24"/>
                <w:szCs w:val="24"/>
              </w:rPr>
              <w:t>3.6</w:t>
            </w:r>
            <w:r>
              <w:rPr>
                <w:rStyle w:val="Style14"/>
                <w:rFonts w:ascii="Calibri" w:hAnsi="Calibri"/>
                <w:caps w:val="false"/>
                <w:smallCaps w:val="false"/>
                <w:sz w:val="24"/>
                <w:szCs w:val="24"/>
              </w:rPr>
              <w:tab/>
            </w:r>
            <w:r>
              <w:rPr>
                <w:rStyle w:val="Style14"/>
                <w:caps w:val="false"/>
                <w:smallCaps w:val="false"/>
                <w:sz w:val="24"/>
                <w:szCs w:val="24"/>
              </w:rPr>
              <w:t>. Мероприятия по развитию системы обслуживания населения</w:t>
            </w:r>
            <w:r>
              <w:rPr>
                <w:webHidden/>
              </w:rPr>
              <w:fldChar w:fldCharType="begin"/>
            </w:r>
            <w:r>
              <w:rPr>
                <w:webHidden/>
              </w:rPr>
              <w:instrText xml:space="preserve">PAGEREF _Toc156489382 \h</w:instrText>
            </w:r>
            <w:r>
              <w:rPr>
                <w:webHidden/>
              </w:rPr>
              <w:fldChar w:fldCharType="separate"/>
            </w:r>
            <w:r>
              <w:rPr>
                <w:rStyle w:val="Style14"/>
                <w:caps w:val="false"/>
                <w:smallCaps w:val="false"/>
                <w:vanish w:val="false"/>
                <w:sz w:val="24"/>
                <w:szCs w:val="24"/>
              </w:rPr>
              <w:tab/>
              <w:t>12</w:t>
            </w:r>
            <w:r>
              <w:rPr>
                <w:webHidden/>
              </w:rPr>
              <w:fldChar w:fldCharType="end"/>
            </w:r>
          </w:hyperlink>
        </w:p>
        <w:p>
          <w:pPr>
            <w:pStyle w:val="28"/>
            <w:rPr>
              <w:rFonts w:ascii="Calibri" w:hAnsi="Calibri"/>
              <w:caps w:val="false"/>
              <w:smallCaps w:val="false"/>
              <w:sz w:val="24"/>
              <w:szCs w:val="24"/>
            </w:rPr>
          </w:pPr>
          <w:hyperlink w:anchor="_Toc156489383">
            <w:r>
              <w:rPr>
                <w:webHidden/>
                <w:rStyle w:val="Style14"/>
                <w:caps w:val="false"/>
                <w:smallCaps w:val="false"/>
                <w:sz w:val="24"/>
                <w:szCs w:val="24"/>
              </w:rPr>
              <w:t>3.7</w:t>
            </w:r>
            <w:r>
              <w:rPr>
                <w:rStyle w:val="Style14"/>
                <w:rFonts w:ascii="Calibri" w:hAnsi="Calibri"/>
                <w:caps w:val="false"/>
                <w:smallCaps w:val="false"/>
                <w:sz w:val="24"/>
                <w:szCs w:val="24"/>
              </w:rPr>
              <w:tab/>
            </w:r>
            <w:r>
              <w:rPr>
                <w:rStyle w:val="Style14"/>
                <w:caps w:val="false"/>
                <w:smallCaps w:val="false"/>
                <w:sz w:val="24"/>
                <w:szCs w:val="24"/>
              </w:rPr>
              <w:t>. Мероприятия по развитию территорий кладбищ</w:t>
            </w:r>
            <w:r>
              <w:rPr>
                <w:webHidden/>
              </w:rPr>
              <w:fldChar w:fldCharType="begin"/>
            </w:r>
            <w:r>
              <w:rPr>
                <w:webHidden/>
              </w:rPr>
              <w:instrText xml:space="preserve">PAGEREF _Toc156489383 \h</w:instrText>
            </w:r>
            <w:r>
              <w:rPr>
                <w:webHidden/>
              </w:rPr>
              <w:fldChar w:fldCharType="separate"/>
            </w:r>
            <w:r>
              <w:rPr>
                <w:rStyle w:val="Style14"/>
                <w:caps w:val="false"/>
                <w:smallCaps w:val="false"/>
                <w:vanish w:val="false"/>
                <w:sz w:val="24"/>
                <w:szCs w:val="24"/>
              </w:rPr>
              <w:tab/>
              <w:t>15</w:t>
            </w:r>
            <w:r>
              <w:rPr>
                <w:webHidden/>
              </w:rPr>
              <w:fldChar w:fldCharType="end"/>
            </w:r>
          </w:hyperlink>
        </w:p>
        <w:p>
          <w:pPr>
            <w:pStyle w:val="28"/>
            <w:rPr>
              <w:rFonts w:ascii="Calibri" w:hAnsi="Calibri"/>
              <w:caps w:val="false"/>
              <w:smallCaps w:val="false"/>
              <w:sz w:val="24"/>
              <w:szCs w:val="24"/>
            </w:rPr>
          </w:pPr>
          <w:hyperlink w:anchor="_Toc156489384">
            <w:r>
              <w:rPr>
                <w:webHidden/>
                <w:rStyle w:val="Style14"/>
                <w:caps w:val="false"/>
                <w:smallCaps w:val="false"/>
                <w:sz w:val="24"/>
                <w:szCs w:val="24"/>
              </w:rPr>
              <w:t>3.8</w:t>
            </w:r>
            <w:r>
              <w:rPr>
                <w:rStyle w:val="Style14"/>
                <w:rFonts w:ascii="Calibri" w:hAnsi="Calibri"/>
                <w:caps w:val="false"/>
                <w:smallCaps w:val="false"/>
                <w:sz w:val="24"/>
                <w:szCs w:val="24"/>
              </w:rPr>
              <w:tab/>
            </w:r>
            <w:r>
              <w:rPr>
                <w:rStyle w:val="Style14"/>
                <w:caps w:val="false"/>
                <w:smallCaps w:val="false"/>
                <w:sz w:val="24"/>
                <w:szCs w:val="24"/>
              </w:rPr>
              <w:t>. Мероприятия по развитию туристско-рекреационных территорий</w:t>
            </w:r>
            <w:r>
              <w:rPr>
                <w:webHidden/>
              </w:rPr>
              <w:fldChar w:fldCharType="begin"/>
            </w:r>
            <w:r>
              <w:rPr>
                <w:webHidden/>
              </w:rPr>
              <w:instrText xml:space="preserve">PAGEREF _Toc156489384 \h</w:instrText>
            </w:r>
            <w:r>
              <w:rPr>
                <w:webHidden/>
              </w:rPr>
              <w:fldChar w:fldCharType="separate"/>
            </w:r>
            <w:r>
              <w:rPr>
                <w:rStyle w:val="Style14"/>
                <w:caps w:val="false"/>
                <w:smallCaps w:val="false"/>
                <w:vanish w:val="false"/>
                <w:sz w:val="24"/>
                <w:szCs w:val="24"/>
              </w:rPr>
              <w:tab/>
              <w:t>16</w:t>
            </w:r>
            <w:r>
              <w:rPr>
                <w:webHidden/>
              </w:rPr>
              <w:fldChar w:fldCharType="end"/>
            </w:r>
          </w:hyperlink>
        </w:p>
        <w:p>
          <w:pPr>
            <w:pStyle w:val="28"/>
            <w:rPr>
              <w:rFonts w:ascii="Calibri" w:hAnsi="Calibri"/>
              <w:caps w:val="false"/>
              <w:smallCaps w:val="false"/>
              <w:sz w:val="24"/>
              <w:szCs w:val="24"/>
            </w:rPr>
          </w:pPr>
          <w:hyperlink w:anchor="_Toc156489385">
            <w:r>
              <w:rPr>
                <w:webHidden/>
                <w:rStyle w:val="Style14"/>
                <w:caps w:val="false"/>
                <w:smallCaps w:val="false"/>
                <w:sz w:val="24"/>
                <w:szCs w:val="24"/>
              </w:rPr>
              <w:t>3.9</w:t>
            </w:r>
            <w:r>
              <w:rPr>
                <w:rStyle w:val="Style14"/>
                <w:rFonts w:ascii="Calibri" w:hAnsi="Calibri"/>
                <w:caps w:val="false"/>
                <w:smallCaps w:val="false"/>
                <w:sz w:val="24"/>
                <w:szCs w:val="24"/>
              </w:rPr>
              <w:tab/>
            </w:r>
            <w:r>
              <w:rPr>
                <w:rStyle w:val="Style14"/>
                <w:caps w:val="false"/>
                <w:smallCaps w:val="false"/>
                <w:sz w:val="24"/>
                <w:szCs w:val="24"/>
              </w:rPr>
              <w:t>. Мероприятия по развитию транспортно-коммуникационной инфраструктуры</w:t>
            </w:r>
            <w:r>
              <w:rPr>
                <w:webHidden/>
              </w:rPr>
              <w:fldChar w:fldCharType="begin"/>
            </w:r>
            <w:r>
              <w:rPr>
                <w:webHidden/>
              </w:rPr>
              <w:instrText xml:space="preserve">PAGEREF _Toc156489385 \h</w:instrText>
            </w:r>
            <w:r>
              <w:rPr>
                <w:webHidden/>
              </w:rPr>
              <w:fldChar w:fldCharType="separate"/>
            </w:r>
            <w:r>
              <w:rPr>
                <w:rStyle w:val="Style14"/>
                <w:caps w:val="false"/>
                <w:smallCaps w:val="false"/>
                <w:vanish w:val="false"/>
                <w:sz w:val="24"/>
                <w:szCs w:val="24"/>
              </w:rPr>
              <w:tab/>
              <w:t>19</w:t>
            </w:r>
            <w:r>
              <w:rPr>
                <w:webHidden/>
              </w:rPr>
              <w:fldChar w:fldCharType="end"/>
            </w:r>
          </w:hyperlink>
        </w:p>
        <w:p>
          <w:pPr>
            <w:pStyle w:val="28"/>
            <w:rPr>
              <w:rFonts w:ascii="Calibri" w:hAnsi="Calibri"/>
              <w:caps w:val="false"/>
              <w:smallCaps w:val="false"/>
              <w:sz w:val="24"/>
              <w:szCs w:val="24"/>
            </w:rPr>
          </w:pPr>
          <w:hyperlink w:anchor="_Toc156489386">
            <w:r>
              <w:rPr>
                <w:webHidden/>
                <w:rStyle w:val="Style14"/>
                <w:caps w:val="false"/>
                <w:smallCaps w:val="false"/>
                <w:sz w:val="24"/>
                <w:szCs w:val="24"/>
              </w:rPr>
              <w:t>3.10. Мероприятия по установлению границ населенных пунктов</w:t>
            </w:r>
            <w:r>
              <w:rPr>
                <w:webHidden/>
              </w:rPr>
              <w:fldChar w:fldCharType="begin"/>
            </w:r>
            <w:r>
              <w:rPr>
                <w:webHidden/>
              </w:rPr>
              <w:instrText xml:space="preserve">PAGEREF _Toc156489386 \h</w:instrText>
            </w:r>
            <w:r>
              <w:rPr>
                <w:webHidden/>
              </w:rPr>
              <w:fldChar w:fldCharType="separate"/>
            </w:r>
            <w:r>
              <w:rPr>
                <w:rStyle w:val="Style14"/>
                <w:caps w:val="false"/>
                <w:smallCaps w:val="false"/>
                <w:vanish w:val="false"/>
                <w:sz w:val="24"/>
                <w:szCs w:val="24"/>
              </w:rPr>
              <w:tab/>
              <w:t>22</w:t>
            </w:r>
            <w:r>
              <w:rPr>
                <w:webHidden/>
              </w:rPr>
              <w:fldChar w:fldCharType="end"/>
            </w:r>
          </w:hyperlink>
        </w:p>
        <w:p>
          <w:pPr>
            <w:pStyle w:val="28"/>
            <w:rPr>
              <w:rFonts w:ascii="Calibri" w:hAnsi="Calibri"/>
              <w:caps w:val="false"/>
              <w:smallCaps w:val="false"/>
              <w:sz w:val="24"/>
              <w:szCs w:val="24"/>
            </w:rPr>
          </w:pPr>
          <w:hyperlink w:anchor="_Toc156489387">
            <w:r>
              <w:rPr>
                <w:webHidden/>
                <w:rStyle w:val="Style14"/>
                <w:caps w:val="false"/>
                <w:smallCaps w:val="false"/>
                <w:sz w:val="24"/>
                <w:szCs w:val="24"/>
              </w:rPr>
              <w:t>3.11. Мероприятия по охране окружающей среды</w:t>
            </w:r>
            <w:r>
              <w:rPr>
                <w:webHidden/>
              </w:rPr>
              <w:fldChar w:fldCharType="begin"/>
            </w:r>
            <w:r>
              <w:rPr>
                <w:webHidden/>
              </w:rPr>
              <w:instrText xml:space="preserve">PAGEREF _Toc156489387 \h</w:instrText>
            </w:r>
            <w:r>
              <w:rPr>
                <w:webHidden/>
              </w:rPr>
              <w:fldChar w:fldCharType="separate"/>
            </w:r>
            <w:r>
              <w:rPr>
                <w:rStyle w:val="Style14"/>
                <w:caps w:val="false"/>
                <w:smallCaps w:val="false"/>
                <w:vanish w:val="false"/>
                <w:sz w:val="24"/>
                <w:szCs w:val="24"/>
              </w:rPr>
              <w:tab/>
              <w:t>25</w:t>
            </w:r>
            <w:r>
              <w:rPr>
                <w:webHidden/>
              </w:rPr>
              <w:fldChar w:fldCharType="end"/>
            </w:r>
          </w:hyperlink>
        </w:p>
        <w:p>
          <w:pPr>
            <w:pStyle w:val="28"/>
            <w:rPr>
              <w:rFonts w:ascii="Calibri" w:hAnsi="Calibri"/>
              <w:caps w:val="false"/>
              <w:smallCaps w:val="false"/>
              <w:sz w:val="24"/>
              <w:szCs w:val="24"/>
            </w:rPr>
          </w:pPr>
          <w:hyperlink w:anchor="_Toc156489388">
            <w:r>
              <w:rPr>
                <w:webHidden/>
                <w:rStyle w:val="Style14"/>
                <w:caps w:val="false"/>
                <w:smallCaps w:val="false"/>
                <w:sz w:val="24"/>
                <w:szCs w:val="24"/>
              </w:rPr>
              <w:t>3.12. Мероприятия по развитию инженерной инфраструктуры</w:t>
            </w:r>
            <w:r>
              <w:rPr>
                <w:webHidden/>
              </w:rPr>
              <w:fldChar w:fldCharType="begin"/>
            </w:r>
            <w:r>
              <w:rPr>
                <w:webHidden/>
              </w:rPr>
              <w:instrText xml:space="preserve">PAGEREF _Toc156489388 \h</w:instrText>
            </w:r>
            <w:r>
              <w:rPr>
                <w:webHidden/>
              </w:rPr>
              <w:fldChar w:fldCharType="separate"/>
            </w:r>
            <w:r>
              <w:rPr>
                <w:rStyle w:val="Style14"/>
                <w:caps w:val="false"/>
                <w:smallCaps w:val="false"/>
                <w:vanish w:val="false"/>
                <w:sz w:val="24"/>
                <w:szCs w:val="24"/>
              </w:rPr>
              <w:tab/>
              <w:t>34</w:t>
            </w:r>
            <w:r>
              <w:rPr>
                <w:webHidden/>
              </w:rPr>
              <w:fldChar w:fldCharType="end"/>
            </w:r>
          </w:hyperlink>
        </w:p>
        <w:p>
          <w:pPr>
            <w:pStyle w:val="28"/>
            <w:rPr>
              <w:rFonts w:ascii="Calibri" w:hAnsi="Calibri"/>
              <w:caps w:val="false"/>
              <w:smallCaps w:val="false"/>
              <w:sz w:val="24"/>
              <w:szCs w:val="24"/>
            </w:rPr>
          </w:pPr>
          <w:hyperlink w:anchor="_Toc156489389">
            <w:r>
              <w:rPr>
                <w:webHidden/>
                <w:rStyle w:val="Style14"/>
                <w:caps w:val="false"/>
                <w:smallCaps w:val="false"/>
                <w:sz w:val="24"/>
                <w:szCs w:val="24"/>
              </w:rPr>
              <w:t>3.13. Мероприятия по развитию инженерной подготовки территории</w:t>
            </w:r>
            <w:r>
              <w:rPr>
                <w:webHidden/>
              </w:rPr>
              <w:fldChar w:fldCharType="begin"/>
            </w:r>
            <w:r>
              <w:rPr>
                <w:webHidden/>
              </w:rPr>
              <w:instrText xml:space="preserve">PAGEREF _Toc156489389 \h</w:instrText>
            </w:r>
            <w:r>
              <w:rPr>
                <w:webHidden/>
              </w:rPr>
              <w:fldChar w:fldCharType="separate"/>
            </w:r>
            <w:r>
              <w:rPr>
                <w:rStyle w:val="Style14"/>
                <w:caps w:val="false"/>
                <w:smallCaps w:val="false"/>
                <w:vanish w:val="false"/>
                <w:sz w:val="24"/>
                <w:szCs w:val="24"/>
              </w:rPr>
              <w:tab/>
              <w:t>37</w:t>
            </w:r>
            <w:r>
              <w:rPr>
                <w:webHidden/>
              </w:rPr>
              <w:fldChar w:fldCharType="end"/>
            </w:r>
          </w:hyperlink>
        </w:p>
        <w:p>
          <w:pPr>
            <w:pStyle w:val="28"/>
            <w:rPr>
              <w:rFonts w:ascii="Calibri" w:hAnsi="Calibri"/>
              <w:caps w:val="false"/>
              <w:smallCaps w:val="false"/>
              <w:sz w:val="24"/>
              <w:szCs w:val="24"/>
            </w:rPr>
          </w:pPr>
          <w:hyperlink w:anchor="_Toc156489390">
            <w:r>
              <w:rPr>
                <w:webHidden/>
                <w:rStyle w:val="Style14"/>
                <w:caps w:val="false"/>
                <w:smallCaps w:val="false"/>
                <w:sz w:val="24"/>
                <w:szCs w:val="24"/>
              </w:rPr>
              <w:t>3.14. Мероприятия по гражданской обороне, предупреждению чрезвычайных ситуаций природного и техногенного характера</w:t>
            </w:r>
            <w:r>
              <w:rPr>
                <w:webHidden/>
              </w:rPr>
              <w:fldChar w:fldCharType="begin"/>
            </w:r>
            <w:r>
              <w:rPr>
                <w:webHidden/>
              </w:rPr>
              <w:instrText xml:space="preserve">PAGEREF _Toc156489390 \h</w:instrText>
            </w:r>
            <w:r>
              <w:rPr>
                <w:webHidden/>
              </w:rPr>
              <w:fldChar w:fldCharType="separate"/>
            </w:r>
            <w:r>
              <w:rPr>
                <w:rStyle w:val="Style14"/>
                <w:caps w:val="false"/>
                <w:smallCaps w:val="false"/>
                <w:vanish w:val="false"/>
                <w:sz w:val="24"/>
                <w:szCs w:val="24"/>
              </w:rPr>
              <w:tab/>
              <w:t>37</w:t>
            </w:r>
            <w:r>
              <w:rPr>
                <w:webHidden/>
              </w:rPr>
              <w:fldChar w:fldCharType="end"/>
            </w:r>
          </w:hyperlink>
        </w:p>
        <w:p>
          <w:pPr>
            <w:pStyle w:val="17"/>
            <w:rPr>
              <w:rFonts w:ascii="Calibri" w:hAnsi="Calibri"/>
              <w:b w:val="false"/>
              <w:bCs w:val="false"/>
              <w:caps w:val="false"/>
              <w:smallCaps w:val="false"/>
              <w:sz w:val="24"/>
              <w:szCs w:val="24"/>
            </w:rPr>
          </w:pPr>
          <w:hyperlink w:anchor="_Toc156489391">
            <w:r>
              <w:rPr>
                <w:webHidden/>
                <w:rStyle w:val="Style14"/>
                <w:caps w:val="false"/>
                <w:smallCaps w:val="false"/>
                <w:sz w:val="24"/>
                <w:szCs w:val="24"/>
              </w:rPr>
              <w:t>4. ПАРАМЕТРЫ ФУНКЦИОНАЛЬНЫХ ЗОН</w:t>
            </w:r>
            <w:r>
              <w:rPr>
                <w:webHidden/>
              </w:rPr>
              <w:fldChar w:fldCharType="begin"/>
            </w:r>
            <w:r>
              <w:rPr>
                <w:webHidden/>
              </w:rPr>
              <w:instrText xml:space="preserve">PAGEREF _Toc156489391 \h</w:instrText>
            </w:r>
            <w:r>
              <w:rPr>
                <w:webHidden/>
              </w:rPr>
              <w:fldChar w:fldCharType="separate"/>
            </w:r>
            <w:r>
              <w:rPr>
                <w:rStyle w:val="Style14"/>
                <w:caps w:val="false"/>
                <w:smallCaps w:val="false"/>
                <w:vanish w:val="false"/>
                <w:sz w:val="24"/>
                <w:szCs w:val="24"/>
              </w:rPr>
              <w:tab/>
              <w:t>39</w:t>
            </w:r>
            <w:r>
              <w:rPr>
                <w:webHidden/>
              </w:rPr>
              <w:fldChar w:fldCharType="end"/>
            </w:r>
          </w:hyperlink>
          <w:r>
            <w:rPr>
              <w:rStyle w:val="Style14"/>
              <w:smallCaps w:val="false"/>
              <w:caps w:val="false"/>
              <w:sz w:val="24"/>
              <w:szCs w:val="24"/>
              <w:vanish w:val="false"/>
            </w:rPr>
            <w:fldChar w:fldCharType="end"/>
          </w:r>
        </w:p>
      </w:sdtContent>
    </w:sdt>
    <w:p>
      <w:pPr>
        <w:pStyle w:val="Normal"/>
        <w:ind w:hanging="0"/>
        <w:jc w:val="center"/>
        <w:rPr>
          <w:sz w:val="24"/>
        </w:rPr>
      </w:pPr>
      <w:r>
        <w:rPr>
          <w:sz w:val="24"/>
        </w:rPr>
      </w:r>
    </w:p>
    <w:p>
      <w:pPr>
        <w:pStyle w:val="Normal"/>
        <w:ind w:hanging="0"/>
        <w:jc w:val="center"/>
        <w:rPr>
          <w:sz w:val="24"/>
        </w:rPr>
      </w:pPr>
      <w:r>
        <w:rPr>
          <w:sz w:val="24"/>
        </w:rPr>
      </w:r>
    </w:p>
    <w:p>
      <w:pPr>
        <w:pStyle w:val="Normal"/>
        <w:ind w:hanging="0"/>
        <w:rPr>
          <w:sz w:val="27"/>
          <w:szCs w:val="27"/>
        </w:rPr>
      </w:pPr>
      <w:r>
        <w:rPr>
          <w:sz w:val="27"/>
          <w:szCs w:val="27"/>
        </w:rPr>
      </w:r>
    </w:p>
    <w:p>
      <w:pPr>
        <w:pStyle w:val="1"/>
        <w:numPr>
          <w:ilvl w:val="0"/>
          <w:numId w:val="1"/>
        </w:numPr>
        <w:tabs>
          <w:tab w:val="clear" w:pos="709"/>
          <w:tab w:val="left" w:pos="-900" w:leader="none"/>
        </w:tabs>
        <w:ind w:left="0" w:firstLine="709"/>
        <w:rPr>
          <w:bCs w:val="false"/>
          <w:kern w:val="0"/>
          <w:szCs w:val="20"/>
        </w:rPr>
      </w:pPr>
      <w:bookmarkStart w:id="38" w:name="_Toc156489374"/>
      <w:r>
        <w:rPr>
          <w:bCs w:val="false"/>
          <w:kern w:val="0"/>
          <w:szCs w:val="20"/>
        </w:rPr>
        <w:t>ВВЕДЕНИЕ</w:t>
      </w:r>
      <w:bookmarkEnd w:id="38"/>
    </w:p>
    <w:p>
      <w:pPr>
        <w:pStyle w:val="Normal"/>
        <w:ind w:firstLine="700"/>
        <w:jc w:val="both"/>
        <w:rPr/>
      </w:pPr>
      <w:bookmarkStart w:id="39" w:name="_Hlk151559082"/>
      <w:r>
        <w:rPr>
          <w:szCs w:val="28"/>
        </w:rPr>
        <w:t xml:space="preserve">Проект внесения изменений в генеральный план Вахитовского сельского поселения Верхнеуслонского муниципального района Республики Татарстан разработан </w:t>
      </w:r>
      <w:r>
        <w:rPr/>
        <w:t>ГБУ «Фонд пространственных данных РТ»</w:t>
      </w:r>
      <w:r>
        <w:rPr>
          <w:szCs w:val="28"/>
        </w:rPr>
        <w:t xml:space="preserve"> на основании постановления исполнительного комитета Верхнеуслонского муниципального района Республики Татарстан от 05.07.2023 № 842, а также задания на проектирование.</w:t>
      </w:r>
    </w:p>
    <w:p>
      <w:pPr>
        <w:pStyle w:val="112"/>
        <w:spacing w:lineRule="auto" w:line="240"/>
        <w:jc w:val="both"/>
        <w:rPr/>
      </w:pPr>
      <w:r>
        <w:rPr>
          <w:color w:val="auto"/>
          <w:szCs w:val="28"/>
        </w:rPr>
        <w:t xml:space="preserve">Изменения вносятся в генеральный план Вахитовского сельского поселения </w:t>
      </w:r>
      <w:r>
        <w:rPr>
          <w:szCs w:val="28"/>
        </w:rPr>
        <w:t>Верхнеуслонского</w:t>
      </w:r>
      <w:r>
        <w:rPr>
          <w:color w:val="auto"/>
          <w:szCs w:val="28"/>
        </w:rPr>
        <w:t xml:space="preserve"> муниципального района Республики Татарстан, утвержденного Решением Совета </w:t>
      </w:r>
      <w:r>
        <w:rPr>
          <w:szCs w:val="28"/>
        </w:rPr>
        <w:t>Верхнеуслонского</w:t>
      </w:r>
      <w:r>
        <w:rPr>
          <w:color w:val="auto"/>
          <w:szCs w:val="28"/>
        </w:rPr>
        <w:t xml:space="preserve"> муниципального района Республики Татарстан от </w:t>
      </w:r>
      <w:r>
        <w:rPr>
          <w:szCs w:val="28"/>
        </w:rPr>
        <w:t>30.05.2022 №23-304</w:t>
      </w:r>
      <w:r>
        <w:rPr>
          <w:color w:val="auto"/>
          <w:szCs w:val="28"/>
        </w:rPr>
        <w:t>.</w:t>
      </w:r>
    </w:p>
    <w:p>
      <w:pPr>
        <w:pStyle w:val="Normal"/>
        <w:ind w:firstLine="700"/>
        <w:jc w:val="both"/>
        <w:rPr/>
      </w:pPr>
      <w:r>
        <w:rPr>
          <w:szCs w:val="28"/>
        </w:rPr>
        <w:t>Заказчиком на разработку проекта внесения изменений в генеральный план является исполнительный комитет Верхнеуслонского муниципального района Республики Татарстан.</w:t>
      </w:r>
    </w:p>
    <w:p>
      <w:pPr>
        <w:pStyle w:val="112"/>
        <w:spacing w:lineRule="auto" w:line="240"/>
        <w:jc w:val="both"/>
        <w:rPr/>
      </w:pPr>
      <w:r>
        <w:rPr>
          <w:color w:val="auto"/>
          <w:szCs w:val="28"/>
        </w:rPr>
        <w:t>Целью работы является разработка проекта внесения изменений в генеральный план Вахитовского сельского поселения Верхнеуслонского муниципального района Республики Татарстан:</w:t>
      </w:r>
    </w:p>
    <w:p>
      <w:pPr>
        <w:pStyle w:val="112"/>
        <w:spacing w:lineRule="auto" w:line="240"/>
        <w:jc w:val="both"/>
        <w:rPr/>
      </w:pPr>
      <w:bookmarkStart w:id="40" w:name="_Hlk151973203"/>
      <w:r>
        <w:rPr>
          <w:szCs w:val="28"/>
        </w:rPr>
        <w:t>- в части изменения границы населенного пункта село Ташевка, включение в границы населенного пункта земельных участков с кадастровыми номерами 16:15:030601:774 и 16:15:030601:776 на основании письма Руководителя Исполнительного комитета Верхнеуслонского муниципального района Республики Татарстан 22.11.2023 №ИСХ-7447;</w:t>
      </w:r>
    </w:p>
    <w:p>
      <w:pPr>
        <w:pStyle w:val="112"/>
        <w:spacing w:lineRule="auto" w:line="240"/>
        <w:jc w:val="both"/>
        <w:rPr/>
      </w:pPr>
      <w:r>
        <w:rPr>
          <w:szCs w:val="28"/>
        </w:rPr>
        <w:t>- в части изменения категории земельных участков с кадастровыми номерами 16:15:030601:783 и 16:15:000000:2464 из категории земель «земли сельскохозяйственного назначения» в категорию земель «</w:t>
      </w:r>
      <w:r>
        <w:rPr/>
        <w:t>земли особо охраняемых территорий и объектов»</w:t>
      </w:r>
      <w:r>
        <w:rPr>
          <w:szCs w:val="28"/>
        </w:rPr>
        <w:t xml:space="preserve"> на основании письма Руководителя Исполнительного комитета Верхнеуслонского муниципального района Республики Татарстан от 22.11.2023 №ИСХ-7447;</w:t>
      </w:r>
      <w:bookmarkEnd w:id="40"/>
    </w:p>
    <w:p>
      <w:pPr>
        <w:pStyle w:val="112"/>
        <w:spacing w:lineRule="auto" w:line="240"/>
        <w:jc w:val="both"/>
        <w:rPr/>
      </w:pPr>
      <w:r>
        <w:rPr>
          <w:szCs w:val="28"/>
        </w:rPr>
        <w:t>- в части отнесения земельного участка с кадастровым номером 16:15:000000:2717 к функциональной зоне рекреационного назначения, на основании письма Руководителя Исполнительного комитета Верхнеуслонского муниципального района Республики Татарстан от 24.05.2023 № ИСХ-2911;</w:t>
      </w:r>
    </w:p>
    <w:p>
      <w:pPr>
        <w:pStyle w:val="Normal"/>
        <w:ind w:firstLine="700"/>
        <w:jc w:val="both"/>
        <w:rPr/>
      </w:pPr>
      <w:r>
        <w:rPr>
          <w:color w:val="000000"/>
          <w:szCs w:val="28"/>
        </w:rPr>
        <w:t>Проект внесения изменений в генеральный план</w:t>
      </w:r>
      <w:r>
        <w:rPr>
          <w:szCs w:val="28"/>
        </w:rPr>
        <w:t xml:space="preserve"> Вахитовского сельского поселения Верхнеуслонского муниципального района – документ территориального планирования, определяющий градостроительную стратегию, условия формирования среды жизнедеятельности, направления и границы развития территорий поселения, установление и изменение границ населенных пунктов в составе поселения,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pPr>
        <w:pStyle w:val="Normal"/>
        <w:ind w:firstLine="700"/>
        <w:jc w:val="both"/>
        <w:rPr/>
      </w:pPr>
      <w:r>
        <w:rPr>
          <w:color w:val="000000"/>
          <w:szCs w:val="28"/>
        </w:rPr>
        <w:t>Проект внесения изменений в генеральный план разработан на следующие временные сроки его реализации:</w:t>
      </w:r>
    </w:p>
    <w:p>
      <w:pPr>
        <w:pStyle w:val="Normal"/>
        <w:ind w:firstLine="700"/>
        <w:jc w:val="both"/>
        <w:rPr/>
      </w:pPr>
      <w:r>
        <w:rPr>
          <w:color w:val="000000"/>
          <w:szCs w:val="28"/>
          <w:u w:val="single"/>
        </w:rPr>
        <w:t>Первая очередь,</w:t>
      </w:r>
      <w:r>
        <w:rPr>
          <w:color w:val="000000"/>
          <w:szCs w:val="28"/>
        </w:rPr>
        <w:t xml:space="preserve"> на которую определены первоочередные мероприятия по реализации генерального плана – до 2032 года.</w:t>
      </w:r>
    </w:p>
    <w:p>
      <w:pPr>
        <w:pStyle w:val="Normal"/>
        <w:ind w:firstLine="700"/>
        <w:jc w:val="both"/>
        <w:rPr/>
      </w:pPr>
      <w:r>
        <w:rPr>
          <w:color w:val="000000"/>
          <w:szCs w:val="28"/>
          <w:u w:val="single"/>
        </w:rPr>
        <w:t>Расчетный срок</w:t>
      </w:r>
      <w:r>
        <w:rPr>
          <w:color w:val="000000"/>
          <w:szCs w:val="28"/>
        </w:rPr>
        <w:t>, на который запланированы все основные проектные решения генерального плана – до 2047 года.</w:t>
      </w:r>
    </w:p>
    <w:p>
      <w:pPr>
        <w:pStyle w:val="Normal"/>
        <w:ind w:firstLine="700"/>
        <w:jc w:val="both"/>
        <w:rPr/>
      </w:pPr>
      <w:r>
        <w:rPr>
          <w:color w:val="000000"/>
          <w:szCs w:val="28"/>
        </w:rPr>
        <w:t>В соответствии со статьей 23 Градостроительного кодекса Российской Федерации проект внесения изменений в генеральный план Вахитовского сельского поселения включает в себя:</w:t>
      </w:r>
    </w:p>
    <w:p>
      <w:pPr>
        <w:pStyle w:val="Normal"/>
        <w:ind w:firstLine="700"/>
        <w:jc w:val="both"/>
        <w:rPr/>
      </w:pPr>
      <w:r>
        <w:rPr>
          <w:color w:val="000000"/>
          <w:szCs w:val="28"/>
        </w:rPr>
        <w:t>Текстовые материалы - Положение о территориальном планировании, которое включает в себя цели и задачи территориального планирования, перечень мероприятий по территориальному планированию и последовательность их выполнения по этапам реализации генерального плана.</w:t>
      </w:r>
    </w:p>
    <w:p>
      <w:pPr>
        <w:pStyle w:val="Normal"/>
        <w:ind w:firstLine="700"/>
        <w:jc w:val="both"/>
        <w:rPr/>
      </w:pPr>
      <w:r>
        <w:rPr>
          <w:color w:val="000000"/>
          <w:szCs w:val="28"/>
        </w:rPr>
        <w:t>Графические материалы содержат карты (схемы) территориального планирования.</w:t>
      </w:r>
    </w:p>
    <w:p>
      <w:pPr>
        <w:pStyle w:val="Normal"/>
        <w:ind w:firstLine="700"/>
        <w:jc w:val="both"/>
        <w:rPr/>
      </w:pPr>
      <w:r>
        <w:rPr>
          <w:color w:val="000000"/>
          <w:szCs w:val="28"/>
        </w:rPr>
        <w:t>Материалы по обоснованию проекта, которые разрабатываются в целях обоснования и пояснения предложений территориального планирования, для согласования и обеспечения процесса утверждения генерального плана сельского поселения, выполненные в составе текстовых и графических материалов.</w:t>
      </w:r>
    </w:p>
    <w:p>
      <w:pPr>
        <w:pStyle w:val="Normal"/>
        <w:ind w:firstLine="700"/>
        <w:jc w:val="both"/>
        <w:rPr/>
      </w:pPr>
      <w:r>
        <w:rPr>
          <w:color w:val="000000"/>
          <w:szCs w:val="28"/>
        </w:rPr>
        <w:t>Текстовые материалы включают в себя анализ состояния территории поселения, проблем и направлений ее комплексного развития, обоснование территориального и пространственно-планировочного развития, перечень мероприятий по территориальному планированию, этапы их реализации, перечень основных факторов риска возникновения чрезвычайных ситуаций природного и техногенного характера.</w:t>
      </w:r>
    </w:p>
    <w:p>
      <w:pPr>
        <w:pStyle w:val="Normal"/>
        <w:ind w:firstLine="700"/>
        <w:jc w:val="both"/>
        <w:rPr/>
      </w:pPr>
      <w:r>
        <w:rPr>
          <w:color w:val="000000"/>
          <w:szCs w:val="28"/>
        </w:rPr>
        <w:t>Графические материалы содержат схемы по обоснованию проекта внесения изменений в генеральный план поселения.</w:t>
      </w:r>
    </w:p>
    <w:p>
      <w:pPr>
        <w:pStyle w:val="112"/>
        <w:spacing w:lineRule="auto" w:line="240"/>
        <w:jc w:val="both"/>
        <w:rPr/>
      </w:pPr>
      <w:r>
        <w:rPr>
          <w:szCs w:val="28"/>
        </w:rPr>
        <w:t>В соответствии с Градостроительным кодексом Российской Федерации (ФЗ-190), Федеральным законом «Об общих принципах организации местного самоуправления в Российской Федерации» (ФЗ-131) утверждению подлежат мероприятия местного значения поселения.</w:t>
      </w:r>
    </w:p>
    <w:p>
      <w:pPr>
        <w:pStyle w:val="Normal"/>
        <w:ind w:firstLine="700"/>
        <w:jc w:val="both"/>
        <w:rPr/>
      </w:pPr>
      <w:r>
        <w:rPr>
          <w:color w:val="000000"/>
          <w:szCs w:val="28"/>
        </w:rPr>
        <w:t>При разработке проекта внесения изменений в генеральный план Вахитовского сельского поселения Верхнеуслонского муниципального района были использованы материалы:</w:t>
      </w:r>
    </w:p>
    <w:p>
      <w:pPr>
        <w:pStyle w:val="Normal"/>
        <w:ind w:firstLine="700"/>
        <w:jc w:val="both"/>
        <w:rPr/>
      </w:pPr>
      <w:r>
        <w:rPr>
          <w:color w:val="000000"/>
          <w:szCs w:val="28"/>
        </w:rPr>
        <w:t>-</w:t>
        <w:tab/>
        <w:t>Схемы территориального планирования Республики Татарстан, утвержденной постановлением Кабинета Министров Республики Татарстан от 21.02.2011г. №134 (в редакции постановления Кабинета Министров Республики Татарстан от 22.12.2023 №1670);</w:t>
      </w:r>
    </w:p>
    <w:p>
      <w:pPr>
        <w:pStyle w:val="Normal"/>
        <w:ind w:firstLine="700"/>
        <w:jc w:val="both"/>
        <w:rPr/>
      </w:pPr>
      <w:r>
        <w:rPr>
          <w:color w:val="000000"/>
          <w:szCs w:val="28"/>
        </w:rPr>
        <w:t>- Схемы территориального планирования Верхнеуслонского муниципального района Республики Татарстан, утвержденной Решением Совета Верхнеуслонского муниципального района Республики Татарстан от 08.08.2022 г. № 25-341 (с изменениями и дополнениями);</w:t>
      </w:r>
    </w:p>
    <w:p>
      <w:pPr>
        <w:pStyle w:val="Normal"/>
        <w:ind w:firstLine="700"/>
        <w:jc w:val="both"/>
        <w:rPr/>
      </w:pPr>
      <w:r>
        <w:rPr>
          <w:color w:val="000000"/>
          <w:szCs w:val="28"/>
        </w:rPr>
        <w:t>-</w:t>
        <w:tab/>
        <w:t>официальные данные, предоставленные</w:t>
      </w:r>
      <w:r>
        <w:rPr>
          <w:szCs w:val="28"/>
        </w:rPr>
        <w:t xml:space="preserve"> исполнительным комитетом Верхнеуслонского муниципального района и Вахитовского сельского поселения, входящего в его состав;</w:t>
      </w:r>
    </w:p>
    <w:p>
      <w:pPr>
        <w:pStyle w:val="Normal"/>
        <w:ind w:firstLine="700"/>
        <w:jc w:val="both"/>
        <w:rPr/>
      </w:pPr>
      <w:bookmarkStart w:id="41" w:name="_Hlk151559082"/>
      <w:r>
        <w:rPr>
          <w:szCs w:val="28"/>
        </w:rPr>
        <w:t>-</w:t>
        <w:tab/>
        <w:t>действующий проект генерального плана Вахитовского сельского поселения, утвержденный Решением Совета Верхнеуслонского муниципального района Республики Татарстан от 30.05.2022 №23-304.</w:t>
      </w:r>
      <w:bookmarkEnd w:id="41"/>
    </w:p>
    <w:p>
      <w:pPr>
        <w:pStyle w:val="Normal"/>
        <w:ind w:firstLine="700"/>
        <w:jc w:val="both"/>
        <w:rPr>
          <w:szCs w:val="28"/>
        </w:rPr>
      </w:pPr>
      <w:r>
        <w:rPr>
          <w:szCs w:val="28"/>
        </w:rPr>
      </w:r>
    </w:p>
    <w:p>
      <w:pPr>
        <w:pStyle w:val="Normal"/>
        <w:ind w:hanging="0"/>
        <w:jc w:val="both"/>
        <w:rPr>
          <w:szCs w:val="28"/>
        </w:rPr>
      </w:pPr>
      <w:r>
        <w:rPr>
          <w:szCs w:val="28"/>
        </w:rPr>
      </w:r>
    </w:p>
    <w:p>
      <w:pPr>
        <w:pStyle w:val="Normal"/>
        <w:ind w:hanging="0"/>
        <w:jc w:val="both"/>
        <w:rPr>
          <w:szCs w:val="28"/>
        </w:rPr>
      </w:pPr>
      <w:r>
        <w:rPr>
          <w:szCs w:val="28"/>
        </w:rPr>
      </w:r>
    </w:p>
    <w:p>
      <w:pPr>
        <w:pStyle w:val="1"/>
        <w:numPr>
          <w:ilvl w:val="0"/>
          <w:numId w:val="1"/>
        </w:numPr>
        <w:tabs>
          <w:tab w:val="clear" w:pos="709"/>
          <w:tab w:val="left" w:pos="-900" w:leader="none"/>
        </w:tabs>
        <w:ind w:left="0" w:hanging="0"/>
        <w:jc w:val="both"/>
        <w:rPr/>
      </w:pPr>
      <w:bookmarkStart w:id="42" w:name="_Toc497395262"/>
      <w:bookmarkStart w:id="43" w:name="_Toc489532068"/>
      <w:bookmarkStart w:id="44" w:name="_Toc303609449"/>
      <w:bookmarkStart w:id="45" w:name="_Toc494368983"/>
      <w:bookmarkStart w:id="46" w:name="_Toc156489375"/>
      <w:r>
        <w:rPr>
          <w:bCs w:val="false"/>
          <w:kern w:val="0"/>
          <w:szCs w:val="20"/>
        </w:rPr>
        <w:t>ОБЩИЕ СВЕДЕНИЯ О ВАХИТОВСКОМ СЕЛЬСКОМ ПОСЕЛЕНИИ ВЕРХНЕУСЛОНСКОГО МУНИЦИПАЛЬНОГО РАЙОН</w:t>
      </w:r>
      <w:bookmarkEnd w:id="44"/>
      <w:r>
        <w:rPr>
          <w:bCs w:val="false"/>
          <w:kern w:val="0"/>
          <w:szCs w:val="20"/>
        </w:rPr>
        <w:t>А</w:t>
      </w:r>
      <w:bookmarkEnd w:id="42"/>
      <w:bookmarkEnd w:id="43"/>
      <w:bookmarkEnd w:id="45"/>
      <w:bookmarkEnd w:id="46"/>
    </w:p>
    <w:p>
      <w:pPr>
        <w:pStyle w:val="Normal"/>
        <w:tabs>
          <w:tab w:val="clear" w:pos="709"/>
          <w:tab w:val="left" w:pos="6325" w:leader="none"/>
          <w:tab w:val="left" w:pos="8926" w:leader="none"/>
          <w:tab w:val="left" w:pos="9390" w:leader="none"/>
        </w:tabs>
        <w:ind w:firstLine="720"/>
        <w:jc w:val="both"/>
        <w:rPr/>
      </w:pPr>
      <w:r>
        <w:rPr>
          <w:szCs w:val="28"/>
        </w:rPr>
        <w:t xml:space="preserve">Граница Вахитовского сельского поселения принята в соответствии с Законом Республики Татарстан от 31 января 2005 года </w:t>
      </w:r>
      <w:r>
        <w:rPr>
          <w:color w:val="000000"/>
          <w:szCs w:val="28"/>
        </w:rPr>
        <w:t>№ 19-ЗРТ</w:t>
      </w:r>
      <w:r>
        <w:rPr>
          <w:szCs w:val="28"/>
        </w:rPr>
        <w:t xml:space="preserve"> «Об установлении границ территорий и статусе муниципального образования «Верхнеуслонский муниципальный район» и муниципальных образований в его составе» </w:t>
      </w:r>
      <w:r>
        <w:rPr/>
        <w:t>(в редакции Закона от 13.10.2018 г. № 74-ЗРТ)</w:t>
      </w:r>
      <w:r>
        <w:rPr>
          <w:szCs w:val="28"/>
        </w:rPr>
        <w:t>.</w:t>
      </w:r>
    </w:p>
    <w:p>
      <w:pPr>
        <w:pStyle w:val="Normal"/>
        <w:jc w:val="both"/>
        <w:rPr/>
      </w:pPr>
      <w:r>
        <w:rPr>
          <w:szCs w:val="28"/>
        </w:rPr>
        <w:t>В состав Вахитовского сельского поселения в соответствии с этим законом входят деревня им. Мулланура Вахитова (административный центр), село Ташевка, деревни Ватан, Гребени, поселок Бакча-Сарай.</w:t>
      </w:r>
    </w:p>
    <w:p>
      <w:pPr>
        <w:pStyle w:val="Normal"/>
        <w:tabs>
          <w:tab w:val="clear" w:pos="709"/>
          <w:tab w:val="left" w:pos="6325" w:leader="none"/>
          <w:tab w:val="left" w:pos="8926" w:leader="none"/>
          <w:tab w:val="left" w:pos="9390" w:leader="none"/>
        </w:tabs>
        <w:ind w:firstLine="720"/>
        <w:jc w:val="both"/>
        <w:rPr/>
      </w:pPr>
      <w:r>
        <w:rPr>
          <w:szCs w:val="28"/>
        </w:rPr>
        <w:t>Вахитовское сельское поселение расположено в западной части Республики Татарстан,</w:t>
      </w:r>
      <w:r>
        <w:rPr>
          <w:color w:val="FF0066"/>
          <w:szCs w:val="28"/>
        </w:rPr>
        <w:t xml:space="preserve"> </w:t>
      </w:r>
      <w:r>
        <w:rPr>
          <w:szCs w:val="28"/>
        </w:rPr>
        <w:t xml:space="preserve">в восточной части Верхнеуслонского муниципального района. </w:t>
      </w:r>
      <w:r>
        <w:rPr>
          <w:spacing w:val="2"/>
          <w:szCs w:val="28"/>
          <w:shd w:fill="FFFFFF" w:val="clear"/>
        </w:rPr>
        <w:t xml:space="preserve">Поселение граничит с Октябрьским, Макуловским, Новорусско-Маматкозинским, Шеланговским сельскими поселениями </w:t>
      </w:r>
      <w:r>
        <w:rPr>
          <w:szCs w:val="28"/>
        </w:rPr>
        <w:t>Верхнеуслонского муниципального района</w:t>
      </w:r>
      <w:r>
        <w:rPr>
          <w:spacing w:val="2"/>
          <w:szCs w:val="28"/>
          <w:shd w:fill="FFFFFF" w:val="clear"/>
        </w:rPr>
        <w:t xml:space="preserve"> и Лаишевским муниципальным районом </w:t>
      </w:r>
      <w:r>
        <w:rPr>
          <w:szCs w:val="28"/>
        </w:rPr>
        <w:t>Республики Татарстан</w:t>
      </w:r>
      <w:r>
        <w:rPr>
          <w:spacing w:val="2"/>
          <w:szCs w:val="28"/>
          <w:shd w:fill="FFFFFF" w:val="clear"/>
        </w:rPr>
        <w:t xml:space="preserve">. </w:t>
      </w:r>
    </w:p>
    <w:p>
      <w:pPr>
        <w:pStyle w:val="113"/>
        <w:spacing w:lineRule="auto" w:line="240"/>
        <w:jc w:val="both"/>
        <w:rPr/>
      </w:pPr>
      <w:r>
        <w:rPr>
          <w:color w:val="000000"/>
          <w:sz w:val="28"/>
          <w:szCs w:val="28"/>
        </w:rPr>
        <w:t>Общая площадь Вахитовского сельского поселения составляет 5130,5560 га, в т.ч. площадь населенных пунктов 212,2144 га, из них: д.им. Мулланура Вахитова – 51,6637  га, с.Ташевка – 48,3307 га, д.Ватан – 23,8578 га, д.Гребени – 37,7559 га, п.Бакча-Сарай – 50,6063 га (согласно картографическому материалу).</w:t>
      </w:r>
    </w:p>
    <w:p>
      <w:pPr>
        <w:pStyle w:val="Normal"/>
        <w:jc w:val="both"/>
        <w:rPr/>
      </w:pPr>
      <w:r>
        <w:rPr>
          <w:szCs w:val="28"/>
        </w:rPr>
        <w:t>Согласно Стратегии социально-экономического развития Республики Татарстан до 2030 года, утвержденной Законом Республики Татарстан от 17 июня 2015 г. №40-ЗРТ, Верхнеуслонский муниципальный район входит в Казанскую экономическую зону. Отраслевая структура Казанской экономической зоны определяется такими отраслями, как химическая промышленность (химия и нефтехимия), электроэнергетика, машиностроение (авиастроение, судостроение, производство электрооборудования), легкая промышленность, агропромышленный комплекс, новое строительство и производство строительных материалов.</w:t>
      </w:r>
    </w:p>
    <w:p>
      <w:pPr>
        <w:pStyle w:val="Normal"/>
        <w:tabs>
          <w:tab w:val="clear" w:pos="709"/>
          <w:tab w:val="left" w:pos="6325" w:leader="none"/>
          <w:tab w:val="left" w:pos="8926" w:leader="none"/>
          <w:tab w:val="left" w:pos="9390" w:leader="none"/>
        </w:tabs>
        <w:ind w:firstLine="720"/>
        <w:jc w:val="both"/>
        <w:rPr/>
      </w:pPr>
      <w:r>
        <w:rPr>
          <w:szCs w:val="28"/>
        </w:rPr>
        <w:t>Транспортная связь Вахитовского сельского поселения с другими поселениями и районами Республики Татарстан в настоящее время осуществляется через автомобильные дороги регионального или межмуниципального значения «Казань – Ульяновск – Камское Устье», «Вахитово – Ташевка», «Янга-Болгар – Матюшино – Бакча-Сарай», «Подъезд к д.Ватан», «Казань – Ульяновск – Камское Устье – Гребени» и автомобильные дороги местного значения.</w:t>
      </w:r>
    </w:p>
    <w:p>
      <w:pPr>
        <w:pStyle w:val="Normal"/>
        <w:tabs>
          <w:tab w:val="clear" w:pos="709"/>
          <w:tab w:val="left" w:pos="6325" w:leader="none"/>
          <w:tab w:val="left" w:pos="8926" w:leader="none"/>
          <w:tab w:val="left" w:pos="9390" w:leader="none"/>
        </w:tabs>
        <w:ind w:firstLine="720"/>
        <w:jc w:val="both"/>
        <w:rPr>
          <w:szCs w:val="28"/>
        </w:rPr>
      </w:pPr>
      <w:r>
        <w:rPr>
          <w:szCs w:val="28"/>
        </w:rPr>
      </w:r>
    </w:p>
    <w:p>
      <w:pPr>
        <w:pStyle w:val="Normal"/>
        <w:tabs>
          <w:tab w:val="clear" w:pos="709"/>
          <w:tab w:val="left" w:pos="6325" w:leader="none"/>
          <w:tab w:val="left" w:pos="8926" w:leader="none"/>
          <w:tab w:val="left" w:pos="9390" w:leader="none"/>
        </w:tabs>
        <w:ind w:firstLine="720"/>
        <w:jc w:val="both"/>
        <w:rPr>
          <w:szCs w:val="28"/>
        </w:rPr>
      </w:pPr>
      <w:r>
        <w:rPr>
          <w:szCs w:val="28"/>
        </w:rPr>
      </w:r>
    </w:p>
    <w:p>
      <w:pPr>
        <w:pStyle w:val="1"/>
        <w:numPr>
          <w:ilvl w:val="0"/>
          <w:numId w:val="1"/>
        </w:numPr>
        <w:ind w:left="0" w:hanging="0"/>
        <w:jc w:val="both"/>
        <w:rPr/>
      </w:pPr>
      <w:hyperlink w:anchor="_Toc260476336">
        <w:bookmarkStart w:id="47" w:name="_Toc292201143"/>
        <w:bookmarkStart w:id="48" w:name="_Toc292201896"/>
        <w:bookmarkStart w:id="49" w:name="_Toc292201976"/>
        <w:bookmarkStart w:id="50" w:name="_Toc292202050"/>
        <w:r>
          <w:rPr/>
          <w:t xml:space="preserve"> </w:t>
        </w:r>
        <w:bookmarkStart w:id="51" w:name="_Toc328825970"/>
        <w:bookmarkStart w:id="52" w:name="_Toc156489376"/>
        <w:bookmarkStart w:id="53" w:name="_Toc345684835"/>
        <w:bookmarkEnd w:id="47"/>
        <w:bookmarkEnd w:id="48"/>
        <w:bookmarkEnd w:id="49"/>
        <w:bookmarkEnd w:id="50"/>
        <w:r>
          <w:rPr>
            <w:webHidden/>
          </w:rPr>
          <w:fldChar w:fldCharType="begin"/>
        </w:r>
        <w:r>
          <w:rPr>
            <w:webHidden/>
          </w:rPr>
          <w:instrText xml:space="preserve">PAGEREF _Toc260476336 \h</w:instrText>
        </w:r>
        <w:r>
          <w:rPr>
            <w:webHidden/>
          </w:rPr>
          <w:fldChar w:fldCharType="separate"/>
        </w:r>
        <w:r>
          <w:rPr/>
          <w:t>ПЕРЕЧЕНЬ МЕРОПРИЯТИЙ ФЕДЕРАЛЬНОГО, РЕГИОНАЛЬНОГО И МЕСТНОГО ЗНАЧЕНИЙ ПО ГЕНЕРАЛЬНОМУ ПЛАНУ ВАХИТОВСКОГО СЕЛЬСКОГО ПОСЕЛЕНИЯ ВЕРХНЕУСЛОНСКОГО МУНИЦИПАЛЬНОГО РАЙОНА</w:t>
        </w:r>
        <w:r>
          <w:rPr>
            <w:webHidden/>
          </w:rPr>
          <w:fldChar w:fldCharType="end"/>
        </w:r>
      </w:hyperlink>
      <w:bookmarkEnd w:id="51"/>
      <w:bookmarkEnd w:id="52"/>
      <w:bookmarkEnd w:id="53"/>
    </w:p>
    <w:p>
      <w:pPr>
        <w:pStyle w:val="2"/>
        <w:numPr>
          <w:ilvl w:val="0"/>
          <w:numId w:val="0"/>
        </w:numPr>
        <w:ind w:left="0" w:firstLine="1843"/>
        <w:jc w:val="both"/>
        <w:rPr/>
      </w:pPr>
      <w:bookmarkStart w:id="54" w:name="_Toc345684836"/>
      <w:bookmarkStart w:id="55" w:name="_Toc328825971"/>
      <w:bookmarkStart w:id="56" w:name="_Toc156489377"/>
      <w:r>
        <w:rPr/>
        <w:t>3.1. Общие организационные мероприятия</w:t>
      </w:r>
      <w:bookmarkEnd w:id="54"/>
      <w:bookmarkEnd w:id="55"/>
      <w:bookmarkEnd w:id="56"/>
    </w:p>
    <w:p>
      <w:pPr>
        <w:pStyle w:val="Normal"/>
        <w:ind w:firstLine="720"/>
        <w:jc w:val="both"/>
        <w:rPr/>
      </w:pPr>
      <w:r>
        <w:rPr>
          <w:szCs w:val="28"/>
        </w:rPr>
        <w:t>При определении направления развития Вахитовского сельского поселения были учтены программы социально-экономического развития Республики Татарстан, Верхнеуслонского муниципального района, региональные и федеральные отраслевые программы.</w:t>
      </w:r>
    </w:p>
    <w:p>
      <w:pPr>
        <w:pStyle w:val="Normal"/>
        <w:ind w:firstLine="720"/>
        <w:jc w:val="both"/>
        <w:rPr/>
      </w:pPr>
      <w:r>
        <w:rPr>
          <w:szCs w:val="28"/>
        </w:rPr>
        <w:t>Законом Республики Татарстан от 17 июня 2015г. №40-ЗРТ</w:t>
        <w:br/>
        <w:t xml:space="preserve">была утверждена «Стратегия социально-экономического развития Республики Татарстан до 2030 года». Постановлением Кабинета Министров Республики Татарстан от 25 сентября 2015г. №707 был утвержден «План мероприятий по реализации Стратегии социально-экономического развития Республики Татарстан до 2030 года». </w:t>
      </w:r>
    </w:p>
    <w:p>
      <w:pPr>
        <w:pStyle w:val="Normal"/>
        <w:jc w:val="both"/>
        <w:rPr/>
      </w:pPr>
      <w:r>
        <w:rPr/>
        <w:t>В рамках утвержденной Стратегии Верхнеуслонский муниципальный район, входящий в состав Казанской агломерации, является территорией реализации программы «Управление отходами в Казанской экономической зоне».</w:t>
      </w:r>
    </w:p>
    <w:p>
      <w:pPr>
        <w:pStyle w:val="Normal"/>
        <w:ind w:firstLine="720"/>
        <w:jc w:val="both"/>
        <w:rPr/>
      </w:pPr>
      <w:r>
        <w:rPr/>
      </w:r>
    </w:p>
    <w:p>
      <w:pPr>
        <w:pStyle w:val="2"/>
        <w:numPr>
          <w:ilvl w:val="0"/>
          <w:numId w:val="0"/>
        </w:numPr>
        <w:ind w:left="0" w:firstLine="1276"/>
        <w:jc w:val="both"/>
        <w:rPr/>
      </w:pPr>
      <w:bookmarkStart w:id="57" w:name="_Toc156489378"/>
      <w:r>
        <w:rPr/>
        <w:t>3.2. Мероприятия по развитию производственных территорий</w:t>
      </w:r>
      <w:bookmarkEnd w:id="57"/>
      <w:r>
        <w:rPr/>
        <w:t xml:space="preserve"> </w:t>
      </w:r>
    </w:p>
    <w:p>
      <w:pPr>
        <w:pStyle w:val="Normal"/>
        <w:jc w:val="both"/>
        <w:rPr/>
      </w:pPr>
      <w:r>
        <w:rPr>
          <w:color w:val="000000"/>
        </w:rPr>
        <w:t>Мероприятий по развитию производственных территорий генеральным планом Вахитовского сельского поселения на</w:t>
      </w:r>
      <w:r>
        <w:rPr>
          <w:color w:val="000000"/>
          <w:szCs w:val="28"/>
        </w:rPr>
        <w:t xml:space="preserve"> период до расчетного срока не предусматривается.</w:t>
      </w:r>
    </w:p>
    <w:p>
      <w:pPr>
        <w:pStyle w:val="Normal"/>
        <w:jc w:val="both"/>
        <w:rPr/>
      </w:pPr>
      <w:r>
        <w:rPr/>
      </w:r>
    </w:p>
    <w:p>
      <w:pPr>
        <w:pStyle w:val="2"/>
        <w:numPr>
          <w:ilvl w:val="0"/>
          <w:numId w:val="0"/>
        </w:numPr>
        <w:ind w:left="0" w:firstLine="284"/>
        <w:jc w:val="both"/>
        <w:rPr/>
      </w:pPr>
      <w:bookmarkStart w:id="58" w:name="_Toc156489379"/>
      <w:r>
        <w:rPr/>
        <w:t>3.3. Мероприятия по развитию агропромышленного комплекса</w:t>
      </w:r>
      <w:bookmarkEnd w:id="58"/>
    </w:p>
    <w:p>
      <w:pPr>
        <w:pStyle w:val="Normal"/>
        <w:jc w:val="both"/>
        <w:rPr/>
      </w:pPr>
      <w:r>
        <w:rPr>
          <w:color w:val="000000"/>
          <w:szCs w:val="28"/>
        </w:rPr>
        <w:t xml:space="preserve">Генеральным планом </w:t>
      </w:r>
      <w:r>
        <w:rPr>
          <w:color w:val="000000"/>
        </w:rPr>
        <w:t xml:space="preserve">Вахитовского сельского поселения </w:t>
      </w:r>
      <w:r>
        <w:rPr>
          <w:color w:val="000000"/>
          <w:szCs w:val="28"/>
        </w:rPr>
        <w:t xml:space="preserve">на первую очередь предусмотрена рекультивация территории недействующей животноводческой фермы, расположенной </w:t>
      </w:r>
      <w:r>
        <w:rPr>
          <w:color w:val="000000"/>
        </w:rPr>
        <w:t>около д.им. Мулланура Вахитова, с последующей</w:t>
      </w:r>
      <w:r>
        <w:rPr>
          <w:color w:val="000000"/>
          <w:szCs w:val="28"/>
        </w:rPr>
        <w:t xml:space="preserve"> организацией площадки перспективного развития агропромышленного комплекса V класса опасности (2,5 га).</w:t>
      </w:r>
    </w:p>
    <w:p>
      <w:pPr>
        <w:sectPr>
          <w:footerReference w:type="default" r:id="rId3"/>
          <w:type w:val="nextPage"/>
          <w:pgSz w:w="11906" w:h="16838"/>
          <w:pgMar w:left="1134" w:right="567" w:gutter="0" w:header="0" w:top="567" w:footer="567" w:bottom="1134"/>
          <w:pgNumType w:fmt="decimal"/>
          <w:formProt w:val="false"/>
          <w:textDirection w:val="lrTb"/>
          <w:docGrid w:type="default" w:linePitch="600" w:charSpace="24576"/>
        </w:sectPr>
        <w:pStyle w:val="Normal"/>
        <w:ind w:firstLine="708"/>
        <w:jc w:val="both"/>
        <w:rPr/>
      </w:pPr>
      <w:r>
        <w:rPr>
          <w:rStyle w:val="Style21"/>
          <w:szCs w:val="28"/>
        </w:rPr>
        <w:t xml:space="preserve"> </w:t>
      </w:r>
    </w:p>
    <w:p>
      <w:pPr>
        <w:pStyle w:val="Normal"/>
        <w:jc w:val="both"/>
        <w:rPr/>
      </w:pPr>
      <w:r>
        <w:rPr>
          <w:szCs w:val="28"/>
        </w:rPr>
        <w:t>Таблица 3.3.1</w:t>
      </w:r>
    </w:p>
    <w:p>
      <w:pPr>
        <w:pStyle w:val="Normal"/>
        <w:jc w:val="both"/>
        <w:rPr/>
      </w:pPr>
      <w:r>
        <w:rPr>
          <w:szCs w:val="28"/>
        </w:rPr>
        <w:tab/>
        <w:t xml:space="preserve">Перечень мероприятий по развитию агропромышленного комплекса на территории </w:t>
      </w:r>
    </w:p>
    <w:p>
      <w:pPr>
        <w:pStyle w:val="Normal"/>
        <w:jc w:val="both"/>
        <w:rPr/>
      </w:pPr>
      <w:r>
        <w:rPr>
          <w:szCs w:val="28"/>
        </w:rPr>
        <w:t>Вахитовского сельского поселения</w:t>
      </w:r>
    </w:p>
    <w:p>
      <w:pPr>
        <w:pStyle w:val="Normal"/>
        <w:jc w:val="both"/>
        <w:rPr/>
      </w:pPr>
      <w:r>
        <w:rPr/>
      </w:r>
    </w:p>
    <w:tbl>
      <w:tblPr>
        <w:tblW w:w="5000" w:type="pct"/>
        <w:jc w:val="center"/>
        <w:tblInd w:w="0" w:type="dxa"/>
        <w:tblLayout w:type="fixed"/>
        <w:tblCellMar>
          <w:top w:w="0" w:type="dxa"/>
          <w:left w:w="108" w:type="dxa"/>
          <w:bottom w:w="0" w:type="dxa"/>
          <w:right w:w="108" w:type="dxa"/>
        </w:tblCellMar>
        <w:tblLook w:noVBand="0" w:val="0000" w:noHBand="0" w:lastColumn="0" w:firstColumn="0" w:lastRow="0" w:firstRow="0"/>
      </w:tblPr>
      <w:tblGrid>
        <w:gridCol w:w="479"/>
        <w:gridCol w:w="1444"/>
        <w:gridCol w:w="2125"/>
        <w:gridCol w:w="2807"/>
        <w:gridCol w:w="1156"/>
        <w:gridCol w:w="1524"/>
        <w:gridCol w:w="1607"/>
        <w:gridCol w:w="876"/>
        <w:gridCol w:w="883"/>
        <w:gridCol w:w="1950"/>
      </w:tblGrid>
      <w:tr>
        <w:trPr>
          <w:tblHeader w:val="true"/>
          <w:trHeight w:val="362" w:hRule="atLeast"/>
          <w:cantSplit w:val="true"/>
        </w:trPr>
        <w:tc>
          <w:tcPr>
            <w:tcW w:w="479"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jc w:val="both"/>
              <w:rPr/>
            </w:pPr>
            <w:r>
              <w:rPr>
                <w:sz w:val="20"/>
                <w:szCs w:val="20"/>
              </w:rPr>
              <w:t xml:space="preserve">№ </w:t>
            </w:r>
            <w:r>
              <w:rPr>
                <w:sz w:val="20"/>
                <w:szCs w:val="20"/>
              </w:rPr>
              <w:t>п/п</w:t>
            </w:r>
          </w:p>
        </w:tc>
        <w:tc>
          <w:tcPr>
            <w:tcW w:w="1444"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jc w:val="both"/>
              <w:rPr/>
            </w:pPr>
            <w:r>
              <w:rPr>
                <w:sz w:val="20"/>
                <w:szCs w:val="20"/>
              </w:rPr>
              <w:t>Наименование населенного пункта, входящего в состав поселения</w:t>
            </w:r>
          </w:p>
        </w:tc>
        <w:tc>
          <w:tcPr>
            <w:tcW w:w="2125"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jc w:val="both"/>
              <w:rPr/>
            </w:pPr>
            <w:r>
              <w:rPr>
                <w:sz w:val="20"/>
                <w:szCs w:val="20"/>
              </w:rPr>
              <w:t>Наименование объекта</w:t>
            </w:r>
          </w:p>
        </w:tc>
        <w:tc>
          <w:tcPr>
            <w:tcW w:w="2807"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jc w:val="both"/>
              <w:rPr/>
            </w:pPr>
            <w:r>
              <w:rPr>
                <w:sz w:val="20"/>
                <w:szCs w:val="20"/>
              </w:rPr>
              <w:t>Вид мероприятия</w:t>
            </w:r>
          </w:p>
        </w:tc>
        <w:tc>
          <w:tcPr>
            <w:tcW w:w="1156"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jc w:val="both"/>
              <w:rPr/>
            </w:pPr>
            <w:r>
              <w:rPr>
                <w:sz w:val="20"/>
                <w:szCs w:val="20"/>
              </w:rPr>
              <w:t>Единица измерения</w:t>
            </w:r>
          </w:p>
        </w:tc>
        <w:tc>
          <w:tcPr>
            <w:tcW w:w="3131" w:type="dxa"/>
            <w:gridSpan w:val="2"/>
            <w:tcBorders>
              <w:top w:val="single" w:sz="4" w:space="0" w:color="000000"/>
              <w:left w:val="single" w:sz="4" w:space="0" w:color="000000"/>
              <w:bottom w:val="single" w:sz="4" w:space="0" w:color="000000"/>
              <w:right w:val="single" w:sz="4" w:space="0" w:color="000000"/>
            </w:tcBorders>
            <w:vAlign w:val="center"/>
          </w:tcPr>
          <w:p>
            <w:pPr>
              <w:pStyle w:val="Style75"/>
              <w:widowControl w:val="false"/>
              <w:jc w:val="both"/>
              <w:rPr/>
            </w:pPr>
            <w:r>
              <w:rPr>
                <w:sz w:val="20"/>
                <w:szCs w:val="20"/>
              </w:rPr>
              <w:t>Мощность</w:t>
            </w:r>
          </w:p>
        </w:tc>
        <w:tc>
          <w:tcPr>
            <w:tcW w:w="1759" w:type="dxa"/>
            <w:gridSpan w:val="2"/>
            <w:tcBorders>
              <w:top w:val="single" w:sz="4" w:space="0" w:color="000000"/>
              <w:left w:val="single" w:sz="4" w:space="0" w:color="000000"/>
              <w:bottom w:val="single" w:sz="4" w:space="0" w:color="000000"/>
              <w:right w:val="single" w:sz="4" w:space="0" w:color="000000"/>
            </w:tcBorders>
            <w:vAlign w:val="center"/>
          </w:tcPr>
          <w:p>
            <w:pPr>
              <w:pStyle w:val="Style75"/>
              <w:widowControl w:val="false"/>
              <w:jc w:val="both"/>
              <w:rPr/>
            </w:pPr>
            <w:r>
              <w:rPr>
                <w:sz w:val="20"/>
                <w:szCs w:val="20"/>
              </w:rPr>
              <w:t>Сроки реализации</w:t>
            </w:r>
          </w:p>
        </w:tc>
        <w:tc>
          <w:tcPr>
            <w:tcW w:w="1950"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jc w:val="both"/>
              <w:rPr/>
            </w:pPr>
            <w:r>
              <w:rPr>
                <w:sz w:val="20"/>
                <w:szCs w:val="20"/>
              </w:rPr>
              <w:t>Источник мероприятия (наименование документа)</w:t>
            </w:r>
          </w:p>
        </w:tc>
      </w:tr>
      <w:tr>
        <w:trPr>
          <w:tblHeader w:val="true"/>
          <w:trHeight w:val="724" w:hRule="atLeast"/>
          <w:cantSplit w:val="true"/>
        </w:trPr>
        <w:tc>
          <w:tcPr>
            <w:tcW w:w="479"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jc w:val="both"/>
              <w:rPr>
                <w:sz w:val="20"/>
                <w:szCs w:val="20"/>
              </w:rPr>
            </w:pPr>
            <w:r>
              <w:rPr>
                <w:sz w:val="20"/>
                <w:szCs w:val="20"/>
              </w:rPr>
            </w:r>
          </w:p>
        </w:tc>
        <w:tc>
          <w:tcPr>
            <w:tcW w:w="1444"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jc w:val="both"/>
              <w:rPr>
                <w:sz w:val="20"/>
                <w:szCs w:val="20"/>
              </w:rPr>
            </w:pPr>
            <w:r>
              <w:rPr>
                <w:sz w:val="20"/>
                <w:szCs w:val="20"/>
              </w:rPr>
            </w:r>
          </w:p>
        </w:tc>
        <w:tc>
          <w:tcPr>
            <w:tcW w:w="2125"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jc w:val="both"/>
              <w:rPr>
                <w:sz w:val="20"/>
                <w:szCs w:val="20"/>
              </w:rPr>
            </w:pPr>
            <w:r>
              <w:rPr>
                <w:sz w:val="20"/>
                <w:szCs w:val="20"/>
              </w:rPr>
            </w:r>
          </w:p>
        </w:tc>
        <w:tc>
          <w:tcPr>
            <w:tcW w:w="2807"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jc w:val="both"/>
              <w:rPr>
                <w:sz w:val="20"/>
                <w:szCs w:val="20"/>
              </w:rPr>
            </w:pPr>
            <w:r>
              <w:rPr>
                <w:sz w:val="20"/>
                <w:szCs w:val="20"/>
              </w:rPr>
            </w:r>
          </w:p>
        </w:tc>
        <w:tc>
          <w:tcPr>
            <w:tcW w:w="1156"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jc w:val="both"/>
              <w:rPr>
                <w:sz w:val="20"/>
                <w:szCs w:val="20"/>
              </w:rPr>
            </w:pPr>
            <w:r>
              <w:rPr>
                <w:sz w:val="20"/>
                <w:szCs w:val="20"/>
              </w:rPr>
            </w:r>
          </w:p>
        </w:tc>
        <w:tc>
          <w:tcPr>
            <w:tcW w:w="1524"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jc w:val="both"/>
              <w:rPr/>
            </w:pPr>
            <w:r>
              <w:rPr>
                <w:sz w:val="20"/>
                <w:szCs w:val="20"/>
              </w:rPr>
              <w:t>Существующая</w:t>
            </w:r>
          </w:p>
        </w:tc>
        <w:tc>
          <w:tcPr>
            <w:tcW w:w="1607"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jc w:val="both"/>
              <w:rPr/>
            </w:pPr>
            <w:r>
              <w:rPr>
                <w:sz w:val="20"/>
                <w:szCs w:val="20"/>
              </w:rPr>
              <w:t>Дополнительная</w:t>
            </w:r>
          </w:p>
        </w:tc>
        <w:tc>
          <w:tcPr>
            <w:tcW w:w="876"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jc w:val="both"/>
              <w:rPr/>
            </w:pPr>
            <w:r>
              <w:rPr>
                <w:sz w:val="20"/>
                <w:szCs w:val="20"/>
              </w:rPr>
              <w:t>Первая очередь (до 2032 г.)</w:t>
            </w:r>
          </w:p>
        </w:tc>
        <w:tc>
          <w:tcPr>
            <w:tcW w:w="883"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jc w:val="both"/>
              <w:rPr/>
            </w:pPr>
            <w:r>
              <w:rPr>
                <w:sz w:val="20"/>
                <w:szCs w:val="20"/>
              </w:rPr>
              <w:t>Расчет-</w:t>
            </w:r>
          </w:p>
          <w:p>
            <w:pPr>
              <w:pStyle w:val="Style75"/>
              <w:widowControl w:val="false"/>
              <w:jc w:val="both"/>
              <w:rPr/>
            </w:pPr>
            <w:r>
              <w:rPr>
                <w:sz w:val="20"/>
                <w:szCs w:val="20"/>
              </w:rPr>
              <w:t>ный срок</w:t>
            </w:r>
          </w:p>
          <w:p>
            <w:pPr>
              <w:pStyle w:val="Style75"/>
              <w:widowControl w:val="false"/>
              <w:jc w:val="both"/>
              <w:rPr/>
            </w:pPr>
            <w:r>
              <w:rPr>
                <w:sz w:val="20"/>
                <w:szCs w:val="20"/>
              </w:rPr>
              <w:t>(2033-2047 гг.)</w:t>
            </w:r>
          </w:p>
        </w:tc>
        <w:tc>
          <w:tcPr>
            <w:tcW w:w="1950"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jc w:val="both"/>
              <w:rPr>
                <w:sz w:val="20"/>
                <w:szCs w:val="20"/>
              </w:rPr>
            </w:pPr>
            <w:r>
              <w:rPr>
                <w:sz w:val="20"/>
                <w:szCs w:val="20"/>
              </w:rPr>
            </w:r>
          </w:p>
        </w:tc>
      </w:tr>
      <w:tr>
        <w:trPr>
          <w:trHeight w:val="273" w:hRule="atLeast"/>
          <w:cantSplit w:val="true"/>
        </w:trPr>
        <w:tc>
          <w:tcPr>
            <w:tcW w:w="14851" w:type="dxa"/>
            <w:gridSpan w:val="10"/>
            <w:tcBorders>
              <w:top w:val="single" w:sz="4" w:space="0" w:color="000000"/>
              <w:left w:val="single" w:sz="4" w:space="0" w:color="000000"/>
              <w:bottom w:val="single" w:sz="4" w:space="0" w:color="000000"/>
              <w:right w:val="single" w:sz="4" w:space="0" w:color="000000"/>
            </w:tcBorders>
            <w:vAlign w:val="center"/>
          </w:tcPr>
          <w:p>
            <w:pPr>
              <w:pStyle w:val="Style75"/>
              <w:widowControl w:val="false"/>
              <w:jc w:val="both"/>
              <w:rPr/>
            </w:pPr>
            <w:r>
              <w:rPr>
                <w:caps/>
                <w:sz w:val="20"/>
                <w:szCs w:val="20"/>
              </w:rPr>
              <w:t>МЕРОПРИЯТИЯ МЕСТНОГО значения (ПОСЕЛЕНИЯ)</w:t>
            </w:r>
          </w:p>
        </w:tc>
      </w:tr>
      <w:tr>
        <w:trPr>
          <w:trHeight w:val="489" w:hRule="atLeast"/>
          <w:cantSplit w:val="true"/>
        </w:trPr>
        <w:tc>
          <w:tcPr>
            <w:tcW w:w="479"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jc w:val="both"/>
              <w:rPr/>
            </w:pPr>
            <w:r>
              <w:rPr>
                <w:sz w:val="20"/>
                <w:szCs w:val="20"/>
              </w:rPr>
              <w:t>1</w:t>
            </w:r>
          </w:p>
        </w:tc>
        <w:tc>
          <w:tcPr>
            <w:tcW w:w="1444"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jc w:val="both"/>
              <w:rPr/>
            </w:pPr>
            <w:r>
              <w:rPr>
                <w:sz w:val="20"/>
                <w:szCs w:val="20"/>
              </w:rPr>
              <w:t>вблизи д.им. Мулланура Вахитова</w:t>
            </w:r>
          </w:p>
        </w:tc>
        <w:tc>
          <w:tcPr>
            <w:tcW w:w="212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jc w:val="both"/>
              <w:rPr/>
            </w:pPr>
            <w:r>
              <w:rPr>
                <w:sz w:val="20"/>
                <w:szCs w:val="20"/>
              </w:rPr>
              <w:t>Недействующая ферма</w:t>
            </w:r>
          </w:p>
        </w:tc>
        <w:tc>
          <w:tcPr>
            <w:tcW w:w="2807"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jc w:val="both"/>
              <w:rPr/>
            </w:pPr>
            <w:r>
              <w:rPr>
                <w:sz w:val="20"/>
                <w:szCs w:val="20"/>
              </w:rPr>
              <w:t xml:space="preserve">Рекультивация территории под организацию площадки перспективного развития АПК </w:t>
            </w:r>
            <w:r>
              <w:rPr>
                <w:sz w:val="20"/>
                <w:szCs w:val="20"/>
                <w:lang w:val="en-US"/>
              </w:rPr>
              <w:t>V</w:t>
            </w:r>
            <w:r>
              <w:rPr>
                <w:sz w:val="20"/>
                <w:szCs w:val="20"/>
              </w:rPr>
              <w:t xml:space="preserve"> класса опасности</w:t>
            </w:r>
          </w:p>
        </w:tc>
        <w:tc>
          <w:tcPr>
            <w:tcW w:w="1156"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jc w:val="both"/>
              <w:rPr/>
            </w:pPr>
            <w:r>
              <w:rPr>
                <w:sz w:val="20"/>
                <w:szCs w:val="20"/>
              </w:rPr>
              <w:t>га</w:t>
            </w:r>
          </w:p>
        </w:tc>
        <w:tc>
          <w:tcPr>
            <w:tcW w:w="1524"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jc w:val="both"/>
              <w:rPr/>
            </w:pPr>
            <w:r>
              <w:rPr>
                <w:sz w:val="20"/>
                <w:szCs w:val="20"/>
              </w:rPr>
              <w:t>2,5</w:t>
            </w:r>
          </w:p>
        </w:tc>
        <w:tc>
          <w:tcPr>
            <w:tcW w:w="1607"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jc w:val="both"/>
              <w:rPr/>
            </w:pPr>
            <w:r>
              <w:rPr>
                <w:sz w:val="20"/>
                <w:szCs w:val="20"/>
              </w:rPr>
              <w:t>-</w:t>
            </w:r>
          </w:p>
        </w:tc>
        <w:tc>
          <w:tcPr>
            <w:tcW w:w="876"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jc w:val="both"/>
              <w:rPr/>
            </w:pPr>
            <w:r>
              <w:rPr>
                <w:sz w:val="20"/>
                <w:szCs w:val="20"/>
              </w:rPr>
              <w:t>+</w:t>
            </w:r>
          </w:p>
        </w:tc>
        <w:tc>
          <w:tcPr>
            <w:tcW w:w="883"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jc w:val="both"/>
              <w:rPr/>
            </w:pPr>
            <w:r>
              <w:rPr>
                <w:sz w:val="20"/>
                <w:szCs w:val="20"/>
              </w:rPr>
              <w:t>-</w:t>
            </w:r>
          </w:p>
        </w:tc>
        <w:tc>
          <w:tcPr>
            <w:tcW w:w="1950"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jc w:val="both"/>
              <w:rPr/>
            </w:pPr>
            <w:r>
              <w:rPr>
                <w:sz w:val="20"/>
                <w:szCs w:val="20"/>
              </w:rPr>
              <w:t>Проект внесения изменений в генеральный план Вахитовского СП</w:t>
            </w:r>
          </w:p>
        </w:tc>
      </w:tr>
    </w:tbl>
    <w:p>
      <w:pPr>
        <w:sectPr>
          <w:footerReference w:type="default" r:id="rId4"/>
          <w:footerReference w:type="first" r:id="rId5"/>
          <w:type w:val="nextPage"/>
          <w:pgSz w:orient="landscape" w:w="16838" w:h="11906"/>
          <w:pgMar w:left="1134" w:right="851" w:gutter="0" w:header="0" w:top="851" w:footer="0" w:bottom="851"/>
          <w:pgNumType w:fmt="decimal"/>
          <w:formProt w:val="false"/>
          <w:textDirection w:val="lrTb"/>
          <w:docGrid w:type="default" w:linePitch="381" w:charSpace="0"/>
        </w:sectPr>
      </w:pPr>
    </w:p>
    <w:p>
      <w:pPr>
        <w:pStyle w:val="2"/>
        <w:numPr>
          <w:ilvl w:val="1"/>
          <w:numId w:val="3"/>
        </w:numPr>
        <w:ind w:left="0" w:hanging="375"/>
        <w:jc w:val="both"/>
        <w:rPr/>
      </w:pPr>
      <w:bookmarkStart w:id="59" w:name="_Toc156489380"/>
      <w:r>
        <w:rPr/>
        <w:t>. Мероприятия по развитию лесного комплекса</w:t>
      </w:r>
      <w:bookmarkEnd w:id="59"/>
    </w:p>
    <w:p>
      <w:pPr>
        <w:pStyle w:val="Normal"/>
        <w:ind w:firstLine="720"/>
        <w:jc w:val="both"/>
        <w:rPr/>
      </w:pPr>
      <w:r>
        <w:rPr>
          <w:szCs w:val="28"/>
        </w:rPr>
        <w:t>Мероприятий по развитию лесного и лесопромышленного комплекса генеральным планом Вахитовского сельского поселения, Схемой территориального планирования Верхнеуслонского муниципального района и иными программами, и документами на период до расчетного срока не предусматривается.</w:t>
      </w:r>
    </w:p>
    <w:p>
      <w:pPr>
        <w:pStyle w:val="Normal"/>
        <w:ind w:firstLine="720"/>
        <w:jc w:val="both"/>
        <w:rPr>
          <w:szCs w:val="28"/>
        </w:rPr>
      </w:pPr>
      <w:r>
        <w:rPr>
          <w:szCs w:val="28"/>
        </w:rPr>
      </w:r>
    </w:p>
    <w:p>
      <w:pPr>
        <w:pStyle w:val="2"/>
        <w:numPr>
          <w:ilvl w:val="1"/>
          <w:numId w:val="3"/>
        </w:numPr>
        <w:ind w:left="0" w:hanging="375"/>
        <w:jc w:val="both"/>
        <w:rPr/>
      </w:pPr>
      <w:bookmarkStart w:id="60" w:name="_Toc345684840"/>
      <w:bookmarkStart w:id="61" w:name="_Toc156489381"/>
      <w:r>
        <w:rPr/>
        <w:t>. Мероприятия по развитию жилищной инфраструктуры</w:t>
      </w:r>
      <w:bookmarkEnd w:id="60"/>
      <w:bookmarkEnd w:id="61"/>
    </w:p>
    <w:p>
      <w:pPr>
        <w:pStyle w:val="Normal"/>
        <w:tabs>
          <w:tab w:val="clear" w:pos="709"/>
          <w:tab w:val="left" w:pos="0" w:leader="none"/>
        </w:tabs>
        <w:ind w:firstLine="700"/>
        <w:jc w:val="both"/>
        <w:rPr/>
      </w:pPr>
      <w:r>
        <w:rPr>
          <w:color w:val="000000"/>
          <w:szCs w:val="28"/>
        </w:rPr>
        <w:t>Проектом внесения изменений в генеральный план в Вахитовском сельском поселении предусмотрено 30,42 га территории под новое жилищное строительство (за вычетом площадей объектов социальной инфраструктуры, улиц и проездов, озеленения общего пользования) для постоянного населения, из них:</w:t>
      </w:r>
    </w:p>
    <w:p>
      <w:pPr>
        <w:pStyle w:val="Normal"/>
        <w:numPr>
          <w:ilvl w:val="0"/>
          <w:numId w:val="4"/>
        </w:numPr>
        <w:tabs>
          <w:tab w:val="clear" w:pos="709"/>
          <w:tab w:val="left" w:pos="0" w:leader="none"/>
          <w:tab w:val="left" w:pos="1021" w:leader="none"/>
        </w:tabs>
        <w:ind w:firstLine="709"/>
        <w:jc w:val="both"/>
        <w:rPr/>
      </w:pPr>
      <w:r>
        <w:rPr>
          <w:color w:val="000000"/>
          <w:szCs w:val="28"/>
          <w:lang w:eastAsia="x-none"/>
        </w:rPr>
        <w:t>д</w:t>
      </w:r>
      <w:r>
        <w:rPr>
          <w:color w:val="000000"/>
          <w:szCs w:val="28"/>
          <w:lang w:val="x-none" w:eastAsia="x-none"/>
        </w:rPr>
        <w:t>.</w:t>
      </w:r>
      <w:r>
        <w:rPr>
          <w:color w:val="000000"/>
          <w:szCs w:val="28"/>
          <w:lang w:eastAsia="x-none"/>
        </w:rPr>
        <w:t xml:space="preserve">им. Мулланура Вахитова – 2,85 га </w:t>
      </w:r>
      <w:r>
        <w:rPr>
          <w:color w:val="000000"/>
          <w:szCs w:val="28"/>
          <w:lang w:val="x-none" w:eastAsia="x-none"/>
        </w:rPr>
        <w:t>(внутри современной границы населенного пункта) под индивидуальное жилищное строительство;</w:t>
      </w:r>
    </w:p>
    <w:p>
      <w:pPr>
        <w:pStyle w:val="Normal"/>
        <w:numPr>
          <w:ilvl w:val="0"/>
          <w:numId w:val="4"/>
        </w:numPr>
        <w:tabs>
          <w:tab w:val="clear" w:pos="709"/>
          <w:tab w:val="left" w:pos="0" w:leader="none"/>
          <w:tab w:val="left" w:pos="1021" w:leader="none"/>
        </w:tabs>
        <w:ind w:firstLine="709"/>
        <w:jc w:val="both"/>
        <w:rPr/>
      </w:pPr>
      <w:r>
        <w:rPr>
          <w:color w:val="000000"/>
          <w:szCs w:val="28"/>
          <w:lang w:val="x-none" w:eastAsia="x-none"/>
        </w:rPr>
        <w:t xml:space="preserve">в </w:t>
      </w:r>
      <w:r>
        <w:rPr>
          <w:color w:val="000000"/>
          <w:szCs w:val="28"/>
          <w:lang w:eastAsia="x-none"/>
        </w:rPr>
        <w:t>п</w:t>
      </w:r>
      <w:r>
        <w:rPr>
          <w:color w:val="000000"/>
          <w:szCs w:val="28"/>
          <w:lang w:val="x-none" w:eastAsia="x-none"/>
        </w:rPr>
        <w:t>.</w:t>
      </w:r>
      <w:r>
        <w:rPr>
          <w:color w:val="000000"/>
          <w:szCs w:val="28"/>
          <w:lang w:eastAsia="x-none"/>
        </w:rPr>
        <w:t>Бакча-Сарай</w:t>
      </w:r>
      <w:r>
        <w:rPr>
          <w:color w:val="000000"/>
          <w:szCs w:val="28"/>
          <w:lang w:val="x-none" w:eastAsia="x-none"/>
        </w:rPr>
        <w:t xml:space="preserve"> –</w:t>
      </w:r>
      <w:r>
        <w:rPr>
          <w:color w:val="000000"/>
          <w:szCs w:val="28"/>
          <w:lang w:eastAsia="x-none"/>
        </w:rPr>
        <w:t xml:space="preserve"> 8,18 </w:t>
      </w:r>
      <w:r>
        <w:rPr>
          <w:color w:val="000000"/>
          <w:szCs w:val="28"/>
          <w:lang w:val="x-none" w:eastAsia="x-none"/>
        </w:rPr>
        <w:t>га (внутри современной границы населенного пункта) под индивидуальное жилищное строительство</w:t>
      </w:r>
      <w:r>
        <w:rPr>
          <w:color w:val="000000"/>
          <w:szCs w:val="28"/>
          <w:lang w:eastAsia="x-none"/>
        </w:rPr>
        <w:t>;</w:t>
      </w:r>
    </w:p>
    <w:p>
      <w:pPr>
        <w:pStyle w:val="Normal"/>
        <w:numPr>
          <w:ilvl w:val="0"/>
          <w:numId w:val="4"/>
        </w:numPr>
        <w:tabs>
          <w:tab w:val="clear" w:pos="709"/>
          <w:tab w:val="left" w:pos="0" w:leader="none"/>
          <w:tab w:val="left" w:pos="1021" w:leader="none"/>
        </w:tabs>
        <w:ind w:firstLine="709"/>
        <w:jc w:val="both"/>
        <w:rPr/>
      </w:pPr>
      <w:r>
        <w:rPr>
          <w:color w:val="000000"/>
          <w:szCs w:val="28"/>
          <w:lang w:val="x-none" w:eastAsia="x-none"/>
        </w:rPr>
        <w:t>в</w:t>
      </w:r>
      <w:r>
        <w:rPr>
          <w:color w:val="000000"/>
          <w:szCs w:val="28"/>
          <w:lang w:eastAsia="x-none"/>
        </w:rPr>
        <w:t xml:space="preserve"> с.Ташевка </w:t>
      </w:r>
      <w:r>
        <w:rPr>
          <w:color w:val="000000"/>
          <w:szCs w:val="28"/>
          <w:lang w:val="x-none" w:eastAsia="x-none"/>
        </w:rPr>
        <w:t>–</w:t>
      </w:r>
      <w:r>
        <w:rPr>
          <w:color w:val="000000"/>
          <w:szCs w:val="28"/>
          <w:lang w:eastAsia="x-none"/>
        </w:rPr>
        <w:t xml:space="preserve"> 8,42 </w:t>
      </w:r>
      <w:r>
        <w:rPr>
          <w:color w:val="000000"/>
          <w:szCs w:val="28"/>
          <w:lang w:val="x-none" w:eastAsia="x-none"/>
        </w:rPr>
        <w:t>га (внутри современной границы населенного пункта) под индивидуальное жилищное строительство</w:t>
      </w:r>
      <w:r>
        <w:rPr>
          <w:color w:val="000000"/>
          <w:lang w:eastAsia="x-none"/>
        </w:rPr>
        <w:t xml:space="preserve">; </w:t>
      </w:r>
    </w:p>
    <w:p>
      <w:pPr>
        <w:pStyle w:val="Normal"/>
        <w:numPr>
          <w:ilvl w:val="0"/>
          <w:numId w:val="4"/>
        </w:numPr>
        <w:tabs>
          <w:tab w:val="clear" w:pos="709"/>
          <w:tab w:val="left" w:pos="0" w:leader="none"/>
          <w:tab w:val="left" w:pos="1021" w:leader="none"/>
        </w:tabs>
        <w:ind w:firstLine="709"/>
        <w:jc w:val="both"/>
        <w:rPr/>
      </w:pPr>
      <w:r>
        <w:rPr>
          <w:color w:val="000000"/>
          <w:szCs w:val="28"/>
          <w:lang w:eastAsia="x-none"/>
        </w:rPr>
        <w:t xml:space="preserve">в д.Ватан – 2,18 </w:t>
      </w:r>
      <w:r>
        <w:rPr>
          <w:color w:val="000000"/>
          <w:szCs w:val="28"/>
          <w:lang w:val="x-none" w:eastAsia="x-none"/>
        </w:rPr>
        <w:t>(внутри современной границы населенного пункта) под индивидуальное жилищное строительство</w:t>
      </w:r>
      <w:r>
        <w:rPr>
          <w:color w:val="000000"/>
          <w:lang w:eastAsia="x-none"/>
        </w:rPr>
        <w:t>;</w:t>
      </w:r>
    </w:p>
    <w:p>
      <w:pPr>
        <w:pStyle w:val="Normal"/>
        <w:numPr>
          <w:ilvl w:val="0"/>
          <w:numId w:val="4"/>
        </w:numPr>
        <w:tabs>
          <w:tab w:val="clear" w:pos="709"/>
          <w:tab w:val="left" w:pos="0" w:leader="none"/>
          <w:tab w:val="left" w:pos="1021" w:leader="none"/>
        </w:tabs>
        <w:ind w:firstLine="709"/>
        <w:jc w:val="both"/>
        <w:rPr/>
      </w:pPr>
      <w:r>
        <w:rPr>
          <w:color w:val="000000"/>
          <w:szCs w:val="28"/>
          <w:lang w:eastAsia="x-none"/>
        </w:rPr>
        <w:t xml:space="preserve">в д.Гребени – 8,79 </w:t>
      </w:r>
      <w:r>
        <w:rPr>
          <w:color w:val="000000"/>
          <w:szCs w:val="28"/>
          <w:lang w:val="x-none" w:eastAsia="x-none"/>
        </w:rPr>
        <w:t>(внутри современной границы населенного пункта) под индивидуальное жилищное строительство</w:t>
      </w:r>
      <w:r>
        <w:rPr>
          <w:color w:val="000000"/>
          <w:lang w:val="x-none" w:eastAsia="x-none"/>
        </w:rPr>
        <w:t>.</w:t>
      </w:r>
    </w:p>
    <w:p>
      <w:pPr>
        <w:pStyle w:val="Normal"/>
        <w:tabs>
          <w:tab w:val="clear" w:pos="709"/>
          <w:tab w:val="left" w:pos="1021" w:leader="none"/>
        </w:tabs>
        <w:ind w:firstLine="851"/>
        <w:jc w:val="both"/>
        <w:rPr/>
      </w:pPr>
      <w:r>
        <w:rPr>
          <w:color w:val="000000"/>
          <w:lang w:val="x-none" w:eastAsia="x-none"/>
        </w:rPr>
        <w:t xml:space="preserve">Новое жилищное строительство и замена ветхого жилья будет осуществляться силами застройщиков, в т.ч. с использованием различных схем финансирования (средства застройщиков, ипотека, в т.ч. социальная ипотека, субсидии льготным категориям застройщиков, программы по закреплению на селе молодых специалистов и т.д.). </w:t>
      </w:r>
    </w:p>
    <w:p>
      <w:pPr>
        <w:sectPr>
          <w:type w:val="nextPage"/>
          <w:pgSz w:orient="landscape" w:w="16838" w:h="11906"/>
          <w:pgMar w:left="1134" w:right="851" w:gutter="0" w:header="0" w:top="851" w:footer="0" w:bottom="851"/>
          <w:pgNumType w:fmt="decimal"/>
          <w:formProt w:val="false"/>
          <w:textDirection w:val="lrTb"/>
          <w:docGrid w:type="default" w:linePitch="381" w:charSpace="0"/>
        </w:sectPr>
        <w:pStyle w:val="Style38"/>
        <w:tabs>
          <w:tab w:val="clear" w:pos="709"/>
          <w:tab w:val="left" w:pos="0" w:leader="none"/>
        </w:tabs>
        <w:spacing w:before="0" w:after="0"/>
        <w:ind w:left="0" w:hanging="0"/>
        <w:rPr>
          <w:lang w:val="x-none"/>
        </w:rPr>
      </w:pPr>
      <w:r>
        <w:rPr>
          <w:lang w:val="x-none"/>
        </w:rPr>
      </w:r>
    </w:p>
    <w:p>
      <w:pPr>
        <w:pStyle w:val="Normal"/>
        <w:ind w:left="0" w:firstLine="700"/>
        <w:jc w:val="right"/>
        <w:rPr>
          <w:szCs w:val="28"/>
        </w:rPr>
      </w:pPr>
      <w:r>
        <w:rPr>
          <w:szCs w:val="28"/>
        </w:rPr>
        <w:t>Таблица 3.5.1</w:t>
      </w:r>
    </w:p>
    <w:p>
      <w:pPr>
        <w:pStyle w:val="Normal"/>
        <w:ind w:left="283" w:firstLine="700"/>
        <w:jc w:val="center"/>
        <w:rPr>
          <w:szCs w:val="28"/>
        </w:rPr>
      </w:pPr>
      <w:r>
        <w:rPr>
          <w:szCs w:val="28"/>
        </w:rPr>
        <w:t xml:space="preserve">Перечень мероприятий по развитию жилищной инфраструктуры на территории </w:t>
      </w:r>
    </w:p>
    <w:p>
      <w:pPr>
        <w:pStyle w:val="Normal"/>
        <w:ind w:left="283" w:firstLine="700"/>
        <w:jc w:val="center"/>
        <w:rPr>
          <w:szCs w:val="28"/>
        </w:rPr>
      </w:pPr>
      <w:r>
        <w:rPr>
          <w:szCs w:val="28"/>
        </w:rPr>
        <w:t>Вахитовского сельского поселения</w:t>
      </w:r>
    </w:p>
    <w:tbl>
      <w:tblPr>
        <w:tblW w:w="5000" w:type="pct"/>
        <w:jc w:val="center"/>
        <w:tblInd w:w="0" w:type="dxa"/>
        <w:tblLayout w:type="fixed"/>
        <w:tblCellMar>
          <w:top w:w="0" w:type="dxa"/>
          <w:left w:w="108" w:type="dxa"/>
          <w:bottom w:w="0" w:type="dxa"/>
          <w:right w:w="108" w:type="dxa"/>
        </w:tblCellMar>
        <w:tblLook w:noVBand="0" w:val="0000" w:noHBand="0" w:lastColumn="0" w:firstColumn="0" w:lastRow="0" w:firstRow="0"/>
      </w:tblPr>
      <w:tblGrid>
        <w:gridCol w:w="654"/>
        <w:gridCol w:w="1572"/>
        <w:gridCol w:w="2454"/>
        <w:gridCol w:w="1675"/>
        <w:gridCol w:w="1396"/>
        <w:gridCol w:w="1163"/>
        <w:gridCol w:w="1165"/>
        <w:gridCol w:w="1256"/>
        <w:gridCol w:w="1399"/>
        <w:gridCol w:w="2117"/>
      </w:tblGrid>
      <w:tr>
        <w:trPr>
          <w:tblHeader w:val="true"/>
          <w:trHeight w:val="90" w:hRule="atLeast"/>
          <w:cantSplit w:val="true"/>
        </w:trPr>
        <w:tc>
          <w:tcPr>
            <w:tcW w:w="654"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bookmarkStart w:id="62" w:name="_Hlk151559971"/>
            <w:bookmarkEnd w:id="62"/>
            <w:r>
              <w:rPr>
                <w:color w:val="000000"/>
                <w:sz w:val="20"/>
                <w:szCs w:val="20"/>
              </w:rPr>
              <w:t xml:space="preserve">№ </w:t>
            </w:r>
            <w:r>
              <w:rPr>
                <w:color w:val="000000"/>
                <w:sz w:val="20"/>
                <w:szCs w:val="20"/>
              </w:rPr>
              <w:t>п/п</w:t>
            </w:r>
          </w:p>
        </w:tc>
        <w:tc>
          <w:tcPr>
            <w:tcW w:w="1572"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Наименование населенного пункта, входящего в состав поселения</w:t>
            </w:r>
          </w:p>
        </w:tc>
        <w:tc>
          <w:tcPr>
            <w:tcW w:w="2454"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Наименование объекта</w:t>
            </w:r>
          </w:p>
        </w:tc>
        <w:tc>
          <w:tcPr>
            <w:tcW w:w="1675"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Вид мероприятия</w:t>
            </w:r>
          </w:p>
        </w:tc>
        <w:tc>
          <w:tcPr>
            <w:tcW w:w="1396"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Единица измерения</w:t>
            </w:r>
          </w:p>
        </w:tc>
        <w:tc>
          <w:tcPr>
            <w:tcW w:w="2328" w:type="dxa"/>
            <w:gridSpan w:val="2"/>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Мощность</w:t>
            </w:r>
          </w:p>
        </w:tc>
        <w:tc>
          <w:tcPr>
            <w:tcW w:w="2655" w:type="dxa"/>
            <w:gridSpan w:val="2"/>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Сроки реализации</w:t>
            </w:r>
          </w:p>
        </w:tc>
        <w:tc>
          <w:tcPr>
            <w:tcW w:w="2117"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Источник мероприятия</w:t>
            </w:r>
          </w:p>
          <w:p>
            <w:pPr>
              <w:pStyle w:val="Style75"/>
              <w:widowControl w:val="false"/>
              <w:rPr>
                <w:color w:val="000000"/>
                <w:sz w:val="20"/>
                <w:szCs w:val="20"/>
              </w:rPr>
            </w:pPr>
            <w:r>
              <w:rPr>
                <w:color w:val="000000"/>
                <w:sz w:val="20"/>
                <w:szCs w:val="20"/>
              </w:rPr>
              <w:t>(наименование документа)</w:t>
            </w:r>
          </w:p>
        </w:tc>
      </w:tr>
      <w:tr>
        <w:trPr>
          <w:tblHeader w:val="true"/>
          <w:trHeight w:val="381" w:hRule="atLeast"/>
          <w:cantSplit w:val="true"/>
        </w:trPr>
        <w:tc>
          <w:tcPr>
            <w:tcW w:w="654"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1572"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2454"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1675"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1396"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Сущест-вующая</w:t>
            </w:r>
          </w:p>
        </w:tc>
        <w:tc>
          <w:tcPr>
            <w:tcW w:w="116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Новая (дополни-тельная)</w:t>
            </w:r>
          </w:p>
        </w:tc>
        <w:tc>
          <w:tcPr>
            <w:tcW w:w="1256"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Первая очередь (до 2032 г.)</w:t>
            </w:r>
          </w:p>
        </w:tc>
        <w:tc>
          <w:tcPr>
            <w:tcW w:w="1399"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Расчетный срок</w:t>
            </w:r>
          </w:p>
          <w:p>
            <w:pPr>
              <w:pStyle w:val="Style75"/>
              <w:widowControl w:val="false"/>
              <w:rPr>
                <w:color w:val="000000"/>
                <w:sz w:val="20"/>
                <w:szCs w:val="20"/>
              </w:rPr>
            </w:pPr>
            <w:r>
              <w:rPr>
                <w:color w:val="000000"/>
                <w:sz w:val="20"/>
                <w:szCs w:val="20"/>
              </w:rPr>
              <w:t>(2033-2047 гг.)</w:t>
            </w:r>
          </w:p>
        </w:tc>
        <w:tc>
          <w:tcPr>
            <w:tcW w:w="2117"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r>
      <w:tr>
        <w:trPr>
          <w:trHeight w:val="141" w:hRule="atLeast"/>
          <w:cantSplit w:val="true"/>
        </w:trPr>
        <w:tc>
          <w:tcPr>
            <w:tcW w:w="14851" w:type="dxa"/>
            <w:gridSpan w:val="10"/>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МЕРОПРИЯТИЯ МЕСТНОГО ЗНАЧЕНИЯ (ПОСЕЛЕНИЯ)</w:t>
            </w:r>
          </w:p>
        </w:tc>
      </w:tr>
      <w:tr>
        <w:trPr>
          <w:trHeight w:val="340" w:hRule="atLeast"/>
          <w:cantSplit w:val="true"/>
        </w:trPr>
        <w:tc>
          <w:tcPr>
            <w:tcW w:w="654"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1</w:t>
            </w:r>
          </w:p>
        </w:tc>
        <w:tc>
          <w:tcPr>
            <w:tcW w:w="1572"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д.им. Мулланура Вахитова</w:t>
            </w:r>
          </w:p>
        </w:tc>
        <w:tc>
          <w:tcPr>
            <w:tcW w:w="2454"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индивидуальный жилищный фонд в существующих границах населенного пункта</w:t>
            </w:r>
          </w:p>
        </w:tc>
        <w:tc>
          <w:tcPr>
            <w:tcW w:w="167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3" w:hanging="0"/>
              <w:jc w:val="center"/>
              <w:rPr>
                <w:color w:val="000000"/>
                <w:sz w:val="20"/>
                <w:szCs w:val="20"/>
              </w:rPr>
            </w:pPr>
            <w:r>
              <w:rPr>
                <w:color w:val="000000"/>
                <w:sz w:val="20"/>
                <w:szCs w:val="20"/>
              </w:rPr>
              <w:t>новое строительство</w:t>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га</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116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1,5</w:t>
            </w:r>
          </w:p>
        </w:tc>
        <w:tc>
          <w:tcPr>
            <w:tcW w:w="1256"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1399"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211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3" w:hanging="0"/>
              <w:jc w:val="center"/>
              <w:rPr>
                <w:color w:val="000000"/>
                <w:sz w:val="20"/>
                <w:szCs w:val="20"/>
              </w:rPr>
            </w:pPr>
            <w:r>
              <w:rPr>
                <w:sz w:val="20"/>
                <w:szCs w:val="20"/>
              </w:rPr>
              <w:t>Проект внесения изменений в генеральный план Вахитовского СП</w:t>
            </w:r>
          </w:p>
        </w:tc>
      </w:tr>
      <w:tr>
        <w:trPr>
          <w:trHeight w:val="340" w:hRule="atLeast"/>
          <w:cantSplit w:val="true"/>
        </w:trPr>
        <w:tc>
          <w:tcPr>
            <w:tcW w:w="654"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1572"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2454"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1675"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тыс.кв.м</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116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1,8</w:t>
            </w:r>
          </w:p>
        </w:tc>
        <w:tc>
          <w:tcPr>
            <w:tcW w:w="1256"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1399"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2117"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r>
      <w:tr>
        <w:trPr>
          <w:trHeight w:val="340" w:hRule="atLeast"/>
          <w:cantSplit w:val="true"/>
        </w:trPr>
        <w:tc>
          <w:tcPr>
            <w:tcW w:w="654"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2</w:t>
            </w:r>
          </w:p>
        </w:tc>
        <w:tc>
          <w:tcPr>
            <w:tcW w:w="1572"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д.им. Мулланура Вахитова</w:t>
            </w:r>
          </w:p>
        </w:tc>
        <w:tc>
          <w:tcPr>
            <w:tcW w:w="2454"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индивидуальный жилищный фонд в существующих границах населенного пункта</w:t>
            </w:r>
          </w:p>
        </w:tc>
        <w:tc>
          <w:tcPr>
            <w:tcW w:w="167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3" w:hanging="0"/>
              <w:jc w:val="center"/>
              <w:rPr>
                <w:color w:val="000000"/>
                <w:sz w:val="20"/>
                <w:szCs w:val="20"/>
              </w:rPr>
            </w:pPr>
            <w:r>
              <w:rPr>
                <w:color w:val="000000"/>
                <w:sz w:val="20"/>
                <w:szCs w:val="20"/>
              </w:rPr>
              <w:t>новое строительство</w:t>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га</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116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1,35</w:t>
            </w:r>
          </w:p>
        </w:tc>
        <w:tc>
          <w:tcPr>
            <w:tcW w:w="1256"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1399"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2117"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sz w:val="20"/>
                <w:szCs w:val="20"/>
              </w:rPr>
              <w:t>Проект внесения изменений в генеральный план Вахитовского СП</w:t>
            </w:r>
          </w:p>
        </w:tc>
      </w:tr>
      <w:tr>
        <w:trPr>
          <w:trHeight w:val="340" w:hRule="atLeast"/>
          <w:cantSplit w:val="true"/>
        </w:trPr>
        <w:tc>
          <w:tcPr>
            <w:tcW w:w="654"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1572"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2454"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1675"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тыс.кв.м</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116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1,56</w:t>
            </w:r>
          </w:p>
        </w:tc>
        <w:tc>
          <w:tcPr>
            <w:tcW w:w="1256"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1399"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2117"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r>
      <w:tr>
        <w:trPr>
          <w:trHeight w:val="340" w:hRule="atLeast"/>
          <w:cantSplit w:val="true"/>
        </w:trPr>
        <w:tc>
          <w:tcPr>
            <w:tcW w:w="654"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3</w:t>
            </w:r>
          </w:p>
        </w:tc>
        <w:tc>
          <w:tcPr>
            <w:tcW w:w="1572"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п.Бакча-Сарай</w:t>
            </w:r>
          </w:p>
        </w:tc>
        <w:tc>
          <w:tcPr>
            <w:tcW w:w="2454"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индивидуальный жилищный фонд в существующих границах населенного пункта</w:t>
            </w:r>
          </w:p>
        </w:tc>
        <w:tc>
          <w:tcPr>
            <w:tcW w:w="167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3" w:hanging="0"/>
              <w:jc w:val="center"/>
              <w:rPr>
                <w:color w:val="000000"/>
                <w:sz w:val="20"/>
                <w:szCs w:val="20"/>
              </w:rPr>
            </w:pPr>
            <w:r>
              <w:rPr>
                <w:color w:val="000000"/>
                <w:sz w:val="20"/>
                <w:szCs w:val="20"/>
              </w:rPr>
              <w:t>новое строительство</w:t>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га</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116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6,18</w:t>
            </w:r>
          </w:p>
        </w:tc>
        <w:tc>
          <w:tcPr>
            <w:tcW w:w="1256"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1399"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211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ind w:left="283" w:hanging="0"/>
              <w:jc w:val="center"/>
              <w:rPr>
                <w:sz w:val="20"/>
                <w:szCs w:val="20"/>
              </w:rPr>
            </w:pPr>
            <w:r>
              <w:rPr>
                <w:sz w:val="20"/>
                <w:szCs w:val="20"/>
              </w:rPr>
              <w:t>Проект внесения изменений в генеральный план Вахитовского СП</w:t>
            </w:r>
          </w:p>
        </w:tc>
      </w:tr>
      <w:tr>
        <w:trPr>
          <w:trHeight w:val="340" w:hRule="atLeast"/>
          <w:cantSplit w:val="true"/>
        </w:trPr>
        <w:tc>
          <w:tcPr>
            <w:tcW w:w="654"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1572"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2454"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1675"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тыс.кв.м</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116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7,32</w:t>
            </w:r>
          </w:p>
        </w:tc>
        <w:tc>
          <w:tcPr>
            <w:tcW w:w="1256"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1399"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211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left="283" w:hanging="0"/>
              <w:jc w:val="center"/>
              <w:rPr>
                <w:sz w:val="20"/>
                <w:szCs w:val="20"/>
              </w:rPr>
            </w:pPr>
            <w:r>
              <w:rPr>
                <w:sz w:val="20"/>
                <w:szCs w:val="20"/>
              </w:rPr>
            </w:r>
          </w:p>
        </w:tc>
      </w:tr>
      <w:tr>
        <w:trPr>
          <w:trHeight w:val="458" w:hRule="atLeast"/>
          <w:cantSplit w:val="true"/>
        </w:trPr>
        <w:tc>
          <w:tcPr>
            <w:tcW w:w="654"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4</w:t>
            </w:r>
          </w:p>
        </w:tc>
        <w:tc>
          <w:tcPr>
            <w:tcW w:w="1572"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п.Бакча-Сарай</w:t>
            </w:r>
          </w:p>
        </w:tc>
        <w:tc>
          <w:tcPr>
            <w:tcW w:w="2454"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индивидуальный жилищный фонд в существующих границах населенного пункта</w:t>
            </w:r>
          </w:p>
        </w:tc>
        <w:tc>
          <w:tcPr>
            <w:tcW w:w="167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3" w:hanging="0"/>
              <w:jc w:val="center"/>
              <w:rPr>
                <w:color w:val="000000"/>
                <w:sz w:val="20"/>
                <w:szCs w:val="20"/>
              </w:rPr>
            </w:pPr>
            <w:r>
              <w:rPr>
                <w:color w:val="000000"/>
                <w:sz w:val="20"/>
                <w:szCs w:val="20"/>
              </w:rPr>
              <w:t>новое строительство</w:t>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га</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116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2</w:t>
            </w:r>
          </w:p>
        </w:tc>
        <w:tc>
          <w:tcPr>
            <w:tcW w:w="1256"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1399"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211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ind w:left="283" w:hanging="0"/>
              <w:jc w:val="center"/>
              <w:rPr>
                <w:sz w:val="20"/>
                <w:szCs w:val="20"/>
              </w:rPr>
            </w:pPr>
            <w:r>
              <w:rPr>
                <w:sz w:val="20"/>
                <w:szCs w:val="20"/>
              </w:rPr>
              <w:t>Проект внесения изменений в генеральный план Вахитовского СП</w:t>
            </w:r>
          </w:p>
        </w:tc>
      </w:tr>
      <w:tr>
        <w:trPr>
          <w:trHeight w:val="457" w:hRule="atLeast"/>
          <w:cantSplit w:val="true"/>
        </w:trPr>
        <w:tc>
          <w:tcPr>
            <w:tcW w:w="654"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1572"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2454"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167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3" w:hanging="0"/>
              <w:jc w:val="center"/>
              <w:rPr>
                <w:color w:val="000000"/>
                <w:sz w:val="20"/>
                <w:szCs w:val="20"/>
              </w:rPr>
            </w:pPr>
            <w:r>
              <w:rPr>
                <w:color w:val="000000"/>
                <w:sz w:val="20"/>
                <w:szCs w:val="20"/>
              </w:rPr>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тыс.кв.м</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116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2,4</w:t>
            </w:r>
          </w:p>
        </w:tc>
        <w:tc>
          <w:tcPr>
            <w:tcW w:w="1256"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1399"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211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left="283" w:hanging="0"/>
              <w:jc w:val="center"/>
              <w:rPr>
                <w:sz w:val="20"/>
                <w:szCs w:val="20"/>
              </w:rPr>
            </w:pPr>
            <w:r>
              <w:rPr>
                <w:sz w:val="20"/>
                <w:szCs w:val="20"/>
              </w:rPr>
            </w:r>
          </w:p>
        </w:tc>
      </w:tr>
      <w:tr>
        <w:trPr>
          <w:trHeight w:val="340" w:hRule="atLeast"/>
          <w:cantSplit w:val="true"/>
        </w:trPr>
        <w:tc>
          <w:tcPr>
            <w:tcW w:w="654"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5</w:t>
            </w:r>
          </w:p>
        </w:tc>
        <w:tc>
          <w:tcPr>
            <w:tcW w:w="1572"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с.Ташевка</w:t>
            </w:r>
          </w:p>
        </w:tc>
        <w:tc>
          <w:tcPr>
            <w:tcW w:w="2454"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индивидуальный жилищный фонд в существующих границах населенного пункта</w:t>
            </w:r>
          </w:p>
        </w:tc>
        <w:tc>
          <w:tcPr>
            <w:tcW w:w="167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3" w:hanging="0"/>
              <w:jc w:val="center"/>
              <w:rPr>
                <w:color w:val="000000"/>
                <w:sz w:val="20"/>
                <w:szCs w:val="20"/>
              </w:rPr>
            </w:pPr>
            <w:r>
              <w:rPr>
                <w:color w:val="000000"/>
                <w:sz w:val="20"/>
                <w:szCs w:val="20"/>
              </w:rPr>
              <w:t>новое строительство</w:t>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га</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116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5,20</w:t>
            </w:r>
          </w:p>
        </w:tc>
        <w:tc>
          <w:tcPr>
            <w:tcW w:w="1256"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1399"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211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ind w:left="283" w:hanging="0"/>
              <w:jc w:val="center"/>
              <w:rPr>
                <w:sz w:val="20"/>
                <w:szCs w:val="20"/>
              </w:rPr>
            </w:pPr>
            <w:r>
              <w:rPr>
                <w:sz w:val="20"/>
                <w:szCs w:val="20"/>
              </w:rPr>
              <w:t>Проект внесения изменений в генеральный план Вахитовского СП</w:t>
            </w:r>
          </w:p>
        </w:tc>
      </w:tr>
      <w:tr>
        <w:trPr>
          <w:trHeight w:val="340" w:hRule="atLeast"/>
          <w:cantSplit w:val="true"/>
        </w:trPr>
        <w:tc>
          <w:tcPr>
            <w:tcW w:w="654"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1572"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2454"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1675"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тыс.кв.м</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116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6,24</w:t>
            </w:r>
          </w:p>
        </w:tc>
        <w:tc>
          <w:tcPr>
            <w:tcW w:w="1256"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1399"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211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left="283" w:hanging="0"/>
              <w:jc w:val="center"/>
              <w:rPr>
                <w:sz w:val="20"/>
                <w:szCs w:val="20"/>
              </w:rPr>
            </w:pPr>
            <w:r>
              <w:rPr>
                <w:sz w:val="20"/>
                <w:szCs w:val="20"/>
              </w:rPr>
            </w:r>
          </w:p>
        </w:tc>
      </w:tr>
      <w:tr>
        <w:trPr>
          <w:trHeight w:val="340" w:hRule="atLeast"/>
          <w:cantSplit w:val="true"/>
        </w:trPr>
        <w:tc>
          <w:tcPr>
            <w:tcW w:w="654"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6</w:t>
            </w:r>
          </w:p>
        </w:tc>
        <w:tc>
          <w:tcPr>
            <w:tcW w:w="1572"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с.Ташевка</w:t>
            </w:r>
          </w:p>
        </w:tc>
        <w:tc>
          <w:tcPr>
            <w:tcW w:w="2454"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индивидуальный жилищный фонд в существующих границах населенного пункта</w:t>
            </w:r>
          </w:p>
        </w:tc>
        <w:tc>
          <w:tcPr>
            <w:tcW w:w="167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3" w:hanging="0"/>
              <w:jc w:val="center"/>
              <w:rPr>
                <w:color w:val="000000"/>
                <w:sz w:val="20"/>
                <w:szCs w:val="20"/>
              </w:rPr>
            </w:pPr>
            <w:r>
              <w:rPr>
                <w:color w:val="000000"/>
                <w:sz w:val="20"/>
                <w:szCs w:val="20"/>
              </w:rPr>
              <w:t>новое строительство</w:t>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га</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116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3,22</w:t>
            </w:r>
          </w:p>
        </w:tc>
        <w:tc>
          <w:tcPr>
            <w:tcW w:w="1256"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1399"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211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ind w:left="283" w:hanging="0"/>
              <w:jc w:val="center"/>
              <w:rPr>
                <w:sz w:val="20"/>
                <w:szCs w:val="20"/>
              </w:rPr>
            </w:pPr>
            <w:r>
              <w:rPr>
                <w:sz w:val="20"/>
                <w:szCs w:val="20"/>
              </w:rPr>
              <w:t>Проект внесения изменений в генеральный план Вахитовского СП</w:t>
            </w:r>
          </w:p>
        </w:tc>
      </w:tr>
      <w:tr>
        <w:trPr>
          <w:trHeight w:val="340" w:hRule="atLeast"/>
          <w:cantSplit w:val="true"/>
        </w:trPr>
        <w:tc>
          <w:tcPr>
            <w:tcW w:w="654"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1572"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2454"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1675"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тыс.кв.м</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116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3,84</w:t>
            </w:r>
          </w:p>
        </w:tc>
        <w:tc>
          <w:tcPr>
            <w:tcW w:w="1256"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1399"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211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left="283" w:hanging="0"/>
              <w:jc w:val="center"/>
              <w:rPr>
                <w:sz w:val="20"/>
                <w:szCs w:val="20"/>
              </w:rPr>
            </w:pPr>
            <w:r>
              <w:rPr>
                <w:sz w:val="20"/>
                <w:szCs w:val="20"/>
              </w:rPr>
            </w:r>
          </w:p>
        </w:tc>
      </w:tr>
      <w:tr>
        <w:trPr>
          <w:trHeight w:val="340" w:hRule="atLeast"/>
          <w:cantSplit w:val="true"/>
        </w:trPr>
        <w:tc>
          <w:tcPr>
            <w:tcW w:w="654"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7</w:t>
            </w:r>
          </w:p>
        </w:tc>
        <w:tc>
          <w:tcPr>
            <w:tcW w:w="1572"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д.Ватан</w:t>
            </w:r>
          </w:p>
        </w:tc>
        <w:tc>
          <w:tcPr>
            <w:tcW w:w="2454"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индивидуальный жилищный фонд в существующих границах населенного пункта</w:t>
            </w:r>
          </w:p>
        </w:tc>
        <w:tc>
          <w:tcPr>
            <w:tcW w:w="167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3" w:hanging="0"/>
              <w:jc w:val="center"/>
              <w:rPr>
                <w:color w:val="000000"/>
                <w:sz w:val="20"/>
                <w:szCs w:val="20"/>
              </w:rPr>
            </w:pPr>
            <w:r>
              <w:rPr>
                <w:color w:val="000000"/>
                <w:sz w:val="20"/>
                <w:szCs w:val="20"/>
              </w:rPr>
              <w:t>новое строительство</w:t>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га</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116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1</w:t>
            </w:r>
          </w:p>
        </w:tc>
        <w:tc>
          <w:tcPr>
            <w:tcW w:w="1256"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1399"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211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ind w:left="283" w:hanging="0"/>
              <w:jc w:val="center"/>
              <w:rPr>
                <w:sz w:val="20"/>
                <w:szCs w:val="20"/>
              </w:rPr>
            </w:pPr>
            <w:r>
              <w:rPr>
                <w:sz w:val="20"/>
                <w:szCs w:val="20"/>
              </w:rPr>
              <w:t>Проект внесения изменений в генеральный план Вахитовского СП</w:t>
            </w:r>
          </w:p>
        </w:tc>
      </w:tr>
      <w:tr>
        <w:trPr>
          <w:trHeight w:val="340" w:hRule="atLeast"/>
          <w:cantSplit w:val="true"/>
        </w:trPr>
        <w:tc>
          <w:tcPr>
            <w:tcW w:w="654"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1572"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2454"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1675"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тыс.кв.м</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116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1,2</w:t>
            </w:r>
          </w:p>
        </w:tc>
        <w:tc>
          <w:tcPr>
            <w:tcW w:w="1256"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1399"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211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left="283" w:hanging="0"/>
              <w:jc w:val="center"/>
              <w:rPr>
                <w:sz w:val="20"/>
                <w:szCs w:val="20"/>
              </w:rPr>
            </w:pPr>
            <w:r>
              <w:rPr>
                <w:sz w:val="20"/>
                <w:szCs w:val="20"/>
              </w:rPr>
            </w:r>
          </w:p>
        </w:tc>
      </w:tr>
      <w:tr>
        <w:trPr>
          <w:trHeight w:val="458" w:hRule="atLeast"/>
          <w:cantSplit w:val="true"/>
        </w:trPr>
        <w:tc>
          <w:tcPr>
            <w:tcW w:w="654"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8</w:t>
            </w:r>
          </w:p>
        </w:tc>
        <w:tc>
          <w:tcPr>
            <w:tcW w:w="1572"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д.Ватан</w:t>
            </w:r>
          </w:p>
        </w:tc>
        <w:tc>
          <w:tcPr>
            <w:tcW w:w="2454"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индивидуальный жилищный фонд в существующих границах населенного пункта</w:t>
            </w:r>
          </w:p>
        </w:tc>
        <w:tc>
          <w:tcPr>
            <w:tcW w:w="167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3" w:hanging="0"/>
              <w:jc w:val="center"/>
              <w:rPr>
                <w:color w:val="000000"/>
                <w:sz w:val="20"/>
                <w:szCs w:val="20"/>
              </w:rPr>
            </w:pPr>
            <w:r>
              <w:rPr>
                <w:color w:val="000000"/>
                <w:sz w:val="20"/>
                <w:szCs w:val="20"/>
              </w:rPr>
              <w:t>новое строительство</w:t>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га</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116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1,18</w:t>
            </w:r>
          </w:p>
        </w:tc>
        <w:tc>
          <w:tcPr>
            <w:tcW w:w="1256"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1399"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211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ind w:left="283" w:hanging="0"/>
              <w:jc w:val="center"/>
              <w:rPr>
                <w:sz w:val="20"/>
                <w:szCs w:val="20"/>
              </w:rPr>
            </w:pPr>
            <w:r>
              <w:rPr>
                <w:sz w:val="20"/>
                <w:szCs w:val="20"/>
              </w:rPr>
              <w:t>Проект внесения изменений в генеральный план Вахитовского СП</w:t>
            </w:r>
          </w:p>
        </w:tc>
      </w:tr>
      <w:tr>
        <w:trPr>
          <w:trHeight w:val="457" w:hRule="atLeast"/>
          <w:cantSplit w:val="true"/>
        </w:trPr>
        <w:tc>
          <w:tcPr>
            <w:tcW w:w="654"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1572"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2454"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167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3" w:hanging="0"/>
              <w:jc w:val="center"/>
              <w:rPr>
                <w:color w:val="000000"/>
                <w:sz w:val="20"/>
                <w:szCs w:val="20"/>
              </w:rPr>
            </w:pPr>
            <w:r>
              <w:rPr>
                <w:color w:val="000000"/>
                <w:sz w:val="20"/>
                <w:szCs w:val="20"/>
              </w:rPr>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тыс.кв.м</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116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1,32</w:t>
            </w:r>
          </w:p>
        </w:tc>
        <w:tc>
          <w:tcPr>
            <w:tcW w:w="1256"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1399"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211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left="283" w:hanging="0"/>
              <w:jc w:val="center"/>
              <w:rPr>
                <w:sz w:val="20"/>
                <w:szCs w:val="20"/>
              </w:rPr>
            </w:pPr>
            <w:r>
              <w:rPr>
                <w:sz w:val="20"/>
                <w:szCs w:val="20"/>
              </w:rPr>
            </w:r>
          </w:p>
        </w:tc>
      </w:tr>
      <w:tr>
        <w:trPr>
          <w:trHeight w:val="340" w:hRule="atLeast"/>
          <w:cantSplit w:val="true"/>
        </w:trPr>
        <w:tc>
          <w:tcPr>
            <w:tcW w:w="654"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9</w:t>
            </w:r>
          </w:p>
        </w:tc>
        <w:tc>
          <w:tcPr>
            <w:tcW w:w="1572"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д.Гребени</w:t>
            </w:r>
          </w:p>
        </w:tc>
        <w:tc>
          <w:tcPr>
            <w:tcW w:w="2454"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индивидуальный жилищный фонд в существующих границах населенного пункта</w:t>
            </w:r>
          </w:p>
        </w:tc>
        <w:tc>
          <w:tcPr>
            <w:tcW w:w="167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3" w:hanging="0"/>
              <w:jc w:val="center"/>
              <w:rPr>
                <w:color w:val="000000"/>
                <w:sz w:val="20"/>
                <w:szCs w:val="20"/>
              </w:rPr>
            </w:pPr>
            <w:r>
              <w:rPr>
                <w:color w:val="000000"/>
                <w:sz w:val="20"/>
                <w:szCs w:val="20"/>
              </w:rPr>
              <w:t>новое строительство</w:t>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га</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116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4,4</w:t>
            </w:r>
          </w:p>
        </w:tc>
        <w:tc>
          <w:tcPr>
            <w:tcW w:w="1256"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1399"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211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ind w:left="283" w:hanging="0"/>
              <w:jc w:val="center"/>
              <w:rPr>
                <w:sz w:val="20"/>
                <w:szCs w:val="20"/>
              </w:rPr>
            </w:pPr>
            <w:r>
              <w:rPr>
                <w:sz w:val="20"/>
                <w:szCs w:val="20"/>
              </w:rPr>
              <w:t>Проект внесения изменений в генеральный план Вахитовского СП</w:t>
            </w:r>
          </w:p>
        </w:tc>
      </w:tr>
      <w:tr>
        <w:trPr>
          <w:trHeight w:val="340" w:hRule="atLeast"/>
          <w:cantSplit w:val="true"/>
        </w:trPr>
        <w:tc>
          <w:tcPr>
            <w:tcW w:w="654"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1572"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2454"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1675"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тыс.кв.м</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116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5,28</w:t>
            </w:r>
          </w:p>
        </w:tc>
        <w:tc>
          <w:tcPr>
            <w:tcW w:w="1256"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1399"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211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left="283" w:hanging="0"/>
              <w:jc w:val="center"/>
              <w:rPr>
                <w:sz w:val="20"/>
                <w:szCs w:val="20"/>
              </w:rPr>
            </w:pPr>
            <w:r>
              <w:rPr>
                <w:sz w:val="20"/>
                <w:szCs w:val="20"/>
              </w:rPr>
            </w:r>
          </w:p>
        </w:tc>
      </w:tr>
      <w:tr>
        <w:trPr>
          <w:trHeight w:val="555" w:hRule="atLeast"/>
          <w:cantSplit w:val="true"/>
        </w:trPr>
        <w:tc>
          <w:tcPr>
            <w:tcW w:w="654"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10</w:t>
            </w:r>
          </w:p>
        </w:tc>
        <w:tc>
          <w:tcPr>
            <w:tcW w:w="1572"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д.Гребени</w:t>
            </w:r>
          </w:p>
        </w:tc>
        <w:tc>
          <w:tcPr>
            <w:tcW w:w="2454"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индивидуальный жилищный фонд в существующих границах населенного пункта</w:t>
            </w:r>
          </w:p>
        </w:tc>
        <w:tc>
          <w:tcPr>
            <w:tcW w:w="167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3" w:hanging="0"/>
              <w:jc w:val="center"/>
              <w:rPr>
                <w:color w:val="000000"/>
                <w:sz w:val="20"/>
                <w:szCs w:val="20"/>
              </w:rPr>
            </w:pPr>
            <w:r>
              <w:rPr>
                <w:color w:val="000000"/>
                <w:sz w:val="20"/>
                <w:szCs w:val="20"/>
              </w:rPr>
              <w:t>новое строительство</w:t>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га</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116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4,39</w:t>
            </w:r>
          </w:p>
        </w:tc>
        <w:tc>
          <w:tcPr>
            <w:tcW w:w="1256"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1399"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211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ind w:left="283" w:hanging="0"/>
              <w:jc w:val="center"/>
              <w:rPr>
                <w:sz w:val="20"/>
                <w:szCs w:val="20"/>
              </w:rPr>
            </w:pPr>
            <w:r>
              <w:rPr>
                <w:sz w:val="20"/>
                <w:szCs w:val="20"/>
              </w:rPr>
              <w:t>Проект внесения изменений в генеральный план Вахитовского СП</w:t>
            </w:r>
          </w:p>
        </w:tc>
      </w:tr>
      <w:tr>
        <w:trPr>
          <w:trHeight w:val="350" w:hRule="atLeast"/>
          <w:cantSplit w:val="true"/>
        </w:trPr>
        <w:tc>
          <w:tcPr>
            <w:tcW w:w="654"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1572"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2454"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167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283" w:hanging="0"/>
              <w:jc w:val="center"/>
              <w:rPr>
                <w:color w:val="000000"/>
                <w:sz w:val="20"/>
                <w:szCs w:val="20"/>
              </w:rPr>
            </w:pPr>
            <w:r>
              <w:rPr>
                <w:color w:val="000000"/>
                <w:sz w:val="20"/>
                <w:szCs w:val="20"/>
              </w:rPr>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тыс.кв.м</w:t>
            </w:r>
          </w:p>
        </w:tc>
        <w:tc>
          <w:tcPr>
            <w:tcW w:w="1163"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116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5,16</w:t>
            </w:r>
          </w:p>
        </w:tc>
        <w:tc>
          <w:tcPr>
            <w:tcW w:w="1256"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1399"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p>
        </w:tc>
        <w:tc>
          <w:tcPr>
            <w:tcW w:w="2117"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r>
            <w:bookmarkStart w:id="63" w:name="_Hlk151559971"/>
            <w:bookmarkStart w:id="64" w:name="_Hlk151559971"/>
            <w:bookmarkEnd w:id="64"/>
          </w:p>
        </w:tc>
      </w:tr>
    </w:tbl>
    <w:p>
      <w:pPr>
        <w:pStyle w:val="Normal"/>
        <w:ind w:left="283" w:firstLine="700"/>
        <w:jc w:val="center"/>
        <w:rPr>
          <w:szCs w:val="28"/>
        </w:rPr>
      </w:pPr>
      <w:r>
        <w:rPr>
          <w:szCs w:val="28"/>
        </w:rPr>
      </w:r>
    </w:p>
    <w:p>
      <w:pPr>
        <w:pStyle w:val="Style75"/>
        <w:rPr>
          <w:sz w:val="20"/>
          <w:szCs w:val="20"/>
        </w:rPr>
      </w:pPr>
      <w:r>
        <w:rPr>
          <w:sz w:val="20"/>
          <w:szCs w:val="20"/>
        </w:rPr>
      </w:r>
    </w:p>
    <w:p>
      <w:pPr>
        <w:sectPr>
          <w:footerReference w:type="default" r:id="rId6"/>
          <w:type w:val="nextPage"/>
          <w:pgSz w:orient="landscape" w:w="16838" w:h="11906"/>
          <w:pgMar w:left="1134" w:right="851" w:gutter="0" w:header="0" w:top="851" w:footer="709" w:bottom="851"/>
          <w:pgNumType w:fmt="decimal"/>
          <w:formProt w:val="false"/>
          <w:textDirection w:val="lrTb"/>
          <w:docGrid w:type="default" w:linePitch="360" w:charSpace="0"/>
        </w:sectPr>
        <w:pStyle w:val="Style75"/>
        <w:rPr>
          <w:sz w:val="20"/>
          <w:szCs w:val="20"/>
        </w:rPr>
      </w:pPr>
      <w:r>
        <w:rPr>
          <w:sz w:val="20"/>
          <w:szCs w:val="20"/>
        </w:rPr>
      </w:r>
    </w:p>
    <w:p>
      <w:pPr>
        <w:pStyle w:val="2"/>
        <w:numPr>
          <w:ilvl w:val="1"/>
          <w:numId w:val="3"/>
        </w:numPr>
        <w:ind w:left="0" w:hanging="720"/>
        <w:rPr/>
      </w:pPr>
      <w:bookmarkStart w:id="65" w:name="_Toc156489382"/>
      <w:r>
        <w:rPr/>
        <w:t>. Мероприятия по развитию системы обслуживания населения</w:t>
      </w:r>
      <w:bookmarkEnd w:id="65"/>
    </w:p>
    <w:p>
      <w:pPr>
        <w:pStyle w:val="Style30"/>
        <w:spacing w:before="0" w:after="0"/>
        <w:rPr>
          <w:szCs w:val="28"/>
        </w:rPr>
      </w:pPr>
      <w:r>
        <w:rPr>
          <w:szCs w:val="28"/>
        </w:rPr>
        <w:t xml:space="preserve">Одной из основных целей генерального плана </w:t>
      </w:r>
      <w:r>
        <w:rPr>
          <w:szCs w:val="28"/>
          <w:lang w:val="ru-RU"/>
        </w:rPr>
        <w:t>Вахитовского</w:t>
      </w:r>
      <w:r>
        <w:rPr>
          <w:szCs w:val="28"/>
        </w:rPr>
        <w:t xml:space="preserve"> сельского поселения является удовлетворение потребностей населения в объектах обслуживания с учетом прогнозируемых характеристик и социальных норм, а также обеспечение равных условий доступности объектов обслуживания для всех жителей.</w:t>
      </w:r>
    </w:p>
    <w:p>
      <w:pPr>
        <w:sectPr>
          <w:footerReference w:type="default" r:id="rId7"/>
          <w:footerReference w:type="first" r:id="rId8"/>
          <w:type w:val="nextPage"/>
          <w:pgSz w:w="11906" w:h="16838"/>
          <w:pgMar w:left="1134" w:right="851" w:gutter="0" w:header="0" w:top="851" w:footer="708" w:bottom="851"/>
          <w:pgNumType w:fmt="decimal"/>
          <w:formProt w:val="false"/>
          <w:textDirection w:val="lrTb"/>
          <w:docGrid w:type="default" w:linePitch="360" w:charSpace="0"/>
        </w:sectPr>
        <w:pStyle w:val="Style30"/>
        <w:spacing w:before="0" w:after="0"/>
        <w:rPr>
          <w:szCs w:val="28"/>
          <w:lang w:val="ru-RU"/>
        </w:rPr>
      </w:pPr>
      <w:r>
        <w:rPr>
          <w:szCs w:val="28"/>
          <w:lang w:val="ru-RU"/>
        </w:rPr>
        <w:t>Мероприятия по развитию системы обслуживания населения Вахитовского сельского поселения, предусмотренные генеральным планом, представлены в таблице 3.6.1.</w:t>
      </w:r>
    </w:p>
    <w:p>
      <w:pPr>
        <w:pStyle w:val="Normal"/>
        <w:jc w:val="right"/>
        <w:rPr/>
      </w:pPr>
      <w:r>
        <w:rPr/>
        <w:t>Таблица 3.6.1</w:t>
      </w:r>
    </w:p>
    <w:p>
      <w:pPr>
        <w:pStyle w:val="Style56"/>
        <w:rPr>
          <w:i w:val="false"/>
          <w:i w:val="false"/>
          <w:szCs w:val="28"/>
        </w:rPr>
      </w:pPr>
      <w:r>
        <w:rPr>
          <w:i w:val="false"/>
          <w:szCs w:val="28"/>
        </w:rPr>
        <w:t xml:space="preserve">Перечень мероприятий по развитию объектов социального и культурно-бытового обслуживания населения </w:t>
      </w:r>
    </w:p>
    <w:p>
      <w:pPr>
        <w:pStyle w:val="Style56"/>
        <w:rPr>
          <w:i w:val="false"/>
          <w:i w:val="false"/>
          <w:szCs w:val="28"/>
        </w:rPr>
      </w:pPr>
      <w:r>
        <w:rPr>
          <w:i w:val="false"/>
          <w:szCs w:val="28"/>
        </w:rPr>
        <w:t>Вахитовского сельского поселения</w:t>
      </w:r>
    </w:p>
    <w:p>
      <w:pPr>
        <w:pStyle w:val="Style56"/>
        <w:rPr>
          <w:i w:val="false"/>
          <w:i w:val="false"/>
        </w:rPr>
      </w:pPr>
      <w:r>
        <w:rPr>
          <w:i w:val="false"/>
        </w:rPr>
      </w:r>
    </w:p>
    <w:tbl>
      <w:tblPr>
        <w:tblW w:w="5000" w:type="pct"/>
        <w:jc w:val="center"/>
        <w:tblInd w:w="0" w:type="dxa"/>
        <w:tblLayout w:type="fixed"/>
        <w:tblCellMar>
          <w:top w:w="0" w:type="dxa"/>
          <w:left w:w="108" w:type="dxa"/>
          <w:bottom w:w="0" w:type="dxa"/>
          <w:right w:w="108" w:type="dxa"/>
        </w:tblCellMar>
        <w:tblLook w:noVBand="0" w:val="0000" w:noHBand="0" w:lastColumn="0" w:firstColumn="0" w:lastRow="0" w:firstRow="0"/>
      </w:tblPr>
      <w:tblGrid>
        <w:gridCol w:w="525"/>
        <w:gridCol w:w="1399"/>
        <w:gridCol w:w="1955"/>
        <w:gridCol w:w="1815"/>
        <w:gridCol w:w="1260"/>
        <w:gridCol w:w="1535"/>
        <w:gridCol w:w="1679"/>
        <w:gridCol w:w="1123"/>
        <w:gridCol w:w="1203"/>
        <w:gridCol w:w="50"/>
        <w:gridCol w:w="2307"/>
      </w:tblGrid>
      <w:tr>
        <w:trPr>
          <w:tblHeader w:val="true"/>
          <w:trHeight w:val="362" w:hRule="atLeast"/>
          <w:cantSplit w:val="true"/>
        </w:trPr>
        <w:tc>
          <w:tcPr>
            <w:tcW w:w="525"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 xml:space="preserve">№ </w:t>
            </w:r>
            <w:r>
              <w:rPr>
                <w:color w:val="000000"/>
                <w:sz w:val="20"/>
                <w:szCs w:val="20"/>
              </w:rPr>
              <w:t>п/п</w:t>
            </w:r>
          </w:p>
        </w:tc>
        <w:tc>
          <w:tcPr>
            <w:tcW w:w="1399"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Наименование населенного пункта, входящего в состав поселения</w:t>
            </w:r>
          </w:p>
        </w:tc>
        <w:tc>
          <w:tcPr>
            <w:tcW w:w="1955"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Наименование объекта</w:t>
            </w:r>
          </w:p>
        </w:tc>
        <w:tc>
          <w:tcPr>
            <w:tcW w:w="1815"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Вид мероприятия</w:t>
            </w:r>
          </w:p>
        </w:tc>
        <w:tc>
          <w:tcPr>
            <w:tcW w:w="1260"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Единица измерения</w:t>
            </w:r>
          </w:p>
        </w:tc>
        <w:tc>
          <w:tcPr>
            <w:tcW w:w="3214" w:type="dxa"/>
            <w:gridSpan w:val="2"/>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Мощность</w:t>
            </w:r>
          </w:p>
        </w:tc>
        <w:tc>
          <w:tcPr>
            <w:tcW w:w="2326" w:type="dxa"/>
            <w:gridSpan w:val="2"/>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Сроки реализации</w:t>
            </w:r>
          </w:p>
        </w:tc>
        <w:tc>
          <w:tcPr>
            <w:tcW w:w="2357"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Источник мероприятия (наименование документа)</w:t>
            </w:r>
          </w:p>
        </w:tc>
      </w:tr>
      <w:tr>
        <w:trPr>
          <w:tblHeader w:val="true"/>
          <w:trHeight w:val="381" w:hRule="atLeast"/>
          <w:cantSplit w:val="true"/>
        </w:trPr>
        <w:tc>
          <w:tcPr>
            <w:tcW w:w="525" w:type="dxa"/>
            <w:vMerge w:val="continue"/>
            <w:tcBorders>
              <w:top w:val="single" w:sz="4" w:space="0" w:color="000000"/>
              <w:left w:val="single" w:sz="4" w:space="0" w:color="000000"/>
              <w:bottom w:val="single" w:sz="4" w:space="0" w:color="000000"/>
              <w:right w:val="single" w:sz="4" w:space="0" w:color="000000"/>
            </w:tcBorders>
            <w:vAlign w:val="center"/>
          </w:tcPr>
          <w:p>
            <w:pPr>
              <w:pStyle w:val="Style76"/>
              <w:widowControl w:val="false"/>
              <w:rPr>
                <w:color w:val="FF0066"/>
                <w:sz w:val="20"/>
                <w:szCs w:val="20"/>
              </w:rPr>
            </w:pPr>
            <w:r>
              <w:rPr>
                <w:color w:val="FF0066"/>
                <w:sz w:val="20"/>
                <w:szCs w:val="20"/>
              </w:rPr>
            </w:r>
          </w:p>
        </w:tc>
        <w:tc>
          <w:tcPr>
            <w:tcW w:w="1399" w:type="dxa"/>
            <w:vMerge w:val="continue"/>
            <w:tcBorders>
              <w:top w:val="single" w:sz="4" w:space="0" w:color="000000"/>
              <w:left w:val="single" w:sz="4" w:space="0" w:color="000000"/>
              <w:bottom w:val="single" w:sz="4" w:space="0" w:color="000000"/>
              <w:right w:val="single" w:sz="4" w:space="0" w:color="000000"/>
            </w:tcBorders>
            <w:vAlign w:val="center"/>
          </w:tcPr>
          <w:p>
            <w:pPr>
              <w:pStyle w:val="Style76"/>
              <w:widowControl w:val="false"/>
              <w:rPr>
                <w:color w:val="FF0066"/>
                <w:sz w:val="20"/>
                <w:szCs w:val="20"/>
              </w:rPr>
            </w:pPr>
            <w:r>
              <w:rPr>
                <w:color w:val="FF0066"/>
                <w:sz w:val="20"/>
                <w:szCs w:val="20"/>
              </w:rPr>
            </w:r>
          </w:p>
        </w:tc>
        <w:tc>
          <w:tcPr>
            <w:tcW w:w="1955" w:type="dxa"/>
            <w:vMerge w:val="continue"/>
            <w:tcBorders>
              <w:top w:val="single" w:sz="4" w:space="0" w:color="000000"/>
              <w:left w:val="single" w:sz="4" w:space="0" w:color="000000"/>
              <w:bottom w:val="single" w:sz="4" w:space="0" w:color="000000"/>
              <w:right w:val="single" w:sz="4" w:space="0" w:color="000000"/>
            </w:tcBorders>
            <w:vAlign w:val="center"/>
          </w:tcPr>
          <w:p>
            <w:pPr>
              <w:pStyle w:val="Style76"/>
              <w:widowControl w:val="false"/>
              <w:rPr>
                <w:color w:val="FF0066"/>
                <w:sz w:val="20"/>
                <w:szCs w:val="20"/>
              </w:rPr>
            </w:pPr>
            <w:r>
              <w:rPr>
                <w:color w:val="FF0066"/>
                <w:sz w:val="20"/>
                <w:szCs w:val="20"/>
              </w:rPr>
            </w:r>
          </w:p>
        </w:tc>
        <w:tc>
          <w:tcPr>
            <w:tcW w:w="1815" w:type="dxa"/>
            <w:vMerge w:val="continue"/>
            <w:tcBorders>
              <w:top w:val="single" w:sz="4" w:space="0" w:color="000000"/>
              <w:left w:val="single" w:sz="4" w:space="0" w:color="000000"/>
              <w:bottom w:val="single" w:sz="4" w:space="0" w:color="000000"/>
              <w:right w:val="single" w:sz="4" w:space="0" w:color="000000"/>
            </w:tcBorders>
            <w:vAlign w:val="center"/>
          </w:tcPr>
          <w:p>
            <w:pPr>
              <w:pStyle w:val="Style76"/>
              <w:widowControl w:val="false"/>
              <w:rPr>
                <w:color w:val="FF0066"/>
                <w:sz w:val="20"/>
                <w:szCs w:val="20"/>
              </w:rPr>
            </w:pPr>
            <w:r>
              <w:rPr>
                <w:color w:val="FF0066"/>
                <w:sz w:val="20"/>
                <w:szCs w:val="20"/>
              </w:rPr>
            </w:r>
          </w:p>
        </w:tc>
        <w:tc>
          <w:tcPr>
            <w:tcW w:w="1260" w:type="dxa"/>
            <w:vMerge w:val="continue"/>
            <w:tcBorders>
              <w:top w:val="single" w:sz="4" w:space="0" w:color="000000"/>
              <w:left w:val="single" w:sz="4" w:space="0" w:color="000000"/>
              <w:bottom w:val="single" w:sz="4" w:space="0" w:color="000000"/>
              <w:right w:val="single" w:sz="4" w:space="0" w:color="000000"/>
            </w:tcBorders>
            <w:vAlign w:val="center"/>
          </w:tcPr>
          <w:p>
            <w:pPr>
              <w:pStyle w:val="Style76"/>
              <w:widowControl w:val="false"/>
              <w:rPr>
                <w:color w:val="FF0066"/>
                <w:sz w:val="20"/>
                <w:szCs w:val="20"/>
              </w:rPr>
            </w:pPr>
            <w:r>
              <w:rPr>
                <w:color w:val="FF0066"/>
                <w:sz w:val="20"/>
                <w:szCs w:val="20"/>
              </w:rPr>
            </w:r>
          </w:p>
        </w:tc>
        <w:tc>
          <w:tcPr>
            <w:tcW w:w="1535" w:type="dxa"/>
            <w:tcBorders>
              <w:top w:val="single" w:sz="4" w:space="0" w:color="000000"/>
              <w:left w:val="single" w:sz="4" w:space="0" w:color="000000"/>
              <w:bottom w:val="single" w:sz="4" w:space="0" w:color="000000"/>
              <w:right w:val="single" w:sz="4" w:space="0" w:color="000000"/>
            </w:tcBorders>
            <w:vAlign w:val="center"/>
          </w:tcPr>
          <w:p>
            <w:pPr>
              <w:pStyle w:val="Style76"/>
              <w:widowControl w:val="false"/>
              <w:jc w:val="center"/>
              <w:rPr>
                <w:color w:val="000000"/>
                <w:sz w:val="20"/>
                <w:szCs w:val="20"/>
              </w:rPr>
            </w:pPr>
            <w:r>
              <w:rPr>
                <w:color w:val="000000"/>
                <w:sz w:val="20"/>
                <w:szCs w:val="20"/>
              </w:rPr>
              <w:t>Существующая</w:t>
            </w:r>
          </w:p>
        </w:tc>
        <w:tc>
          <w:tcPr>
            <w:tcW w:w="1679" w:type="dxa"/>
            <w:tcBorders>
              <w:top w:val="single" w:sz="4" w:space="0" w:color="000000"/>
              <w:left w:val="single" w:sz="4" w:space="0" w:color="000000"/>
              <w:bottom w:val="single" w:sz="4" w:space="0" w:color="000000"/>
              <w:right w:val="single" w:sz="4" w:space="0" w:color="000000"/>
            </w:tcBorders>
            <w:vAlign w:val="center"/>
          </w:tcPr>
          <w:p>
            <w:pPr>
              <w:pStyle w:val="Style76"/>
              <w:widowControl w:val="false"/>
              <w:jc w:val="center"/>
              <w:rPr>
                <w:color w:val="000000"/>
                <w:sz w:val="20"/>
                <w:szCs w:val="20"/>
              </w:rPr>
            </w:pPr>
            <w:r>
              <w:rPr>
                <w:color w:val="000000"/>
                <w:sz w:val="20"/>
                <w:szCs w:val="20"/>
              </w:rPr>
              <w:t>Дополнительная</w:t>
            </w:r>
          </w:p>
        </w:tc>
        <w:tc>
          <w:tcPr>
            <w:tcW w:w="1123"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Первая очередь (до 2032 г.)</w:t>
            </w:r>
          </w:p>
        </w:tc>
        <w:tc>
          <w:tcPr>
            <w:tcW w:w="1203"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Расчетный срок</w:t>
            </w:r>
          </w:p>
          <w:p>
            <w:pPr>
              <w:pStyle w:val="Style75"/>
              <w:widowControl w:val="false"/>
              <w:rPr>
                <w:color w:val="000000"/>
                <w:sz w:val="20"/>
                <w:szCs w:val="20"/>
              </w:rPr>
            </w:pPr>
            <w:r>
              <w:rPr>
                <w:color w:val="000000"/>
                <w:sz w:val="20"/>
                <w:szCs w:val="20"/>
              </w:rPr>
              <w:t xml:space="preserve"> </w:t>
            </w:r>
            <w:r>
              <w:rPr>
                <w:color w:val="000000"/>
                <w:sz w:val="20"/>
                <w:szCs w:val="20"/>
              </w:rPr>
              <w:t>(2033-2047 гг.)</w:t>
            </w:r>
          </w:p>
        </w:tc>
        <w:tc>
          <w:tcPr>
            <w:tcW w:w="2357"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Style76"/>
              <w:widowControl w:val="false"/>
              <w:rPr>
                <w:color w:val="FF0066"/>
                <w:sz w:val="20"/>
                <w:szCs w:val="20"/>
              </w:rPr>
            </w:pPr>
            <w:r>
              <w:rPr>
                <w:color w:val="FF0066"/>
                <w:sz w:val="20"/>
                <w:szCs w:val="20"/>
              </w:rPr>
            </w:r>
          </w:p>
        </w:tc>
      </w:tr>
      <w:tr>
        <w:trPr>
          <w:trHeight w:val="273" w:hRule="atLeast"/>
          <w:cantSplit w:val="true"/>
        </w:trPr>
        <w:tc>
          <w:tcPr>
            <w:tcW w:w="14851" w:type="dxa"/>
            <w:gridSpan w:val="11"/>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b/>
                <w:color w:val="000000"/>
                <w:sz w:val="20"/>
                <w:szCs w:val="20"/>
              </w:rPr>
            </w:pPr>
            <w:r>
              <w:rPr>
                <w:b/>
                <w:caps/>
                <w:color w:val="000000"/>
                <w:sz w:val="20"/>
                <w:szCs w:val="20"/>
              </w:rPr>
              <w:t>МЕРОПРИЯТИЯ МЕСТНОГО (РАЙОННОГО) ЗНАЧЕНИЯ</w:t>
            </w:r>
          </w:p>
        </w:tc>
      </w:tr>
      <w:tr>
        <w:trPr>
          <w:trHeight w:val="273" w:hRule="atLeast"/>
          <w:cantSplit w:val="true"/>
        </w:trPr>
        <w:tc>
          <w:tcPr>
            <w:tcW w:w="14851" w:type="dxa"/>
            <w:gridSpan w:val="11"/>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b/>
                <w:caps/>
                <w:color w:val="000000"/>
                <w:sz w:val="20"/>
                <w:szCs w:val="20"/>
              </w:rPr>
            </w:pPr>
            <w:r>
              <w:rPr>
                <w:b/>
                <w:color w:val="000000"/>
                <w:sz w:val="20"/>
                <w:szCs w:val="20"/>
              </w:rPr>
              <w:t>Образовательные организации</w:t>
            </w:r>
          </w:p>
        </w:tc>
      </w:tr>
      <w:tr>
        <w:trPr>
          <w:trHeight w:val="273" w:hRule="atLeast"/>
          <w:cantSplit w:val="true"/>
        </w:trPr>
        <w:tc>
          <w:tcPr>
            <w:tcW w:w="52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1</w:t>
            </w:r>
          </w:p>
        </w:tc>
        <w:tc>
          <w:tcPr>
            <w:tcW w:w="1399"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д.им. Мулланура Вахитова</w:t>
            </w:r>
          </w:p>
        </w:tc>
        <w:tc>
          <w:tcPr>
            <w:tcW w:w="19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МБДОУ «Вахитовский детский сад»</w:t>
            </w:r>
          </w:p>
        </w:tc>
        <w:tc>
          <w:tcPr>
            <w:tcW w:w="181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Реконструкция с увеличением мощности</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мест</w:t>
            </w:r>
          </w:p>
        </w:tc>
        <w:tc>
          <w:tcPr>
            <w:tcW w:w="153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17</w:t>
            </w:r>
          </w:p>
        </w:tc>
        <w:tc>
          <w:tcPr>
            <w:tcW w:w="1679"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lang w:val="en-US"/>
              </w:rPr>
            </w:pPr>
            <w:r>
              <w:rPr>
                <w:color w:val="000000"/>
                <w:sz w:val="20"/>
                <w:szCs w:val="20"/>
                <w:lang w:val="en-US"/>
              </w:rPr>
              <w:t>28</w:t>
            </w:r>
          </w:p>
        </w:tc>
        <w:tc>
          <w:tcPr>
            <w:tcW w:w="1123"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1253" w:type="dxa"/>
            <w:gridSpan w:val="2"/>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2307" w:type="dxa"/>
            <w:tcBorders>
              <w:top w:val="single" w:sz="4" w:space="0" w:color="000000"/>
              <w:left w:val="single" w:sz="4" w:space="0" w:color="000000"/>
              <w:bottom w:val="single" w:sz="4" w:space="0" w:color="000000"/>
              <w:right w:val="single" w:sz="4" w:space="0" w:color="000000"/>
            </w:tcBorders>
          </w:tcPr>
          <w:p>
            <w:pPr>
              <w:pStyle w:val="114"/>
              <w:widowControl w:val="false"/>
              <w:rPr>
                <w:color w:val="000000"/>
                <w:sz w:val="20"/>
                <w:szCs w:val="20"/>
              </w:rPr>
            </w:pPr>
            <w:r>
              <w:rPr>
                <w:color w:val="000000"/>
                <w:sz w:val="20"/>
                <w:szCs w:val="20"/>
              </w:rPr>
              <w:t>Проект внесения изменений в генеральный план Вахитовского СП</w:t>
            </w:r>
          </w:p>
        </w:tc>
      </w:tr>
      <w:tr>
        <w:trPr>
          <w:trHeight w:val="273" w:hRule="atLeast"/>
          <w:cantSplit w:val="true"/>
        </w:trPr>
        <w:tc>
          <w:tcPr>
            <w:tcW w:w="52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2</w:t>
            </w:r>
          </w:p>
        </w:tc>
        <w:tc>
          <w:tcPr>
            <w:tcW w:w="1399"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п.Бакча-Сарай</w:t>
            </w:r>
          </w:p>
        </w:tc>
        <w:tc>
          <w:tcPr>
            <w:tcW w:w="195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МБОУ «Матюшинская СОШ»</w:t>
            </w:r>
          </w:p>
        </w:tc>
        <w:tc>
          <w:tcPr>
            <w:tcW w:w="181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Капитальный ремонт</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мест</w:t>
            </w:r>
          </w:p>
        </w:tc>
        <w:tc>
          <w:tcPr>
            <w:tcW w:w="153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162</w:t>
            </w:r>
          </w:p>
        </w:tc>
        <w:tc>
          <w:tcPr>
            <w:tcW w:w="1679"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1123"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1253" w:type="dxa"/>
            <w:gridSpan w:val="2"/>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2307" w:type="dxa"/>
            <w:tcBorders>
              <w:top w:val="single" w:sz="4" w:space="0" w:color="000000"/>
              <w:left w:val="single" w:sz="4" w:space="0" w:color="000000"/>
              <w:bottom w:val="single" w:sz="4" w:space="0" w:color="000000"/>
              <w:right w:val="single" w:sz="4" w:space="0" w:color="000000"/>
            </w:tcBorders>
          </w:tcPr>
          <w:p>
            <w:pPr>
              <w:pStyle w:val="114"/>
              <w:widowControl w:val="false"/>
              <w:rPr>
                <w:color w:val="000000"/>
                <w:sz w:val="20"/>
                <w:szCs w:val="20"/>
              </w:rPr>
            </w:pPr>
            <w:r>
              <w:rPr>
                <w:color w:val="000000"/>
                <w:sz w:val="20"/>
                <w:szCs w:val="20"/>
              </w:rPr>
              <w:t>Проект внесения изменений в генеральный план Вахитовского СП</w:t>
            </w:r>
          </w:p>
        </w:tc>
      </w:tr>
      <w:tr>
        <w:trPr>
          <w:trHeight w:val="273" w:hRule="atLeast"/>
          <w:cantSplit w:val="true"/>
        </w:trPr>
        <w:tc>
          <w:tcPr>
            <w:tcW w:w="14851" w:type="dxa"/>
            <w:gridSpan w:val="11"/>
            <w:tcBorders>
              <w:top w:val="single" w:sz="4" w:space="0" w:color="000000"/>
              <w:left w:val="single" w:sz="4" w:space="0" w:color="000000"/>
              <w:bottom w:val="single" w:sz="4" w:space="0" w:color="000000"/>
              <w:right w:val="single" w:sz="4" w:space="0" w:color="000000"/>
            </w:tcBorders>
            <w:vAlign w:val="center"/>
          </w:tcPr>
          <w:p>
            <w:pPr>
              <w:pStyle w:val="114"/>
              <w:widowControl w:val="false"/>
              <w:rPr>
                <w:b/>
                <w:color w:val="000000"/>
                <w:sz w:val="20"/>
                <w:szCs w:val="20"/>
              </w:rPr>
            </w:pPr>
            <w:r>
              <w:rPr>
                <w:b/>
                <w:color w:val="000000"/>
                <w:sz w:val="20"/>
                <w:szCs w:val="20"/>
              </w:rPr>
              <w:t>Лечебно-профилактические медицинские организации</w:t>
            </w:r>
          </w:p>
        </w:tc>
      </w:tr>
      <w:tr>
        <w:trPr>
          <w:trHeight w:val="502" w:hRule="atLeast"/>
          <w:cantSplit w:val="true"/>
        </w:trPr>
        <w:tc>
          <w:tcPr>
            <w:tcW w:w="52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1</w:t>
            </w:r>
          </w:p>
        </w:tc>
        <w:tc>
          <w:tcPr>
            <w:tcW w:w="1399"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п.Бакча-Сарай</w:t>
            </w:r>
          </w:p>
        </w:tc>
        <w:tc>
          <w:tcPr>
            <w:tcW w:w="195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Фельдшерско-акушерский пункт</w:t>
            </w:r>
          </w:p>
        </w:tc>
        <w:tc>
          <w:tcPr>
            <w:tcW w:w="181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Новое строительство</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Посещений в смену</w:t>
            </w:r>
          </w:p>
        </w:tc>
        <w:tc>
          <w:tcPr>
            <w:tcW w:w="153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15</w:t>
            </w:r>
          </w:p>
        </w:tc>
        <w:tc>
          <w:tcPr>
            <w:tcW w:w="1679"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1123"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1203"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2357" w:type="dxa"/>
            <w:gridSpan w:val="2"/>
            <w:tcBorders>
              <w:top w:val="single" w:sz="4" w:space="0" w:color="000000"/>
              <w:left w:val="single" w:sz="4" w:space="0" w:color="000000"/>
              <w:bottom w:val="single" w:sz="4" w:space="0" w:color="000000"/>
              <w:right w:val="single" w:sz="4" w:space="0" w:color="000000"/>
            </w:tcBorders>
          </w:tcPr>
          <w:p>
            <w:pPr>
              <w:pStyle w:val="114"/>
              <w:widowControl w:val="false"/>
              <w:rPr>
                <w:color w:val="000000"/>
                <w:sz w:val="20"/>
                <w:szCs w:val="20"/>
              </w:rPr>
            </w:pPr>
            <w:r>
              <w:rPr>
                <w:color w:val="000000"/>
                <w:sz w:val="20"/>
                <w:szCs w:val="20"/>
              </w:rPr>
              <w:t>Проект внесения изменений в генеральный план Вахитовского СП</w:t>
            </w:r>
          </w:p>
        </w:tc>
      </w:tr>
      <w:tr>
        <w:trPr>
          <w:trHeight w:val="273" w:hRule="atLeast"/>
          <w:cantSplit w:val="true"/>
        </w:trPr>
        <w:tc>
          <w:tcPr>
            <w:tcW w:w="14851" w:type="dxa"/>
            <w:gridSpan w:val="11"/>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b/>
                <w:color w:val="000000"/>
                <w:sz w:val="20"/>
                <w:szCs w:val="20"/>
              </w:rPr>
            </w:pPr>
            <w:r>
              <w:rPr>
                <w:b/>
                <w:color w:val="000000"/>
                <w:sz w:val="20"/>
                <w:szCs w:val="20"/>
              </w:rPr>
              <w:t>Спортивные залы</w:t>
            </w:r>
          </w:p>
        </w:tc>
      </w:tr>
      <w:tr>
        <w:trPr>
          <w:trHeight w:val="273" w:hRule="atLeast"/>
          <w:cantSplit w:val="true"/>
        </w:trPr>
        <w:tc>
          <w:tcPr>
            <w:tcW w:w="52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1</w:t>
            </w:r>
          </w:p>
        </w:tc>
        <w:tc>
          <w:tcPr>
            <w:tcW w:w="1399"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п.Бакча-Сарай</w:t>
            </w:r>
          </w:p>
        </w:tc>
        <w:tc>
          <w:tcPr>
            <w:tcW w:w="195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ind w:left="-57" w:right="-57" w:hanging="0"/>
              <w:rPr>
                <w:color w:val="000000"/>
                <w:sz w:val="20"/>
                <w:szCs w:val="20"/>
              </w:rPr>
            </w:pPr>
            <w:r>
              <w:rPr>
                <w:color w:val="000000"/>
                <w:sz w:val="20"/>
                <w:szCs w:val="20"/>
              </w:rPr>
              <w:t>Спортивный зал в составе СОШ</w:t>
            </w:r>
          </w:p>
        </w:tc>
        <w:tc>
          <w:tcPr>
            <w:tcW w:w="181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Организационное</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объект</w:t>
            </w:r>
          </w:p>
        </w:tc>
        <w:tc>
          <w:tcPr>
            <w:tcW w:w="153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1679"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1</w:t>
            </w:r>
          </w:p>
        </w:tc>
        <w:tc>
          <w:tcPr>
            <w:tcW w:w="1123"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1203"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2357" w:type="dxa"/>
            <w:gridSpan w:val="2"/>
            <w:tcBorders>
              <w:top w:val="single" w:sz="4" w:space="0" w:color="000000"/>
              <w:left w:val="single" w:sz="4" w:space="0" w:color="000000"/>
              <w:bottom w:val="single" w:sz="4" w:space="0" w:color="000000"/>
              <w:right w:val="single" w:sz="4" w:space="0" w:color="000000"/>
            </w:tcBorders>
          </w:tcPr>
          <w:p>
            <w:pPr>
              <w:pStyle w:val="114"/>
              <w:widowControl w:val="false"/>
              <w:rPr>
                <w:color w:val="000000"/>
                <w:sz w:val="20"/>
                <w:szCs w:val="20"/>
              </w:rPr>
            </w:pPr>
            <w:r>
              <w:rPr>
                <w:color w:val="000000"/>
                <w:sz w:val="20"/>
                <w:szCs w:val="20"/>
              </w:rPr>
              <w:t>Проект внесения изменений в генеральный план Вахитовского СП</w:t>
            </w:r>
          </w:p>
        </w:tc>
      </w:tr>
      <w:tr>
        <w:trPr>
          <w:trHeight w:val="113" w:hRule="atLeast"/>
          <w:cantSplit w:val="true"/>
        </w:trPr>
        <w:tc>
          <w:tcPr>
            <w:tcW w:w="14851" w:type="dxa"/>
            <w:gridSpan w:val="11"/>
            <w:tcBorders>
              <w:top w:val="single" w:sz="4" w:space="0" w:color="000000"/>
              <w:left w:val="single" w:sz="4" w:space="0" w:color="000000"/>
              <w:bottom w:val="single" w:sz="4" w:space="0" w:color="000000"/>
              <w:right w:val="single" w:sz="4" w:space="0" w:color="000000"/>
            </w:tcBorders>
            <w:vAlign w:val="center"/>
          </w:tcPr>
          <w:p>
            <w:pPr>
              <w:pStyle w:val="114"/>
              <w:widowControl w:val="false"/>
              <w:rPr>
                <w:b/>
                <w:caps/>
                <w:color w:val="000000"/>
                <w:sz w:val="20"/>
                <w:szCs w:val="20"/>
              </w:rPr>
            </w:pPr>
            <w:r>
              <w:rPr>
                <w:b/>
                <w:caps/>
                <w:color w:val="000000"/>
                <w:sz w:val="20"/>
                <w:szCs w:val="20"/>
              </w:rPr>
              <w:t>МЕРОПРИЯТИЯ Местного значения (Поселения)</w:t>
            </w:r>
          </w:p>
        </w:tc>
      </w:tr>
      <w:tr>
        <w:trPr>
          <w:trHeight w:val="273" w:hRule="atLeast"/>
          <w:cantSplit w:val="true"/>
        </w:trPr>
        <w:tc>
          <w:tcPr>
            <w:tcW w:w="14851" w:type="dxa"/>
            <w:gridSpan w:val="11"/>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b/>
                <w:color w:val="000000"/>
                <w:sz w:val="20"/>
                <w:szCs w:val="20"/>
              </w:rPr>
            </w:pPr>
            <w:r>
              <w:rPr>
                <w:b/>
                <w:color w:val="000000"/>
                <w:sz w:val="20"/>
                <w:szCs w:val="20"/>
              </w:rPr>
              <w:t>Учреждения культуры и досуга</w:t>
            </w:r>
          </w:p>
        </w:tc>
      </w:tr>
      <w:tr>
        <w:trPr>
          <w:trHeight w:val="273" w:hRule="atLeast"/>
          <w:cantSplit w:val="true"/>
        </w:trPr>
        <w:tc>
          <w:tcPr>
            <w:tcW w:w="52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1</w:t>
            </w:r>
          </w:p>
        </w:tc>
        <w:tc>
          <w:tcPr>
            <w:tcW w:w="1399"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д.им. Мулланура Вахитова</w:t>
            </w:r>
          </w:p>
        </w:tc>
        <w:tc>
          <w:tcPr>
            <w:tcW w:w="195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Вахитовский СДК</w:t>
            </w:r>
          </w:p>
        </w:tc>
        <w:tc>
          <w:tcPr>
            <w:tcW w:w="181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Реконструкция с увеличением мощности</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мест</w:t>
            </w:r>
          </w:p>
        </w:tc>
        <w:tc>
          <w:tcPr>
            <w:tcW w:w="153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100</w:t>
            </w:r>
          </w:p>
        </w:tc>
        <w:tc>
          <w:tcPr>
            <w:tcW w:w="1679"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50</w:t>
            </w:r>
          </w:p>
        </w:tc>
        <w:tc>
          <w:tcPr>
            <w:tcW w:w="1123"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1253" w:type="dxa"/>
            <w:gridSpan w:val="2"/>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2307" w:type="dxa"/>
            <w:tcBorders>
              <w:top w:val="single" w:sz="4" w:space="0" w:color="000000"/>
              <w:left w:val="single" w:sz="4" w:space="0" w:color="000000"/>
              <w:bottom w:val="single" w:sz="4" w:space="0" w:color="000000"/>
              <w:right w:val="single" w:sz="4" w:space="0" w:color="000000"/>
            </w:tcBorders>
          </w:tcPr>
          <w:p>
            <w:pPr>
              <w:pStyle w:val="114"/>
              <w:widowControl w:val="false"/>
              <w:rPr>
                <w:color w:val="000000"/>
                <w:sz w:val="20"/>
                <w:szCs w:val="20"/>
              </w:rPr>
            </w:pPr>
            <w:r>
              <w:rPr>
                <w:color w:val="000000"/>
                <w:sz w:val="20"/>
                <w:szCs w:val="20"/>
              </w:rPr>
              <w:t>Проект внесения изменений в генеральный план Вахитовского СП</w:t>
            </w:r>
          </w:p>
        </w:tc>
      </w:tr>
      <w:tr>
        <w:trPr>
          <w:trHeight w:val="232" w:hRule="atLeast"/>
          <w:cantSplit w:val="true"/>
        </w:trPr>
        <w:tc>
          <w:tcPr>
            <w:tcW w:w="52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2</w:t>
            </w:r>
          </w:p>
        </w:tc>
        <w:tc>
          <w:tcPr>
            <w:tcW w:w="1399"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п.Бакча-Сарай</w:t>
            </w:r>
          </w:p>
        </w:tc>
        <w:tc>
          <w:tcPr>
            <w:tcW w:w="195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Дом культуры</w:t>
            </w:r>
          </w:p>
        </w:tc>
        <w:tc>
          <w:tcPr>
            <w:tcW w:w="181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Реконструкция с увеличением мощности</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мест</w:t>
            </w:r>
          </w:p>
        </w:tc>
        <w:tc>
          <w:tcPr>
            <w:tcW w:w="153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50</w:t>
            </w:r>
          </w:p>
        </w:tc>
        <w:tc>
          <w:tcPr>
            <w:tcW w:w="1679"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123</w:t>
            </w:r>
          </w:p>
        </w:tc>
        <w:tc>
          <w:tcPr>
            <w:tcW w:w="1123"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1253" w:type="dxa"/>
            <w:gridSpan w:val="2"/>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2307" w:type="dxa"/>
            <w:tcBorders>
              <w:top w:val="single" w:sz="4" w:space="0" w:color="000000"/>
              <w:left w:val="single" w:sz="4" w:space="0" w:color="000000"/>
              <w:bottom w:val="single" w:sz="4" w:space="0" w:color="000000"/>
              <w:right w:val="single" w:sz="4" w:space="0" w:color="000000"/>
            </w:tcBorders>
          </w:tcPr>
          <w:p>
            <w:pPr>
              <w:pStyle w:val="114"/>
              <w:widowControl w:val="false"/>
              <w:rPr>
                <w:color w:val="000000"/>
                <w:sz w:val="20"/>
                <w:szCs w:val="20"/>
              </w:rPr>
            </w:pPr>
            <w:r>
              <w:rPr>
                <w:color w:val="000000"/>
                <w:sz w:val="20"/>
                <w:szCs w:val="20"/>
              </w:rPr>
              <w:t>Проект внесения изменений в генеральный план Вахитовского СП</w:t>
            </w:r>
          </w:p>
        </w:tc>
      </w:tr>
      <w:tr>
        <w:trPr>
          <w:trHeight w:val="273" w:hRule="atLeast"/>
          <w:cantSplit w:val="true"/>
        </w:trPr>
        <w:tc>
          <w:tcPr>
            <w:tcW w:w="14851" w:type="dxa"/>
            <w:gridSpan w:val="11"/>
            <w:tcBorders>
              <w:top w:val="single" w:sz="4" w:space="0" w:color="000000"/>
              <w:left w:val="single" w:sz="4" w:space="0" w:color="000000"/>
              <w:bottom w:val="single" w:sz="4" w:space="0" w:color="000000"/>
              <w:right w:val="single" w:sz="4" w:space="0" w:color="000000"/>
            </w:tcBorders>
            <w:vAlign w:val="center"/>
          </w:tcPr>
          <w:p>
            <w:pPr>
              <w:pStyle w:val="114"/>
              <w:widowControl w:val="false"/>
              <w:rPr>
                <w:b/>
                <w:color w:val="000000"/>
                <w:sz w:val="20"/>
                <w:szCs w:val="20"/>
              </w:rPr>
            </w:pPr>
            <w:r>
              <w:rPr>
                <w:b/>
                <w:color w:val="000000"/>
                <w:sz w:val="20"/>
                <w:szCs w:val="20"/>
              </w:rPr>
              <w:t>Плоскостные спортивные сооружения</w:t>
            </w:r>
          </w:p>
        </w:tc>
      </w:tr>
      <w:tr>
        <w:trPr>
          <w:trHeight w:val="273" w:hRule="atLeast"/>
          <w:cantSplit w:val="true"/>
        </w:trPr>
        <w:tc>
          <w:tcPr>
            <w:tcW w:w="52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1</w:t>
            </w:r>
          </w:p>
        </w:tc>
        <w:tc>
          <w:tcPr>
            <w:tcW w:w="1399"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с.Ташевка</w:t>
            </w:r>
          </w:p>
        </w:tc>
        <w:tc>
          <w:tcPr>
            <w:tcW w:w="195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ind w:left="-57" w:right="-57" w:hanging="0"/>
              <w:rPr>
                <w:color w:val="000000"/>
                <w:sz w:val="20"/>
                <w:szCs w:val="20"/>
              </w:rPr>
            </w:pPr>
            <w:r>
              <w:rPr>
                <w:color w:val="000000"/>
                <w:sz w:val="20"/>
                <w:szCs w:val="20"/>
              </w:rPr>
              <w:t>Спортивная площадка</w:t>
            </w:r>
          </w:p>
        </w:tc>
        <w:tc>
          <w:tcPr>
            <w:tcW w:w="181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Новое строительство</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объект</w:t>
            </w:r>
          </w:p>
        </w:tc>
        <w:tc>
          <w:tcPr>
            <w:tcW w:w="153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1679"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1</w:t>
            </w:r>
          </w:p>
        </w:tc>
        <w:tc>
          <w:tcPr>
            <w:tcW w:w="1123"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1203"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2357" w:type="dxa"/>
            <w:gridSpan w:val="2"/>
            <w:tcBorders>
              <w:top w:val="single" w:sz="4" w:space="0" w:color="000000"/>
              <w:left w:val="single" w:sz="4" w:space="0" w:color="000000"/>
              <w:bottom w:val="single" w:sz="4" w:space="0" w:color="000000"/>
              <w:right w:val="single" w:sz="4" w:space="0" w:color="000000"/>
            </w:tcBorders>
          </w:tcPr>
          <w:p>
            <w:pPr>
              <w:pStyle w:val="114"/>
              <w:widowControl w:val="false"/>
              <w:rPr>
                <w:color w:val="000000"/>
                <w:sz w:val="20"/>
                <w:szCs w:val="20"/>
              </w:rPr>
            </w:pPr>
            <w:r>
              <w:rPr>
                <w:color w:val="000000"/>
                <w:sz w:val="20"/>
                <w:szCs w:val="20"/>
              </w:rPr>
              <w:t>Проект внесения изменений в генеральный план Вахитовского СП</w:t>
            </w:r>
          </w:p>
        </w:tc>
      </w:tr>
      <w:tr>
        <w:trPr>
          <w:trHeight w:val="68" w:hRule="atLeast"/>
          <w:cantSplit w:val="true"/>
        </w:trPr>
        <w:tc>
          <w:tcPr>
            <w:tcW w:w="14851" w:type="dxa"/>
            <w:gridSpan w:val="11"/>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b/>
                <w:color w:val="000000"/>
                <w:sz w:val="20"/>
                <w:szCs w:val="20"/>
              </w:rPr>
            </w:pPr>
            <w:r>
              <w:rPr>
                <w:b/>
                <w:color w:val="000000"/>
                <w:sz w:val="20"/>
                <w:szCs w:val="20"/>
              </w:rPr>
              <w:t>Предприятия торговли и общественного питания</w:t>
            </w:r>
          </w:p>
        </w:tc>
      </w:tr>
      <w:tr>
        <w:trPr>
          <w:trHeight w:val="68" w:hRule="atLeast"/>
          <w:cantSplit w:val="true"/>
        </w:trPr>
        <w:tc>
          <w:tcPr>
            <w:tcW w:w="5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1</w:t>
            </w:r>
          </w:p>
        </w:tc>
        <w:tc>
          <w:tcPr>
            <w:tcW w:w="13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п.Бакча-Сарай</w:t>
            </w:r>
          </w:p>
        </w:tc>
        <w:tc>
          <w:tcPr>
            <w:tcW w:w="195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Предприятия общественного питания в составе проектируемого общественного центра</w:t>
            </w:r>
          </w:p>
        </w:tc>
        <w:tc>
          <w:tcPr>
            <w:tcW w:w="181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Организационное</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посадочных мест</w:t>
            </w:r>
          </w:p>
        </w:tc>
        <w:tc>
          <w:tcPr>
            <w:tcW w:w="15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w:t>
            </w:r>
          </w:p>
        </w:tc>
        <w:tc>
          <w:tcPr>
            <w:tcW w:w="16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43</w:t>
            </w:r>
          </w:p>
        </w:tc>
        <w:tc>
          <w:tcPr>
            <w:tcW w:w="11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w:t>
            </w:r>
          </w:p>
        </w:tc>
        <w:tc>
          <w:tcPr>
            <w:tcW w:w="125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w:t>
            </w:r>
          </w:p>
        </w:tc>
        <w:tc>
          <w:tcPr>
            <w:tcW w:w="2307" w:type="dxa"/>
            <w:tcBorders>
              <w:top w:val="single" w:sz="4" w:space="0" w:color="000000"/>
              <w:left w:val="single" w:sz="4" w:space="0" w:color="000000"/>
              <w:bottom w:val="single" w:sz="4" w:space="0" w:color="000000"/>
              <w:right w:val="single" w:sz="4" w:space="0" w:color="000000"/>
            </w:tcBorders>
            <w:vAlign w:val="center"/>
          </w:tcPr>
          <w:p>
            <w:pPr>
              <w:pStyle w:val="114"/>
              <w:widowControl w:val="false"/>
              <w:rPr>
                <w:color w:val="000000"/>
                <w:sz w:val="20"/>
                <w:szCs w:val="20"/>
              </w:rPr>
            </w:pPr>
            <w:r>
              <w:rPr>
                <w:color w:val="000000"/>
                <w:sz w:val="20"/>
                <w:szCs w:val="20"/>
              </w:rPr>
              <w:t>Проект внесения изменений в генеральный план Вахитовского СП</w:t>
            </w:r>
          </w:p>
        </w:tc>
      </w:tr>
      <w:tr>
        <w:trPr>
          <w:trHeight w:val="68" w:hRule="atLeast"/>
          <w:cantSplit w:val="true"/>
        </w:trPr>
        <w:tc>
          <w:tcPr>
            <w:tcW w:w="14851" w:type="dxa"/>
            <w:gridSpan w:val="11"/>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b/>
                <w:color w:val="000000"/>
                <w:sz w:val="20"/>
                <w:szCs w:val="20"/>
              </w:rPr>
            </w:pPr>
            <w:r>
              <w:rPr>
                <w:b/>
                <w:color w:val="000000"/>
                <w:sz w:val="20"/>
                <w:szCs w:val="20"/>
              </w:rPr>
              <w:t>Предприятия бытового обслуживания</w:t>
            </w:r>
          </w:p>
        </w:tc>
      </w:tr>
      <w:tr>
        <w:trPr>
          <w:trHeight w:val="113" w:hRule="atLeast"/>
          <w:cantSplit w:val="true"/>
        </w:trPr>
        <w:tc>
          <w:tcPr>
            <w:tcW w:w="52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1</w:t>
            </w:r>
          </w:p>
        </w:tc>
        <w:tc>
          <w:tcPr>
            <w:tcW w:w="1399"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п.Бакча-Сарай</w:t>
            </w:r>
          </w:p>
        </w:tc>
        <w:tc>
          <w:tcPr>
            <w:tcW w:w="19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Предприятия бытового обслуживания в составе проектируемого общественного центра</w:t>
            </w:r>
          </w:p>
        </w:tc>
        <w:tc>
          <w:tcPr>
            <w:tcW w:w="181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Организационное</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раб. мест</w:t>
            </w:r>
          </w:p>
        </w:tc>
        <w:tc>
          <w:tcPr>
            <w:tcW w:w="15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w:t>
            </w:r>
          </w:p>
        </w:tc>
        <w:tc>
          <w:tcPr>
            <w:tcW w:w="16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7</w:t>
            </w:r>
          </w:p>
        </w:tc>
        <w:tc>
          <w:tcPr>
            <w:tcW w:w="11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w:t>
            </w:r>
          </w:p>
        </w:tc>
        <w:tc>
          <w:tcPr>
            <w:tcW w:w="12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w:t>
            </w:r>
          </w:p>
        </w:tc>
        <w:tc>
          <w:tcPr>
            <w:tcW w:w="2357" w:type="dxa"/>
            <w:gridSpan w:val="2"/>
            <w:tcBorders>
              <w:top w:val="single" w:sz="4" w:space="0" w:color="000000"/>
              <w:left w:val="single" w:sz="4" w:space="0" w:color="000000"/>
              <w:bottom w:val="single" w:sz="4" w:space="0" w:color="000000"/>
              <w:right w:val="single" w:sz="4" w:space="0" w:color="000000"/>
            </w:tcBorders>
            <w:vAlign w:val="center"/>
          </w:tcPr>
          <w:p>
            <w:pPr>
              <w:pStyle w:val="114"/>
              <w:widowControl w:val="false"/>
              <w:rPr>
                <w:color w:val="000000"/>
                <w:sz w:val="20"/>
                <w:szCs w:val="20"/>
              </w:rPr>
            </w:pPr>
            <w:r>
              <w:rPr>
                <w:color w:val="000000"/>
                <w:sz w:val="20"/>
                <w:szCs w:val="20"/>
              </w:rPr>
              <w:t>Проект внесения изменений в генеральный план Вахитовского СП</w:t>
            </w:r>
          </w:p>
        </w:tc>
      </w:tr>
      <w:tr>
        <w:trPr>
          <w:trHeight w:val="113" w:hRule="atLeast"/>
          <w:cantSplit w:val="true"/>
        </w:trPr>
        <w:tc>
          <w:tcPr>
            <w:tcW w:w="14851" w:type="dxa"/>
            <w:gridSpan w:val="11"/>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b/>
                <w:color w:val="000000"/>
                <w:sz w:val="20"/>
                <w:szCs w:val="20"/>
              </w:rPr>
            </w:pPr>
            <w:r>
              <w:rPr>
                <w:b/>
                <w:color w:val="000000"/>
                <w:sz w:val="20"/>
                <w:szCs w:val="20"/>
              </w:rPr>
              <w:t>Отделения банков</w:t>
            </w:r>
          </w:p>
        </w:tc>
      </w:tr>
      <w:tr>
        <w:trPr>
          <w:trHeight w:val="113" w:hRule="atLeast"/>
          <w:cantSplit w:val="true"/>
        </w:trPr>
        <w:tc>
          <w:tcPr>
            <w:tcW w:w="52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1</w:t>
            </w:r>
          </w:p>
        </w:tc>
        <w:tc>
          <w:tcPr>
            <w:tcW w:w="1399"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п.Бакча-Сарай</w:t>
            </w:r>
          </w:p>
        </w:tc>
        <w:tc>
          <w:tcPr>
            <w:tcW w:w="19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Отделение банка в составе проектируемого общественного центра</w:t>
            </w:r>
          </w:p>
        </w:tc>
        <w:tc>
          <w:tcPr>
            <w:tcW w:w="181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Организационное</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операционное место</w:t>
            </w:r>
          </w:p>
        </w:tc>
        <w:tc>
          <w:tcPr>
            <w:tcW w:w="15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w:t>
            </w:r>
          </w:p>
        </w:tc>
        <w:tc>
          <w:tcPr>
            <w:tcW w:w="16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1</w:t>
            </w:r>
          </w:p>
        </w:tc>
        <w:tc>
          <w:tcPr>
            <w:tcW w:w="11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w:t>
            </w:r>
          </w:p>
        </w:tc>
        <w:tc>
          <w:tcPr>
            <w:tcW w:w="12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w:t>
            </w:r>
          </w:p>
        </w:tc>
        <w:tc>
          <w:tcPr>
            <w:tcW w:w="2357" w:type="dxa"/>
            <w:gridSpan w:val="2"/>
            <w:tcBorders>
              <w:top w:val="single" w:sz="4" w:space="0" w:color="000000"/>
              <w:left w:val="single" w:sz="4" w:space="0" w:color="000000"/>
              <w:bottom w:val="single" w:sz="4" w:space="0" w:color="000000"/>
              <w:right w:val="single" w:sz="4" w:space="0" w:color="000000"/>
            </w:tcBorders>
            <w:vAlign w:val="center"/>
          </w:tcPr>
          <w:p>
            <w:pPr>
              <w:pStyle w:val="114"/>
              <w:widowControl w:val="false"/>
              <w:rPr>
                <w:color w:val="000000"/>
                <w:sz w:val="20"/>
                <w:szCs w:val="20"/>
              </w:rPr>
            </w:pPr>
            <w:r>
              <w:rPr>
                <w:color w:val="000000"/>
                <w:sz w:val="20"/>
                <w:szCs w:val="20"/>
              </w:rPr>
              <w:t>Проект внесения изменений в генеральный план Вахитовского СП</w:t>
            </w:r>
          </w:p>
        </w:tc>
      </w:tr>
      <w:tr>
        <w:trPr>
          <w:trHeight w:val="113" w:hRule="atLeast"/>
          <w:cantSplit w:val="true"/>
        </w:trPr>
        <w:tc>
          <w:tcPr>
            <w:tcW w:w="14851" w:type="dxa"/>
            <w:gridSpan w:val="11"/>
            <w:tcBorders>
              <w:top w:val="single" w:sz="4" w:space="0" w:color="000000"/>
              <w:left w:val="single" w:sz="4" w:space="0" w:color="000000"/>
              <w:bottom w:val="single" w:sz="4" w:space="0" w:color="000000"/>
              <w:right w:val="single" w:sz="4" w:space="0" w:color="000000"/>
            </w:tcBorders>
            <w:vAlign w:val="center"/>
          </w:tcPr>
          <w:p>
            <w:pPr>
              <w:pStyle w:val="114"/>
              <w:widowControl w:val="false"/>
              <w:rPr>
                <w:b/>
                <w:color w:val="000000"/>
                <w:sz w:val="20"/>
                <w:szCs w:val="20"/>
              </w:rPr>
            </w:pPr>
            <w:r>
              <w:rPr>
                <w:b/>
                <w:color w:val="000000"/>
                <w:sz w:val="20"/>
                <w:szCs w:val="20"/>
              </w:rPr>
              <w:t>Общественные уборные</w:t>
            </w:r>
          </w:p>
        </w:tc>
      </w:tr>
      <w:tr>
        <w:trPr>
          <w:trHeight w:val="113" w:hRule="atLeast"/>
          <w:cantSplit w:val="true"/>
        </w:trPr>
        <w:tc>
          <w:tcPr>
            <w:tcW w:w="52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1</w:t>
            </w:r>
          </w:p>
        </w:tc>
        <w:tc>
          <w:tcPr>
            <w:tcW w:w="1399"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п.Бакча-Сарай</w:t>
            </w:r>
          </w:p>
        </w:tc>
        <w:tc>
          <w:tcPr>
            <w:tcW w:w="19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Общественные уборные</w:t>
            </w:r>
          </w:p>
        </w:tc>
        <w:tc>
          <w:tcPr>
            <w:tcW w:w="18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Новое строительство</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прибор</w:t>
            </w:r>
          </w:p>
        </w:tc>
        <w:tc>
          <w:tcPr>
            <w:tcW w:w="15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w:t>
            </w:r>
          </w:p>
        </w:tc>
        <w:tc>
          <w:tcPr>
            <w:tcW w:w="16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1</w:t>
            </w:r>
          </w:p>
        </w:tc>
        <w:tc>
          <w:tcPr>
            <w:tcW w:w="11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w:t>
            </w:r>
          </w:p>
        </w:tc>
        <w:tc>
          <w:tcPr>
            <w:tcW w:w="120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47"/>
              <w:jc w:val="center"/>
              <w:rPr>
                <w:color w:val="000000"/>
                <w:sz w:val="20"/>
                <w:szCs w:val="20"/>
              </w:rPr>
            </w:pPr>
            <w:r>
              <w:rPr>
                <w:color w:val="000000"/>
                <w:sz w:val="20"/>
                <w:szCs w:val="20"/>
              </w:rPr>
              <w:t>+</w:t>
            </w:r>
          </w:p>
        </w:tc>
        <w:tc>
          <w:tcPr>
            <w:tcW w:w="2357" w:type="dxa"/>
            <w:gridSpan w:val="2"/>
            <w:tcBorders>
              <w:top w:val="single" w:sz="4" w:space="0" w:color="000000"/>
              <w:left w:val="single" w:sz="4" w:space="0" w:color="000000"/>
              <w:bottom w:val="single" w:sz="4" w:space="0" w:color="000000"/>
              <w:right w:val="single" w:sz="4" w:space="0" w:color="000000"/>
            </w:tcBorders>
            <w:vAlign w:val="center"/>
          </w:tcPr>
          <w:p>
            <w:pPr>
              <w:pStyle w:val="114"/>
              <w:widowControl w:val="false"/>
              <w:rPr>
                <w:color w:val="000000"/>
                <w:sz w:val="20"/>
                <w:szCs w:val="20"/>
              </w:rPr>
            </w:pPr>
            <w:r>
              <w:rPr>
                <w:color w:val="000000"/>
                <w:sz w:val="20"/>
                <w:szCs w:val="20"/>
              </w:rPr>
              <w:t>Проект внесения изменений в генеральный план Вахитовского СП</w:t>
            </w:r>
          </w:p>
        </w:tc>
      </w:tr>
    </w:tbl>
    <w:p>
      <w:pPr>
        <w:sectPr>
          <w:footerReference w:type="default" r:id="rId9"/>
          <w:footerReference w:type="first" r:id="rId10"/>
          <w:type w:val="nextPage"/>
          <w:pgSz w:orient="landscape" w:w="16838" w:h="11906"/>
          <w:pgMar w:left="1134" w:right="851" w:gutter="0" w:header="0" w:top="851" w:footer="709" w:bottom="851"/>
          <w:pgNumType w:fmt="decimal"/>
          <w:formProt w:val="false"/>
          <w:textDirection w:val="lrTb"/>
          <w:docGrid w:type="default" w:linePitch="360" w:charSpace="0"/>
        </w:sectPr>
      </w:pPr>
    </w:p>
    <w:p>
      <w:pPr>
        <w:pStyle w:val="2"/>
        <w:numPr>
          <w:ilvl w:val="1"/>
          <w:numId w:val="3"/>
        </w:numPr>
        <w:ind w:left="0" w:hanging="375"/>
        <w:rPr/>
      </w:pPr>
      <w:bookmarkStart w:id="66" w:name="_Toc156489383"/>
      <w:bookmarkStart w:id="67" w:name="_Toc328486897"/>
      <w:r>
        <w:rPr/>
        <w:t>. Мероприятия по развитию территорий кладбищ</w:t>
      </w:r>
      <w:bookmarkEnd w:id="66"/>
    </w:p>
    <w:p>
      <w:pPr>
        <w:pStyle w:val="Default"/>
        <w:tabs>
          <w:tab w:val="clear" w:pos="709"/>
          <w:tab w:val="left" w:pos="0" w:leader="none"/>
        </w:tabs>
        <w:ind w:firstLine="700"/>
        <w:jc w:val="both"/>
        <w:rPr>
          <w:sz w:val="28"/>
          <w:szCs w:val="28"/>
        </w:rPr>
      </w:pPr>
      <w:r>
        <w:rPr>
          <w:sz w:val="28"/>
          <w:szCs w:val="28"/>
        </w:rPr>
        <w:t>При нормативе 0,252 га на 1000 жителей необходимая потребность наличного населения сельского поселения в кладбищах традиционного захоронения к 2047 г. составит 0,27 га.</w:t>
      </w:r>
    </w:p>
    <w:p>
      <w:pPr>
        <w:pStyle w:val="Default"/>
        <w:tabs>
          <w:tab w:val="clear" w:pos="709"/>
          <w:tab w:val="left" w:pos="0" w:leader="none"/>
        </w:tabs>
        <w:ind w:firstLine="700"/>
        <w:jc w:val="both"/>
        <w:rPr>
          <w:sz w:val="28"/>
          <w:szCs w:val="28"/>
        </w:rPr>
      </w:pPr>
      <w:r>
        <w:rPr>
          <w:sz w:val="28"/>
          <w:szCs w:val="28"/>
        </w:rPr>
        <w:t>Генеральным планом на первую очередь рекомендуется:</w:t>
      </w:r>
    </w:p>
    <w:p>
      <w:pPr>
        <w:pStyle w:val="Default"/>
        <w:tabs>
          <w:tab w:val="clear" w:pos="709"/>
          <w:tab w:val="left" w:pos="0" w:leader="none"/>
        </w:tabs>
        <w:ind w:firstLine="700"/>
        <w:jc w:val="both"/>
        <w:rPr>
          <w:sz w:val="28"/>
          <w:szCs w:val="28"/>
        </w:rPr>
      </w:pPr>
      <w:r>
        <w:rPr>
          <w:sz w:val="28"/>
          <w:szCs w:val="28"/>
        </w:rPr>
        <w:t>- закрытие кладбища (на земельных участках с кадастровыми номерами 16:15:030502:182 и 16:15:030502:196), расположенного в с.Ташевка, в связи с расположением в водоохранной зоне водного объекта. Площадь рекомендуемой закрываемой части кладбища составит 1,3776 га;</w:t>
      </w:r>
    </w:p>
    <w:p>
      <w:pPr>
        <w:pStyle w:val="Default"/>
        <w:tabs>
          <w:tab w:val="clear" w:pos="709"/>
          <w:tab w:val="left" w:pos="0" w:leader="none"/>
        </w:tabs>
        <w:ind w:firstLine="700"/>
        <w:jc w:val="both"/>
        <w:rPr>
          <w:sz w:val="28"/>
          <w:szCs w:val="28"/>
        </w:rPr>
      </w:pPr>
      <w:r>
        <w:rPr>
          <w:sz w:val="28"/>
          <w:szCs w:val="28"/>
        </w:rPr>
        <w:t>Свободные территории действующих кладбищ в полной мере обеспечивают прогнозные потребности населения в кладбищах традиционного захоронения.</w:t>
      </w:r>
    </w:p>
    <w:p>
      <w:pPr>
        <w:sectPr>
          <w:footerReference w:type="default" r:id="rId11"/>
          <w:footerReference w:type="first" r:id="rId12"/>
          <w:type w:val="nextPage"/>
          <w:pgSz w:w="11906" w:h="16838"/>
          <w:pgMar w:left="1134" w:right="851" w:gutter="0" w:header="0" w:top="851" w:footer="708" w:bottom="851"/>
          <w:pgNumType w:fmt="decimal"/>
          <w:formProt w:val="false"/>
          <w:textDirection w:val="lrTb"/>
          <w:docGrid w:type="default" w:linePitch="360" w:charSpace="0"/>
        </w:sectPr>
        <w:pStyle w:val="Default"/>
        <w:tabs>
          <w:tab w:val="clear" w:pos="709"/>
          <w:tab w:val="left" w:pos="0" w:leader="none"/>
        </w:tabs>
        <w:ind w:firstLine="700"/>
        <w:jc w:val="both"/>
        <w:rPr>
          <w:sz w:val="28"/>
          <w:szCs w:val="28"/>
        </w:rPr>
      </w:pPr>
      <w:r>
        <w:rPr>
          <w:sz w:val="28"/>
          <w:szCs w:val="28"/>
        </w:rPr>
        <w:t>Генеральным планом Вахитовского сельского поселения предлагается приведение землеустроительной документации для земель под кладбищами в соответствие с функциональным использованием территории, а именно установление для земельного участка под кладбищем категории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установлением вида разрешенного использования 12.1. «Ритуальная деятельность».</w:t>
      </w:r>
    </w:p>
    <w:p>
      <w:pPr>
        <w:pStyle w:val="2"/>
        <w:numPr>
          <w:ilvl w:val="1"/>
          <w:numId w:val="3"/>
        </w:numPr>
        <w:ind w:left="0" w:hanging="374"/>
        <w:rPr/>
      </w:pPr>
      <w:bookmarkStart w:id="68" w:name="_Toc328486897"/>
      <w:bookmarkStart w:id="69" w:name="_Toc156489384"/>
      <w:r>
        <w:rPr/>
        <w:t>. Мероприятия по развитию туристско-рекреационных территорий</w:t>
      </w:r>
      <w:bookmarkEnd w:id="68"/>
      <w:bookmarkEnd w:id="69"/>
    </w:p>
    <w:p>
      <w:pPr>
        <w:pStyle w:val="Normal"/>
        <w:rPr/>
      </w:pPr>
      <w:r>
        <w:rPr/>
        <w:t>Схемой территориального планирования Верхнеуслонского муниципального района предусмотрены мероприятия:</w:t>
      </w:r>
    </w:p>
    <w:p>
      <w:pPr>
        <w:pStyle w:val="Normal"/>
        <w:rPr/>
      </w:pPr>
      <w:r>
        <w:rPr/>
        <w:t>- организация культурно-ландшафтного маршрута «Среднее Верхнеуслонское Кольцо»;</w:t>
      </w:r>
    </w:p>
    <w:p>
      <w:pPr>
        <w:pStyle w:val="Normal"/>
        <w:rPr/>
      </w:pPr>
      <w:r>
        <w:rPr/>
        <w:t>- организация культурно-ландшафтного маршрута «Большое Верхнеуслонское Кольцо»;</w:t>
      </w:r>
    </w:p>
    <w:p>
      <w:pPr>
        <w:pStyle w:val="Normal"/>
        <w:rPr/>
      </w:pPr>
      <w:r>
        <w:rPr/>
        <w:t xml:space="preserve">- организация туристско-рекреационного маршрута регионального значения «Жемчужное ожерелье Татарстана – Малое кольцо»; </w:t>
      </w:r>
    </w:p>
    <w:p>
      <w:pPr>
        <w:pStyle w:val="Normal"/>
        <w:rPr/>
      </w:pPr>
      <w:r>
        <w:rPr/>
        <w:t>- реконструкция детского оздоровительного лагеря в с.Ташевка.</w:t>
      </w:r>
    </w:p>
    <w:p>
      <w:pPr>
        <w:pStyle w:val="Normal"/>
        <w:rPr/>
      </w:pPr>
      <w:r>
        <w:rPr/>
        <w:t>Развитие туристско-рекреационных территорий в генеральном плане Вахитовского сельского поселения предусматривает мероприятия по организации системы зеленых насаждений как зон отдыха местного населения и площадок отдыха посетителей. Также проектом предусмотрено размещение сервисной зоны на участке с кадастровым номером 16:15:000000:2717 согласно протоколу совещания Министерства земельных и имущественных отношений РТ от 22.12.2022 №68.</w:t>
      </w:r>
    </w:p>
    <w:p>
      <w:pPr>
        <w:pStyle w:val="Normal"/>
        <w:rPr/>
      </w:pPr>
      <w:r>
        <w:rPr/>
        <w:t>Комплекс мероприятий по организации системы зеленых насаждений, необходимый для создания благоприятных возможностей для отдыха людей, улучшения облика сельского населенного пункта предусматривает два основных этапа: организация озеленения общего пользования и организация озеленения ограниченного пользования.</w:t>
      </w:r>
    </w:p>
    <w:p>
      <w:pPr>
        <w:pStyle w:val="Normal"/>
        <w:rPr/>
      </w:pPr>
      <w:r>
        <w:rPr/>
        <w:t>Мероприятия по организации зеленых насаждений общего пользования – создание скверов у административных и общественных зданий, центров повседневного обслуживания, устройство бульвара на главной улице, озеленение улиц, устройство цветников и газонов.</w:t>
      </w:r>
    </w:p>
    <w:p>
      <w:pPr>
        <w:sectPr>
          <w:footerReference w:type="default" r:id="rId13"/>
          <w:footerReference w:type="first" r:id="rId14"/>
          <w:type w:val="nextPage"/>
          <w:pgSz w:w="11906" w:h="16838"/>
          <w:pgMar w:left="1134" w:right="851" w:gutter="0" w:header="0" w:top="851" w:footer="0" w:bottom="708"/>
          <w:pgNumType w:fmt="decimal"/>
          <w:formProt w:val="false"/>
          <w:textDirection w:val="lrTb"/>
          <w:docGrid w:type="default" w:linePitch="360" w:charSpace="0"/>
        </w:sectPr>
        <w:pStyle w:val="Normal"/>
        <w:rPr>
          <w:szCs w:val="28"/>
        </w:rPr>
      </w:pPr>
      <w:r>
        <w:rPr/>
        <w:t>Мероприятия по организации зеленых насаждений ограниченного пользования – озеленение территорий объектов образования и воспитания и др. объектов социального и культурно-бытового обслуживания (устройство палисадников, посадка фруктовых и декоративных деревьев, кустарников, устройство цветников).</w:t>
      </w:r>
    </w:p>
    <w:p>
      <w:pPr>
        <w:pStyle w:val="Normal"/>
        <w:jc w:val="right"/>
        <w:rPr>
          <w:szCs w:val="28"/>
        </w:rPr>
      </w:pPr>
      <w:r>
        <w:rPr>
          <w:szCs w:val="28"/>
        </w:rPr>
        <w:t>Таблица 3.7.1</w:t>
      </w:r>
    </w:p>
    <w:p>
      <w:pPr>
        <w:pStyle w:val="Normal"/>
        <w:jc w:val="right"/>
        <w:rPr>
          <w:szCs w:val="28"/>
        </w:rPr>
      </w:pPr>
      <w:r>
        <w:rPr>
          <w:szCs w:val="28"/>
        </w:rPr>
        <w:t>Перечень мероприятий по развитию территории кладбищ, расположенных в Вахитовском сельском поселении</w:t>
      </w:r>
    </w:p>
    <w:tbl>
      <w:tblPr>
        <w:tblW w:w="5000" w:type="pct"/>
        <w:jc w:val="center"/>
        <w:tblInd w:w="0" w:type="dxa"/>
        <w:tblLayout w:type="fixed"/>
        <w:tblCellMar>
          <w:top w:w="0" w:type="dxa"/>
          <w:left w:w="108" w:type="dxa"/>
          <w:bottom w:w="0" w:type="dxa"/>
          <w:right w:w="108" w:type="dxa"/>
        </w:tblCellMar>
        <w:tblLook w:noVBand="1" w:val="04a0" w:noHBand="0" w:lastColumn="0" w:firstColumn="1" w:lastRow="0" w:firstRow="1"/>
      </w:tblPr>
      <w:tblGrid>
        <w:gridCol w:w="479"/>
        <w:gridCol w:w="1496"/>
        <w:gridCol w:w="2000"/>
        <w:gridCol w:w="3785"/>
        <w:gridCol w:w="1096"/>
        <w:gridCol w:w="923"/>
        <w:gridCol w:w="1057"/>
        <w:gridCol w:w="1037"/>
        <w:gridCol w:w="1054"/>
        <w:gridCol w:w="1924"/>
      </w:tblGrid>
      <w:tr>
        <w:trPr>
          <w:tblHeader w:val="true"/>
          <w:trHeight w:val="362" w:hRule="atLeast"/>
          <w:cantSplit w:val="true"/>
        </w:trPr>
        <w:tc>
          <w:tcPr>
            <w:tcW w:w="47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 xml:space="preserve">№ </w:t>
            </w:r>
            <w:r>
              <w:rPr>
                <w:sz w:val="20"/>
                <w:szCs w:val="20"/>
              </w:rPr>
              <w:t>п/п</w:t>
            </w: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Наименование населенного пункта, входящего в состав поселения</w:t>
            </w:r>
          </w:p>
        </w:tc>
        <w:tc>
          <w:tcPr>
            <w:tcW w:w="200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Наименование объекта</w:t>
            </w:r>
          </w:p>
        </w:tc>
        <w:tc>
          <w:tcPr>
            <w:tcW w:w="378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Вид мероприятия</w:t>
            </w:r>
          </w:p>
        </w:tc>
        <w:tc>
          <w:tcPr>
            <w:tcW w:w="109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Единица измерения</w:t>
            </w:r>
          </w:p>
        </w:tc>
        <w:tc>
          <w:tcPr>
            <w:tcW w:w="1980"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Мощность</w:t>
            </w:r>
          </w:p>
        </w:tc>
        <w:tc>
          <w:tcPr>
            <w:tcW w:w="209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Сроки реализации</w:t>
            </w:r>
          </w:p>
        </w:tc>
        <w:tc>
          <w:tcPr>
            <w:tcW w:w="192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Источник мероприятия (наименование документа)</w:t>
            </w:r>
          </w:p>
        </w:tc>
      </w:tr>
      <w:tr>
        <w:trPr>
          <w:tblHeader w:val="true"/>
          <w:trHeight w:val="381" w:hRule="atLeast"/>
          <w:cantSplit w:val="true"/>
        </w:trPr>
        <w:tc>
          <w:tcPr>
            <w:tcW w:w="4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0"/>
                <w:szCs w:val="20"/>
              </w:rPr>
            </w:pPr>
            <w:r>
              <w:rPr>
                <w:sz w:val="20"/>
                <w:szCs w:val="20"/>
              </w:rPr>
            </w:r>
          </w:p>
        </w:tc>
        <w:tc>
          <w:tcPr>
            <w:tcW w:w="149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0"/>
                <w:szCs w:val="20"/>
              </w:rPr>
            </w:pPr>
            <w:r>
              <w:rPr>
                <w:sz w:val="20"/>
                <w:szCs w:val="20"/>
              </w:rPr>
            </w:r>
          </w:p>
        </w:tc>
        <w:tc>
          <w:tcPr>
            <w:tcW w:w="20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0"/>
                <w:szCs w:val="20"/>
              </w:rPr>
            </w:pPr>
            <w:r>
              <w:rPr>
                <w:sz w:val="20"/>
                <w:szCs w:val="20"/>
              </w:rPr>
            </w:r>
          </w:p>
        </w:tc>
        <w:tc>
          <w:tcPr>
            <w:tcW w:w="378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0"/>
                <w:szCs w:val="20"/>
              </w:rPr>
            </w:pPr>
            <w:r>
              <w:rPr>
                <w:sz w:val="20"/>
                <w:szCs w:val="20"/>
              </w:rPr>
            </w:r>
          </w:p>
        </w:tc>
        <w:tc>
          <w:tcPr>
            <w:tcW w:w="109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0"/>
                <w:szCs w:val="20"/>
              </w:rPr>
            </w:pPr>
            <w:r>
              <w:rPr>
                <w:sz w:val="20"/>
                <w:szCs w:val="20"/>
              </w:rPr>
            </w:r>
          </w:p>
        </w:tc>
        <w:tc>
          <w:tcPr>
            <w:tcW w:w="9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lang w:val="en-US"/>
              </w:rPr>
            </w:pPr>
            <w:r>
              <w:rPr>
                <w:sz w:val="20"/>
                <w:szCs w:val="20"/>
                <w:lang w:val="en-US"/>
              </w:rPr>
              <w:t>Сущест-вующая</w:t>
            </w:r>
          </w:p>
        </w:tc>
        <w:tc>
          <w:tcPr>
            <w:tcW w:w="10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Новая (д</w:t>
            </w:r>
            <w:r>
              <w:rPr>
                <w:sz w:val="20"/>
                <w:szCs w:val="20"/>
                <w:lang w:val="en-US"/>
              </w:rPr>
              <w:t>ополни-тельная</w:t>
            </w:r>
            <w:r>
              <w:rPr>
                <w:sz w:val="20"/>
                <w:szCs w:val="20"/>
              </w:rPr>
              <w:t>)</w:t>
            </w:r>
          </w:p>
        </w:tc>
        <w:tc>
          <w:tcPr>
            <w:tcW w:w="10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Первая очередь (до 2031 г.)</w:t>
            </w:r>
          </w:p>
        </w:tc>
        <w:tc>
          <w:tcPr>
            <w:tcW w:w="10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Расчет-ный срок (2031 - 2046 гг.)</w:t>
            </w:r>
          </w:p>
        </w:tc>
        <w:tc>
          <w:tcPr>
            <w:tcW w:w="192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0"/>
                <w:szCs w:val="20"/>
              </w:rPr>
            </w:pPr>
            <w:r>
              <w:rPr>
                <w:sz w:val="20"/>
                <w:szCs w:val="20"/>
              </w:rPr>
            </w:r>
          </w:p>
        </w:tc>
      </w:tr>
      <w:tr>
        <w:trPr>
          <w:trHeight w:val="68" w:hRule="atLeast"/>
          <w:cantSplit w:val="true"/>
        </w:trPr>
        <w:tc>
          <w:tcPr>
            <w:tcW w:w="14851" w:type="dxa"/>
            <w:gridSpan w:val="10"/>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aps/>
                <w:sz w:val="20"/>
                <w:szCs w:val="20"/>
              </w:rPr>
            </w:pPr>
            <w:r>
              <w:rPr>
                <w:caps/>
                <w:sz w:val="20"/>
                <w:szCs w:val="20"/>
              </w:rPr>
              <w:t>МЕРОПРИЯТИЯ Местного значения (Поселения)</w:t>
            </w:r>
          </w:p>
        </w:tc>
      </w:tr>
      <w:tr>
        <w:trPr>
          <w:trHeight w:val="2250" w:hRule="atLeast"/>
          <w:cantSplit w:val="true"/>
        </w:trPr>
        <w:tc>
          <w:tcPr>
            <w:tcW w:w="4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1</w:t>
            </w:r>
          </w:p>
        </w:tc>
        <w:tc>
          <w:tcPr>
            <w:tcW w:w="14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Вахитовское СП</w:t>
            </w:r>
          </w:p>
        </w:tc>
        <w:tc>
          <w:tcPr>
            <w:tcW w:w="20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 xml:space="preserve">Кладбище на земельных участках с кадастровыми номерами </w:t>
            </w:r>
            <w:r>
              <w:rPr>
                <w:color w:val="000000"/>
                <w:sz w:val="20"/>
                <w:szCs w:val="28"/>
              </w:rPr>
              <w:t>16:15:030502:182 и 16:15:030502:196</w:t>
            </w:r>
          </w:p>
        </w:tc>
        <w:tc>
          <w:tcPr>
            <w:tcW w:w="37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Закрытие в связи с расположением в водоохранной зоне водных объектов</w:t>
            </w:r>
          </w:p>
        </w:tc>
        <w:tc>
          <w:tcPr>
            <w:tcW w:w="10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га</w:t>
            </w:r>
          </w:p>
        </w:tc>
        <w:tc>
          <w:tcPr>
            <w:tcW w:w="9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1,6700</w:t>
            </w:r>
          </w:p>
        </w:tc>
        <w:tc>
          <w:tcPr>
            <w:tcW w:w="10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0</w:t>
            </w:r>
          </w:p>
        </w:tc>
        <w:tc>
          <w:tcPr>
            <w:tcW w:w="10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w:t>
            </w:r>
          </w:p>
        </w:tc>
        <w:tc>
          <w:tcPr>
            <w:tcW w:w="10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w:t>
            </w:r>
          </w:p>
        </w:tc>
        <w:tc>
          <w:tcPr>
            <w:tcW w:w="1924" w:type="dxa"/>
            <w:tcBorders>
              <w:top w:val="single" w:sz="4" w:space="0" w:color="000000"/>
              <w:left w:val="single" w:sz="4" w:space="0" w:color="000000"/>
              <w:bottom w:val="single" w:sz="4" w:space="0" w:color="000000"/>
              <w:right w:val="single" w:sz="4" w:space="0" w:color="000000"/>
            </w:tcBorders>
            <w:vAlign w:val="center"/>
          </w:tcPr>
          <w:p>
            <w:pPr>
              <w:pStyle w:val="114"/>
              <w:widowControl w:val="false"/>
              <w:rPr>
                <w:color w:val="000000"/>
                <w:sz w:val="20"/>
                <w:szCs w:val="20"/>
              </w:rPr>
            </w:pPr>
            <w:r>
              <w:rPr>
                <w:color w:val="000000"/>
                <w:sz w:val="20"/>
                <w:szCs w:val="20"/>
              </w:rPr>
              <w:t>Проект внесения изменений в генеральный план Вахитовского СП</w:t>
            </w:r>
          </w:p>
        </w:tc>
      </w:tr>
    </w:tbl>
    <w:p>
      <w:pPr>
        <w:pStyle w:val="Normal"/>
        <w:jc w:val="right"/>
        <w:rPr>
          <w:szCs w:val="28"/>
        </w:rPr>
      </w:pPr>
      <w:r>
        <w:rPr>
          <w:szCs w:val="28"/>
        </w:rPr>
      </w:r>
    </w:p>
    <w:p>
      <w:pPr>
        <w:pStyle w:val="Normal"/>
        <w:jc w:val="right"/>
        <w:rPr>
          <w:szCs w:val="28"/>
        </w:rPr>
      </w:pPr>
      <w:r>
        <w:rPr>
          <w:szCs w:val="28"/>
        </w:rPr>
        <w:t>Таблица 3.8.1</w:t>
      </w:r>
    </w:p>
    <w:p>
      <w:pPr>
        <w:pStyle w:val="Normal"/>
        <w:jc w:val="center"/>
        <w:rPr>
          <w:szCs w:val="28"/>
        </w:rPr>
      </w:pPr>
      <w:r>
        <w:rPr>
          <w:szCs w:val="28"/>
        </w:rPr>
        <w:t>Перечень мероприятий по развитию туристско-рекреационных территорий в Вахитовском</w:t>
      </w:r>
      <w:r>
        <w:rPr/>
        <w:t xml:space="preserve"> сельском поселении</w:t>
      </w:r>
    </w:p>
    <w:tbl>
      <w:tblPr>
        <w:tblW w:w="5000" w:type="pct"/>
        <w:jc w:val="center"/>
        <w:tblInd w:w="0" w:type="dxa"/>
        <w:tblLayout w:type="fixed"/>
        <w:tblCellMar>
          <w:top w:w="0" w:type="dxa"/>
          <w:left w:w="108" w:type="dxa"/>
          <w:bottom w:w="0" w:type="dxa"/>
          <w:right w:w="108" w:type="dxa"/>
        </w:tblCellMar>
        <w:tblLook w:noVBand="0" w:val="0000" w:noHBand="0" w:lastColumn="0" w:firstColumn="0" w:lastRow="0" w:firstRow="0"/>
      </w:tblPr>
      <w:tblGrid>
        <w:gridCol w:w="479"/>
        <w:gridCol w:w="1621"/>
        <w:gridCol w:w="1690"/>
        <w:gridCol w:w="1524"/>
        <w:gridCol w:w="1709"/>
        <w:gridCol w:w="1526"/>
        <w:gridCol w:w="1622"/>
        <w:gridCol w:w="1441"/>
        <w:gridCol w:w="1467"/>
        <w:gridCol w:w="1772"/>
      </w:tblGrid>
      <w:tr>
        <w:trPr>
          <w:tblHeader w:val="true"/>
          <w:trHeight w:val="362" w:hRule="atLeast"/>
          <w:cantSplit w:val="true"/>
        </w:trPr>
        <w:tc>
          <w:tcPr>
            <w:tcW w:w="479"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 xml:space="preserve">№ </w:t>
            </w:r>
            <w:r>
              <w:rPr>
                <w:color w:val="000000"/>
                <w:sz w:val="20"/>
                <w:szCs w:val="20"/>
              </w:rPr>
              <w:t>п/п</w:t>
            </w:r>
          </w:p>
        </w:tc>
        <w:tc>
          <w:tcPr>
            <w:tcW w:w="1621"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Наименование населенного пункта, входящего в состав поселения</w:t>
            </w:r>
          </w:p>
        </w:tc>
        <w:tc>
          <w:tcPr>
            <w:tcW w:w="1690"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Наименование объекта</w:t>
            </w:r>
          </w:p>
        </w:tc>
        <w:tc>
          <w:tcPr>
            <w:tcW w:w="1524"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Вид мероприятия</w:t>
            </w:r>
          </w:p>
        </w:tc>
        <w:tc>
          <w:tcPr>
            <w:tcW w:w="1709"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Единица измерения</w:t>
            </w:r>
          </w:p>
        </w:tc>
        <w:tc>
          <w:tcPr>
            <w:tcW w:w="314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75"/>
              <w:widowControl w:val="false"/>
              <w:rPr>
                <w:color w:val="000000"/>
                <w:sz w:val="20"/>
                <w:szCs w:val="20"/>
              </w:rPr>
            </w:pPr>
            <w:r>
              <w:rPr>
                <w:color w:val="000000"/>
                <w:sz w:val="20"/>
                <w:szCs w:val="20"/>
              </w:rPr>
              <w:t>Мощность</w:t>
            </w:r>
          </w:p>
        </w:tc>
        <w:tc>
          <w:tcPr>
            <w:tcW w:w="290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75"/>
              <w:widowControl w:val="false"/>
              <w:rPr>
                <w:color w:val="000000"/>
                <w:sz w:val="20"/>
                <w:szCs w:val="20"/>
              </w:rPr>
            </w:pPr>
            <w:r>
              <w:rPr>
                <w:color w:val="000000"/>
                <w:sz w:val="20"/>
                <w:szCs w:val="20"/>
              </w:rPr>
              <w:t>Сроки реализации</w:t>
            </w:r>
          </w:p>
        </w:tc>
        <w:tc>
          <w:tcPr>
            <w:tcW w:w="1772"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Источник мероприятия (наименование документа)</w:t>
            </w:r>
          </w:p>
        </w:tc>
      </w:tr>
      <w:tr>
        <w:trPr>
          <w:tblHeader w:val="true"/>
          <w:trHeight w:val="381" w:hRule="atLeast"/>
          <w:cantSplit w:val="true"/>
        </w:trPr>
        <w:tc>
          <w:tcPr>
            <w:tcW w:w="479" w:type="dxa"/>
            <w:vMerge w:val="continue"/>
            <w:tcBorders>
              <w:top w:val="single" w:sz="4" w:space="0" w:color="000000"/>
              <w:left w:val="single" w:sz="4" w:space="0" w:color="000000"/>
              <w:bottom w:val="single" w:sz="4" w:space="0" w:color="000000"/>
              <w:right w:val="single" w:sz="4" w:space="0" w:color="000000"/>
            </w:tcBorders>
            <w:vAlign w:val="center"/>
          </w:tcPr>
          <w:p>
            <w:pPr>
              <w:pStyle w:val="Style76"/>
              <w:widowControl w:val="false"/>
              <w:jc w:val="center"/>
              <w:rPr>
                <w:color w:val="000000"/>
                <w:sz w:val="20"/>
                <w:szCs w:val="20"/>
              </w:rPr>
            </w:pPr>
            <w:r>
              <w:rPr>
                <w:color w:val="000000"/>
                <w:sz w:val="20"/>
                <w:szCs w:val="20"/>
              </w:rPr>
            </w:r>
          </w:p>
        </w:tc>
        <w:tc>
          <w:tcPr>
            <w:tcW w:w="1621" w:type="dxa"/>
            <w:vMerge w:val="continue"/>
            <w:tcBorders>
              <w:top w:val="single" w:sz="4" w:space="0" w:color="000000"/>
              <w:left w:val="single" w:sz="4" w:space="0" w:color="000000"/>
              <w:bottom w:val="single" w:sz="4" w:space="0" w:color="000000"/>
              <w:right w:val="single" w:sz="4" w:space="0" w:color="000000"/>
            </w:tcBorders>
            <w:vAlign w:val="center"/>
          </w:tcPr>
          <w:p>
            <w:pPr>
              <w:pStyle w:val="Style76"/>
              <w:widowControl w:val="false"/>
              <w:jc w:val="center"/>
              <w:rPr>
                <w:color w:val="000000"/>
                <w:sz w:val="20"/>
                <w:szCs w:val="20"/>
              </w:rPr>
            </w:pPr>
            <w:r>
              <w:rPr>
                <w:color w:val="000000"/>
                <w:sz w:val="20"/>
                <w:szCs w:val="20"/>
              </w:rPr>
            </w:r>
          </w:p>
        </w:tc>
        <w:tc>
          <w:tcPr>
            <w:tcW w:w="1690" w:type="dxa"/>
            <w:vMerge w:val="continue"/>
            <w:tcBorders>
              <w:top w:val="single" w:sz="4" w:space="0" w:color="000000"/>
              <w:left w:val="single" w:sz="4" w:space="0" w:color="000000"/>
              <w:bottom w:val="single" w:sz="4" w:space="0" w:color="000000"/>
              <w:right w:val="single" w:sz="4" w:space="0" w:color="000000"/>
            </w:tcBorders>
            <w:vAlign w:val="center"/>
          </w:tcPr>
          <w:p>
            <w:pPr>
              <w:pStyle w:val="Style76"/>
              <w:widowControl w:val="false"/>
              <w:jc w:val="center"/>
              <w:rPr>
                <w:color w:val="000000"/>
                <w:sz w:val="20"/>
                <w:szCs w:val="20"/>
              </w:rPr>
            </w:pPr>
            <w:r>
              <w:rPr>
                <w:color w:val="000000"/>
                <w:sz w:val="20"/>
                <w:szCs w:val="20"/>
              </w:rPr>
            </w:r>
          </w:p>
        </w:tc>
        <w:tc>
          <w:tcPr>
            <w:tcW w:w="1524" w:type="dxa"/>
            <w:vMerge w:val="continue"/>
            <w:tcBorders>
              <w:top w:val="single" w:sz="4" w:space="0" w:color="000000"/>
              <w:left w:val="single" w:sz="4" w:space="0" w:color="000000"/>
              <w:bottom w:val="single" w:sz="4" w:space="0" w:color="000000"/>
              <w:right w:val="single" w:sz="4" w:space="0" w:color="000000"/>
            </w:tcBorders>
            <w:vAlign w:val="center"/>
          </w:tcPr>
          <w:p>
            <w:pPr>
              <w:pStyle w:val="Style76"/>
              <w:widowControl w:val="false"/>
              <w:jc w:val="center"/>
              <w:rPr>
                <w:color w:val="000000"/>
                <w:sz w:val="20"/>
                <w:szCs w:val="20"/>
              </w:rPr>
            </w:pPr>
            <w:r>
              <w:rPr>
                <w:color w:val="000000"/>
                <w:sz w:val="20"/>
                <w:szCs w:val="20"/>
              </w:rPr>
            </w:r>
          </w:p>
        </w:tc>
        <w:tc>
          <w:tcPr>
            <w:tcW w:w="1709" w:type="dxa"/>
            <w:vMerge w:val="continue"/>
            <w:tcBorders>
              <w:top w:val="single" w:sz="4" w:space="0" w:color="000000"/>
              <w:left w:val="single" w:sz="4" w:space="0" w:color="000000"/>
              <w:bottom w:val="single" w:sz="4" w:space="0" w:color="000000"/>
              <w:right w:val="single" w:sz="4" w:space="0" w:color="000000"/>
            </w:tcBorders>
            <w:vAlign w:val="center"/>
          </w:tcPr>
          <w:p>
            <w:pPr>
              <w:pStyle w:val="Style76"/>
              <w:widowControl w:val="false"/>
              <w:jc w:val="center"/>
              <w:rPr>
                <w:color w:val="000000"/>
                <w:sz w:val="20"/>
                <w:szCs w:val="20"/>
              </w:rPr>
            </w:pPr>
            <w:r>
              <w:rPr>
                <w:color w:val="000000"/>
                <w:sz w:val="20"/>
                <w:szCs w:val="20"/>
              </w:rPr>
            </w:r>
          </w:p>
        </w:tc>
        <w:tc>
          <w:tcPr>
            <w:tcW w:w="15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76"/>
              <w:widowControl w:val="false"/>
              <w:jc w:val="center"/>
              <w:rPr>
                <w:color w:val="000000"/>
                <w:sz w:val="20"/>
                <w:szCs w:val="20"/>
              </w:rPr>
            </w:pPr>
            <w:r>
              <w:rPr>
                <w:color w:val="000000"/>
                <w:sz w:val="20"/>
                <w:szCs w:val="20"/>
              </w:rPr>
              <w:t>Существующая</w:t>
            </w:r>
          </w:p>
        </w:tc>
        <w:tc>
          <w:tcPr>
            <w:tcW w:w="16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76"/>
              <w:widowControl w:val="false"/>
              <w:jc w:val="center"/>
              <w:rPr>
                <w:color w:val="000000"/>
                <w:sz w:val="20"/>
                <w:szCs w:val="20"/>
              </w:rPr>
            </w:pPr>
            <w:r>
              <w:rPr>
                <w:color w:val="000000"/>
                <w:sz w:val="20"/>
                <w:szCs w:val="20"/>
              </w:rPr>
              <w:t>Дополнительная</w:t>
            </w:r>
          </w:p>
        </w:tc>
        <w:tc>
          <w:tcPr>
            <w:tcW w:w="14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75"/>
              <w:widowControl w:val="false"/>
              <w:rPr>
                <w:color w:val="000000"/>
                <w:sz w:val="20"/>
                <w:szCs w:val="20"/>
              </w:rPr>
            </w:pPr>
            <w:r>
              <w:rPr>
                <w:color w:val="000000"/>
                <w:sz w:val="20"/>
                <w:szCs w:val="20"/>
              </w:rPr>
              <w:t>Первая очередь (до 2032 г.)</w:t>
            </w:r>
          </w:p>
        </w:tc>
        <w:tc>
          <w:tcPr>
            <w:tcW w:w="1467"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Расчетный срок</w:t>
            </w:r>
          </w:p>
          <w:p>
            <w:pPr>
              <w:pStyle w:val="Style75"/>
              <w:widowControl w:val="false"/>
              <w:rPr>
                <w:color w:val="000000"/>
                <w:sz w:val="20"/>
                <w:szCs w:val="20"/>
              </w:rPr>
            </w:pPr>
            <w:r>
              <w:rPr>
                <w:color w:val="000000"/>
                <w:sz w:val="20"/>
                <w:szCs w:val="20"/>
              </w:rPr>
              <w:t>(2033-2047 гг.)</w:t>
            </w:r>
          </w:p>
        </w:tc>
        <w:tc>
          <w:tcPr>
            <w:tcW w:w="1772" w:type="dxa"/>
            <w:vMerge w:val="continue"/>
            <w:tcBorders>
              <w:top w:val="single" w:sz="4" w:space="0" w:color="000000"/>
              <w:left w:val="single" w:sz="4" w:space="0" w:color="000000"/>
              <w:bottom w:val="single" w:sz="4" w:space="0" w:color="000000"/>
              <w:right w:val="single" w:sz="4" w:space="0" w:color="000000"/>
            </w:tcBorders>
            <w:vAlign w:val="center"/>
          </w:tcPr>
          <w:p>
            <w:pPr>
              <w:pStyle w:val="Style76"/>
              <w:widowControl w:val="false"/>
              <w:jc w:val="center"/>
              <w:rPr>
                <w:color w:val="000000"/>
                <w:sz w:val="20"/>
                <w:szCs w:val="20"/>
              </w:rPr>
            </w:pPr>
            <w:r>
              <w:rPr>
                <w:color w:val="000000"/>
                <w:sz w:val="20"/>
                <w:szCs w:val="20"/>
              </w:rPr>
            </w:r>
          </w:p>
        </w:tc>
      </w:tr>
      <w:tr>
        <w:trPr>
          <w:tblHeader w:val="true"/>
          <w:trHeight w:val="279" w:hRule="atLeast"/>
          <w:cantSplit w:val="true"/>
        </w:trPr>
        <w:tc>
          <w:tcPr>
            <w:tcW w:w="14851" w:type="dxa"/>
            <w:gridSpan w:val="10"/>
            <w:tcBorders>
              <w:top w:val="single" w:sz="4" w:space="0" w:color="000000"/>
              <w:left w:val="single" w:sz="4" w:space="0" w:color="000000"/>
              <w:bottom w:val="single" w:sz="4" w:space="0" w:color="000000"/>
              <w:right w:val="single" w:sz="4" w:space="0" w:color="000000"/>
            </w:tcBorders>
            <w:vAlign w:val="center"/>
          </w:tcPr>
          <w:p>
            <w:pPr>
              <w:pStyle w:val="Style76"/>
              <w:widowControl w:val="false"/>
              <w:jc w:val="center"/>
              <w:rPr>
                <w:color w:val="000000"/>
                <w:sz w:val="20"/>
                <w:szCs w:val="20"/>
              </w:rPr>
            </w:pPr>
            <w:r>
              <w:rPr>
                <w:color w:val="000000"/>
                <w:sz w:val="20"/>
                <w:szCs w:val="20"/>
              </w:rPr>
              <w:t>МЕРОПРИЯТИЯ МЕСТНОГО (РАЙОННОГО) ЗНАЧЕНИЯ</w:t>
            </w:r>
          </w:p>
        </w:tc>
      </w:tr>
      <w:tr>
        <w:trPr>
          <w:tblHeader w:val="true"/>
          <w:trHeight w:val="381" w:hRule="atLeast"/>
          <w:cantSplit w:val="true"/>
        </w:trPr>
        <w:tc>
          <w:tcPr>
            <w:tcW w:w="479" w:type="dxa"/>
            <w:tcBorders>
              <w:top w:val="single" w:sz="4" w:space="0" w:color="000000"/>
              <w:left w:val="single" w:sz="4" w:space="0" w:color="000000"/>
              <w:bottom w:val="single" w:sz="4" w:space="0" w:color="000000"/>
              <w:right w:val="single" w:sz="4" w:space="0" w:color="000000"/>
            </w:tcBorders>
            <w:vAlign w:val="center"/>
          </w:tcPr>
          <w:p>
            <w:pPr>
              <w:pStyle w:val="Style76"/>
              <w:widowControl w:val="false"/>
              <w:jc w:val="center"/>
              <w:rPr>
                <w:color w:val="000000"/>
                <w:sz w:val="20"/>
                <w:szCs w:val="20"/>
              </w:rPr>
            </w:pPr>
            <w:r>
              <w:rPr>
                <w:color w:val="000000"/>
                <w:sz w:val="20"/>
                <w:szCs w:val="20"/>
              </w:rPr>
              <w:t>1</w:t>
            </w:r>
          </w:p>
        </w:tc>
        <w:tc>
          <w:tcPr>
            <w:tcW w:w="1621" w:type="dxa"/>
            <w:tcBorders>
              <w:top w:val="single" w:sz="4" w:space="0" w:color="000000"/>
              <w:left w:val="single" w:sz="4" w:space="0" w:color="000000"/>
              <w:bottom w:val="single" w:sz="4" w:space="0" w:color="000000"/>
              <w:right w:val="single" w:sz="4" w:space="0" w:color="000000"/>
            </w:tcBorders>
            <w:vAlign w:val="center"/>
          </w:tcPr>
          <w:p>
            <w:pPr>
              <w:pStyle w:val="Style76"/>
              <w:widowControl w:val="false"/>
              <w:jc w:val="center"/>
              <w:rPr>
                <w:color w:val="000000"/>
                <w:sz w:val="20"/>
                <w:szCs w:val="20"/>
              </w:rPr>
            </w:pPr>
            <w:r>
              <w:rPr>
                <w:color w:val="000000"/>
                <w:sz w:val="20"/>
                <w:szCs w:val="20"/>
              </w:rPr>
              <w:t>Вахитовское сельское поселение</w:t>
            </w:r>
          </w:p>
        </w:tc>
        <w:tc>
          <w:tcPr>
            <w:tcW w:w="1690" w:type="dxa"/>
            <w:tcBorders>
              <w:top w:val="single" w:sz="4" w:space="0" w:color="000000"/>
              <w:left w:val="single" w:sz="4" w:space="0" w:color="000000"/>
              <w:bottom w:val="single" w:sz="4" w:space="0" w:color="000000"/>
              <w:right w:val="single" w:sz="4" w:space="0" w:color="000000"/>
            </w:tcBorders>
            <w:vAlign w:val="center"/>
          </w:tcPr>
          <w:p>
            <w:pPr>
              <w:pStyle w:val="Style76"/>
              <w:widowControl w:val="false"/>
              <w:jc w:val="center"/>
              <w:rPr>
                <w:color w:val="000000"/>
                <w:sz w:val="20"/>
                <w:szCs w:val="20"/>
              </w:rPr>
            </w:pPr>
            <w:r>
              <w:rPr>
                <w:color w:val="000000"/>
                <w:sz w:val="20"/>
                <w:szCs w:val="28"/>
              </w:rPr>
              <w:t>Культурно-ландшафтный маршрут «Большое Верхнеуслонское Кольцо»</w:t>
            </w:r>
          </w:p>
        </w:tc>
        <w:tc>
          <w:tcPr>
            <w:tcW w:w="1524" w:type="dxa"/>
            <w:tcBorders>
              <w:top w:val="single" w:sz="4" w:space="0" w:color="000000"/>
              <w:left w:val="single" w:sz="4" w:space="0" w:color="000000"/>
              <w:bottom w:val="single" w:sz="4" w:space="0" w:color="000000"/>
              <w:right w:val="single" w:sz="4" w:space="0" w:color="000000"/>
            </w:tcBorders>
            <w:vAlign w:val="center"/>
          </w:tcPr>
          <w:p>
            <w:pPr>
              <w:pStyle w:val="Style76"/>
              <w:widowControl w:val="false"/>
              <w:jc w:val="center"/>
              <w:rPr>
                <w:color w:val="000000"/>
                <w:sz w:val="20"/>
                <w:szCs w:val="20"/>
              </w:rPr>
            </w:pPr>
            <w:r>
              <w:rPr>
                <w:color w:val="000000"/>
                <w:sz w:val="20"/>
                <w:szCs w:val="20"/>
              </w:rPr>
              <w:t>Организация маршрута</w:t>
            </w:r>
          </w:p>
        </w:tc>
        <w:tc>
          <w:tcPr>
            <w:tcW w:w="1709" w:type="dxa"/>
            <w:tcBorders>
              <w:top w:val="single" w:sz="4" w:space="0" w:color="000000"/>
              <w:left w:val="single" w:sz="4" w:space="0" w:color="000000"/>
              <w:bottom w:val="single" w:sz="4" w:space="0" w:color="000000"/>
              <w:right w:val="single" w:sz="4" w:space="0" w:color="000000"/>
            </w:tcBorders>
            <w:vAlign w:val="center"/>
          </w:tcPr>
          <w:p>
            <w:pPr>
              <w:pStyle w:val="Style76"/>
              <w:widowControl w:val="false"/>
              <w:jc w:val="center"/>
              <w:rPr>
                <w:color w:val="000000"/>
                <w:sz w:val="20"/>
                <w:szCs w:val="20"/>
              </w:rPr>
            </w:pPr>
            <w:r>
              <w:rPr>
                <w:color w:val="000000"/>
                <w:sz w:val="20"/>
                <w:szCs w:val="20"/>
              </w:rPr>
              <w:t>-</w:t>
            </w:r>
          </w:p>
        </w:tc>
        <w:tc>
          <w:tcPr>
            <w:tcW w:w="15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76"/>
              <w:widowControl w:val="false"/>
              <w:jc w:val="center"/>
              <w:rPr>
                <w:color w:val="000000"/>
                <w:sz w:val="20"/>
                <w:szCs w:val="20"/>
              </w:rPr>
            </w:pPr>
            <w:r>
              <w:rPr>
                <w:color w:val="000000"/>
                <w:sz w:val="20"/>
                <w:szCs w:val="20"/>
              </w:rPr>
              <w:t>-</w:t>
            </w:r>
          </w:p>
        </w:tc>
        <w:tc>
          <w:tcPr>
            <w:tcW w:w="16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76"/>
              <w:widowControl w:val="false"/>
              <w:jc w:val="center"/>
              <w:rPr>
                <w:color w:val="000000"/>
                <w:sz w:val="20"/>
                <w:szCs w:val="20"/>
              </w:rPr>
            </w:pPr>
            <w:r>
              <w:rPr>
                <w:color w:val="000000"/>
                <w:sz w:val="20"/>
                <w:szCs w:val="20"/>
              </w:rPr>
              <w:t>-</w:t>
            </w:r>
          </w:p>
        </w:tc>
        <w:tc>
          <w:tcPr>
            <w:tcW w:w="14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75"/>
              <w:widowControl w:val="false"/>
              <w:rPr>
                <w:color w:val="000000"/>
                <w:sz w:val="20"/>
                <w:szCs w:val="20"/>
              </w:rPr>
            </w:pPr>
            <w:r>
              <w:rPr>
                <w:color w:val="000000"/>
                <w:sz w:val="20"/>
                <w:szCs w:val="20"/>
              </w:rPr>
              <w:t>+</w:t>
            </w:r>
          </w:p>
        </w:tc>
        <w:tc>
          <w:tcPr>
            <w:tcW w:w="1467"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1772" w:type="dxa"/>
            <w:tcBorders>
              <w:top w:val="single" w:sz="4" w:space="0" w:color="000000"/>
              <w:left w:val="single" w:sz="4" w:space="0" w:color="000000"/>
              <w:bottom w:val="single" w:sz="4" w:space="0" w:color="000000"/>
              <w:right w:val="single" w:sz="4" w:space="0" w:color="000000"/>
            </w:tcBorders>
            <w:vAlign w:val="center"/>
          </w:tcPr>
          <w:p>
            <w:pPr>
              <w:pStyle w:val="Style76"/>
              <w:widowControl w:val="false"/>
              <w:jc w:val="center"/>
              <w:rPr>
                <w:color w:val="000000"/>
                <w:sz w:val="20"/>
                <w:szCs w:val="20"/>
              </w:rPr>
            </w:pPr>
            <w:r>
              <w:rPr>
                <w:color w:val="000000"/>
                <w:sz w:val="20"/>
                <w:szCs w:val="20"/>
              </w:rPr>
              <w:t>СТП Верхнеуслонского МР</w:t>
            </w:r>
          </w:p>
        </w:tc>
      </w:tr>
      <w:tr>
        <w:trPr>
          <w:tblHeader w:val="true"/>
          <w:trHeight w:val="381" w:hRule="atLeast"/>
          <w:cantSplit w:val="true"/>
        </w:trPr>
        <w:tc>
          <w:tcPr>
            <w:tcW w:w="479" w:type="dxa"/>
            <w:tcBorders>
              <w:top w:val="single" w:sz="4" w:space="0" w:color="000000"/>
              <w:left w:val="single" w:sz="4" w:space="0" w:color="000000"/>
              <w:bottom w:val="single" w:sz="4" w:space="0" w:color="000000"/>
              <w:right w:val="single" w:sz="4" w:space="0" w:color="000000"/>
            </w:tcBorders>
            <w:vAlign w:val="center"/>
          </w:tcPr>
          <w:p>
            <w:pPr>
              <w:pStyle w:val="Style76"/>
              <w:widowControl w:val="false"/>
              <w:jc w:val="center"/>
              <w:rPr>
                <w:color w:val="000000"/>
                <w:sz w:val="20"/>
                <w:szCs w:val="20"/>
              </w:rPr>
            </w:pPr>
            <w:r>
              <w:rPr>
                <w:color w:val="000000"/>
                <w:sz w:val="20"/>
                <w:szCs w:val="20"/>
              </w:rPr>
              <w:t>2</w:t>
            </w:r>
          </w:p>
        </w:tc>
        <w:tc>
          <w:tcPr>
            <w:tcW w:w="1621" w:type="dxa"/>
            <w:tcBorders>
              <w:top w:val="single" w:sz="4" w:space="0" w:color="000000"/>
              <w:left w:val="single" w:sz="4" w:space="0" w:color="000000"/>
              <w:bottom w:val="single" w:sz="4" w:space="0" w:color="000000"/>
              <w:right w:val="single" w:sz="4" w:space="0" w:color="000000"/>
            </w:tcBorders>
            <w:vAlign w:val="center"/>
          </w:tcPr>
          <w:p>
            <w:pPr>
              <w:pStyle w:val="Style76"/>
              <w:widowControl w:val="false"/>
              <w:jc w:val="center"/>
              <w:rPr>
                <w:color w:val="000000"/>
                <w:sz w:val="20"/>
                <w:szCs w:val="20"/>
              </w:rPr>
            </w:pPr>
            <w:r>
              <w:rPr>
                <w:color w:val="000000"/>
                <w:sz w:val="20"/>
                <w:szCs w:val="20"/>
              </w:rPr>
              <w:t>Вахитовское сельское поселение</w:t>
            </w:r>
          </w:p>
        </w:tc>
        <w:tc>
          <w:tcPr>
            <w:tcW w:w="1690" w:type="dxa"/>
            <w:tcBorders>
              <w:top w:val="single" w:sz="4" w:space="0" w:color="000000"/>
              <w:left w:val="single" w:sz="4" w:space="0" w:color="000000"/>
              <w:bottom w:val="single" w:sz="4" w:space="0" w:color="000000"/>
              <w:right w:val="single" w:sz="4" w:space="0" w:color="000000"/>
            </w:tcBorders>
            <w:vAlign w:val="center"/>
          </w:tcPr>
          <w:p>
            <w:pPr>
              <w:pStyle w:val="Style76"/>
              <w:widowControl w:val="false"/>
              <w:jc w:val="center"/>
              <w:rPr>
                <w:color w:val="000000"/>
                <w:sz w:val="20"/>
                <w:szCs w:val="20"/>
              </w:rPr>
            </w:pPr>
            <w:r>
              <w:rPr>
                <w:color w:val="000000"/>
                <w:sz w:val="20"/>
                <w:szCs w:val="28"/>
              </w:rPr>
              <w:t>Туристско-рекреационный маршрут регионального значения «Жемчужное ожерелье Татарстана – Малое кольцо»</w:t>
            </w:r>
          </w:p>
        </w:tc>
        <w:tc>
          <w:tcPr>
            <w:tcW w:w="1524" w:type="dxa"/>
            <w:tcBorders>
              <w:top w:val="single" w:sz="4" w:space="0" w:color="000000"/>
              <w:left w:val="single" w:sz="4" w:space="0" w:color="000000"/>
              <w:bottom w:val="single" w:sz="4" w:space="0" w:color="000000"/>
              <w:right w:val="single" w:sz="4" w:space="0" w:color="000000"/>
            </w:tcBorders>
            <w:vAlign w:val="center"/>
          </w:tcPr>
          <w:p>
            <w:pPr>
              <w:pStyle w:val="Style76"/>
              <w:widowControl w:val="false"/>
              <w:jc w:val="center"/>
              <w:rPr>
                <w:color w:val="000000"/>
                <w:sz w:val="20"/>
                <w:szCs w:val="20"/>
              </w:rPr>
            </w:pPr>
            <w:r>
              <w:rPr>
                <w:color w:val="000000"/>
                <w:sz w:val="20"/>
                <w:szCs w:val="20"/>
              </w:rPr>
              <w:t>Организация маршрута</w:t>
            </w:r>
          </w:p>
        </w:tc>
        <w:tc>
          <w:tcPr>
            <w:tcW w:w="1709" w:type="dxa"/>
            <w:tcBorders>
              <w:top w:val="single" w:sz="4" w:space="0" w:color="000000"/>
              <w:left w:val="single" w:sz="4" w:space="0" w:color="000000"/>
              <w:bottom w:val="single" w:sz="4" w:space="0" w:color="000000"/>
              <w:right w:val="single" w:sz="4" w:space="0" w:color="000000"/>
            </w:tcBorders>
            <w:vAlign w:val="center"/>
          </w:tcPr>
          <w:p>
            <w:pPr>
              <w:pStyle w:val="Style76"/>
              <w:widowControl w:val="false"/>
              <w:jc w:val="center"/>
              <w:rPr>
                <w:color w:val="000000"/>
                <w:sz w:val="20"/>
                <w:szCs w:val="20"/>
              </w:rPr>
            </w:pPr>
            <w:r>
              <w:rPr>
                <w:color w:val="000000"/>
                <w:sz w:val="20"/>
                <w:szCs w:val="20"/>
              </w:rPr>
              <w:t>-</w:t>
            </w:r>
          </w:p>
        </w:tc>
        <w:tc>
          <w:tcPr>
            <w:tcW w:w="15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76"/>
              <w:widowControl w:val="false"/>
              <w:jc w:val="center"/>
              <w:rPr>
                <w:color w:val="000000"/>
                <w:sz w:val="20"/>
                <w:szCs w:val="20"/>
              </w:rPr>
            </w:pPr>
            <w:r>
              <w:rPr>
                <w:color w:val="000000"/>
                <w:sz w:val="20"/>
                <w:szCs w:val="20"/>
              </w:rPr>
              <w:t>-</w:t>
            </w:r>
          </w:p>
        </w:tc>
        <w:tc>
          <w:tcPr>
            <w:tcW w:w="16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76"/>
              <w:widowControl w:val="false"/>
              <w:jc w:val="center"/>
              <w:rPr>
                <w:color w:val="000000"/>
                <w:sz w:val="20"/>
                <w:szCs w:val="20"/>
              </w:rPr>
            </w:pPr>
            <w:r>
              <w:rPr>
                <w:color w:val="000000"/>
                <w:sz w:val="20"/>
                <w:szCs w:val="20"/>
              </w:rPr>
              <w:t>-</w:t>
            </w:r>
          </w:p>
        </w:tc>
        <w:tc>
          <w:tcPr>
            <w:tcW w:w="14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75"/>
              <w:widowControl w:val="false"/>
              <w:rPr>
                <w:color w:val="000000"/>
                <w:sz w:val="20"/>
                <w:szCs w:val="20"/>
              </w:rPr>
            </w:pPr>
            <w:r>
              <w:rPr>
                <w:color w:val="000000"/>
                <w:sz w:val="20"/>
                <w:szCs w:val="20"/>
              </w:rPr>
              <w:t>+</w:t>
            </w:r>
          </w:p>
        </w:tc>
        <w:tc>
          <w:tcPr>
            <w:tcW w:w="1467"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1772" w:type="dxa"/>
            <w:tcBorders>
              <w:top w:val="single" w:sz="4" w:space="0" w:color="000000"/>
              <w:left w:val="single" w:sz="4" w:space="0" w:color="000000"/>
              <w:bottom w:val="single" w:sz="4" w:space="0" w:color="000000"/>
              <w:right w:val="single" w:sz="4" w:space="0" w:color="000000"/>
            </w:tcBorders>
            <w:vAlign w:val="center"/>
          </w:tcPr>
          <w:p>
            <w:pPr>
              <w:pStyle w:val="Style76"/>
              <w:widowControl w:val="false"/>
              <w:jc w:val="center"/>
              <w:rPr>
                <w:color w:val="000000"/>
                <w:sz w:val="20"/>
                <w:szCs w:val="20"/>
              </w:rPr>
            </w:pPr>
            <w:r>
              <w:rPr>
                <w:color w:val="000000"/>
                <w:sz w:val="20"/>
                <w:szCs w:val="20"/>
              </w:rPr>
              <w:t>СТП Верхнеуслонского МР</w:t>
            </w:r>
          </w:p>
        </w:tc>
      </w:tr>
      <w:tr>
        <w:trPr>
          <w:tblHeader w:val="true"/>
          <w:trHeight w:val="381" w:hRule="atLeast"/>
          <w:cantSplit w:val="true"/>
        </w:trPr>
        <w:tc>
          <w:tcPr>
            <w:tcW w:w="479" w:type="dxa"/>
            <w:tcBorders>
              <w:top w:val="single" w:sz="4" w:space="0" w:color="000000"/>
              <w:left w:val="single" w:sz="4" w:space="0" w:color="000000"/>
              <w:bottom w:val="single" w:sz="4" w:space="0" w:color="000000"/>
              <w:right w:val="single" w:sz="4" w:space="0" w:color="000000"/>
            </w:tcBorders>
            <w:vAlign w:val="center"/>
          </w:tcPr>
          <w:p>
            <w:pPr>
              <w:pStyle w:val="Style76"/>
              <w:widowControl w:val="false"/>
              <w:jc w:val="center"/>
              <w:rPr>
                <w:color w:val="000000"/>
                <w:sz w:val="20"/>
                <w:szCs w:val="20"/>
              </w:rPr>
            </w:pPr>
            <w:r>
              <w:rPr>
                <w:color w:val="000000"/>
                <w:sz w:val="20"/>
                <w:szCs w:val="20"/>
              </w:rPr>
              <w:t>3</w:t>
            </w:r>
          </w:p>
        </w:tc>
        <w:tc>
          <w:tcPr>
            <w:tcW w:w="1621" w:type="dxa"/>
            <w:tcBorders>
              <w:top w:val="single" w:sz="4" w:space="0" w:color="000000"/>
              <w:left w:val="single" w:sz="4" w:space="0" w:color="000000"/>
              <w:bottom w:val="single" w:sz="4" w:space="0" w:color="000000"/>
              <w:right w:val="single" w:sz="4" w:space="0" w:color="000000"/>
            </w:tcBorders>
            <w:vAlign w:val="center"/>
          </w:tcPr>
          <w:p>
            <w:pPr>
              <w:pStyle w:val="Style76"/>
              <w:widowControl w:val="false"/>
              <w:jc w:val="center"/>
              <w:rPr>
                <w:color w:val="000000"/>
                <w:sz w:val="20"/>
                <w:szCs w:val="20"/>
              </w:rPr>
            </w:pPr>
            <w:r>
              <w:rPr>
                <w:color w:val="000000"/>
                <w:sz w:val="20"/>
                <w:szCs w:val="20"/>
              </w:rPr>
              <w:t>с.Ташевка</w:t>
            </w:r>
          </w:p>
        </w:tc>
        <w:tc>
          <w:tcPr>
            <w:tcW w:w="1690" w:type="dxa"/>
            <w:tcBorders>
              <w:top w:val="single" w:sz="4" w:space="0" w:color="000000"/>
              <w:left w:val="single" w:sz="4" w:space="0" w:color="000000"/>
              <w:bottom w:val="single" w:sz="4" w:space="0" w:color="000000"/>
              <w:right w:val="single" w:sz="4" w:space="0" w:color="000000"/>
            </w:tcBorders>
            <w:vAlign w:val="center"/>
          </w:tcPr>
          <w:p>
            <w:pPr>
              <w:pStyle w:val="Style76"/>
              <w:widowControl w:val="false"/>
              <w:jc w:val="center"/>
              <w:rPr>
                <w:color w:val="000000"/>
                <w:sz w:val="20"/>
                <w:szCs w:val="20"/>
              </w:rPr>
            </w:pPr>
            <w:r>
              <w:rPr>
                <w:color w:val="000000"/>
                <w:sz w:val="20"/>
                <w:szCs w:val="20"/>
              </w:rPr>
              <w:t>Детский оздоровительный лагерь</w:t>
            </w:r>
          </w:p>
        </w:tc>
        <w:tc>
          <w:tcPr>
            <w:tcW w:w="1524" w:type="dxa"/>
            <w:tcBorders>
              <w:top w:val="single" w:sz="4" w:space="0" w:color="000000"/>
              <w:left w:val="single" w:sz="4" w:space="0" w:color="000000"/>
              <w:bottom w:val="single" w:sz="4" w:space="0" w:color="000000"/>
              <w:right w:val="single" w:sz="4" w:space="0" w:color="000000"/>
            </w:tcBorders>
            <w:vAlign w:val="center"/>
          </w:tcPr>
          <w:p>
            <w:pPr>
              <w:pStyle w:val="Style76"/>
              <w:widowControl w:val="false"/>
              <w:jc w:val="center"/>
              <w:rPr>
                <w:color w:val="000000"/>
                <w:sz w:val="20"/>
                <w:szCs w:val="20"/>
              </w:rPr>
            </w:pPr>
            <w:r>
              <w:rPr>
                <w:color w:val="000000"/>
                <w:sz w:val="20"/>
                <w:szCs w:val="20"/>
              </w:rPr>
              <w:t>Реконструкция</w:t>
            </w:r>
          </w:p>
        </w:tc>
        <w:tc>
          <w:tcPr>
            <w:tcW w:w="1709" w:type="dxa"/>
            <w:tcBorders>
              <w:top w:val="single" w:sz="4" w:space="0" w:color="000000"/>
              <w:left w:val="single" w:sz="4" w:space="0" w:color="000000"/>
              <w:bottom w:val="single" w:sz="4" w:space="0" w:color="000000"/>
              <w:right w:val="single" w:sz="4" w:space="0" w:color="000000"/>
            </w:tcBorders>
            <w:vAlign w:val="center"/>
          </w:tcPr>
          <w:p>
            <w:pPr>
              <w:pStyle w:val="Style76"/>
              <w:widowControl w:val="false"/>
              <w:jc w:val="center"/>
              <w:rPr>
                <w:color w:val="000000"/>
                <w:sz w:val="20"/>
                <w:szCs w:val="20"/>
              </w:rPr>
            </w:pPr>
            <w:r>
              <w:rPr>
                <w:color w:val="000000"/>
                <w:sz w:val="20"/>
                <w:szCs w:val="20"/>
              </w:rPr>
              <w:t>мест</w:t>
            </w:r>
          </w:p>
        </w:tc>
        <w:tc>
          <w:tcPr>
            <w:tcW w:w="15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76"/>
              <w:widowControl w:val="false"/>
              <w:jc w:val="center"/>
              <w:rPr>
                <w:color w:val="000000"/>
                <w:sz w:val="20"/>
                <w:szCs w:val="20"/>
              </w:rPr>
            </w:pPr>
            <w:r>
              <w:rPr>
                <w:color w:val="000000"/>
                <w:sz w:val="20"/>
                <w:szCs w:val="20"/>
              </w:rPr>
              <w:t>-</w:t>
            </w:r>
          </w:p>
        </w:tc>
        <w:tc>
          <w:tcPr>
            <w:tcW w:w="162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Style76"/>
              <w:widowControl w:val="false"/>
              <w:jc w:val="center"/>
              <w:rPr>
                <w:color w:val="000000"/>
                <w:sz w:val="20"/>
                <w:szCs w:val="20"/>
              </w:rPr>
            </w:pPr>
            <w:r>
              <w:rPr>
                <w:color w:val="000000"/>
                <w:sz w:val="20"/>
                <w:szCs w:val="20"/>
              </w:rPr>
              <w:t>50</w:t>
            </w:r>
          </w:p>
        </w:tc>
        <w:tc>
          <w:tcPr>
            <w:tcW w:w="14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75"/>
              <w:widowControl w:val="false"/>
              <w:rPr>
                <w:color w:val="000000"/>
                <w:sz w:val="20"/>
                <w:szCs w:val="20"/>
              </w:rPr>
            </w:pPr>
            <w:r>
              <w:rPr>
                <w:color w:val="000000"/>
                <w:sz w:val="20"/>
                <w:szCs w:val="20"/>
              </w:rPr>
              <w:t>+</w:t>
            </w:r>
          </w:p>
        </w:tc>
        <w:tc>
          <w:tcPr>
            <w:tcW w:w="1467"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w:t>
            </w:r>
          </w:p>
        </w:tc>
        <w:tc>
          <w:tcPr>
            <w:tcW w:w="1772" w:type="dxa"/>
            <w:tcBorders>
              <w:top w:val="single" w:sz="4" w:space="0" w:color="000000"/>
              <w:left w:val="single" w:sz="4" w:space="0" w:color="000000"/>
              <w:bottom w:val="single" w:sz="4" w:space="0" w:color="000000"/>
              <w:right w:val="single" w:sz="4" w:space="0" w:color="000000"/>
            </w:tcBorders>
            <w:vAlign w:val="center"/>
          </w:tcPr>
          <w:p>
            <w:pPr>
              <w:pStyle w:val="Style76"/>
              <w:widowControl w:val="false"/>
              <w:jc w:val="center"/>
              <w:rPr>
                <w:color w:val="000000"/>
                <w:sz w:val="20"/>
                <w:szCs w:val="20"/>
              </w:rPr>
            </w:pPr>
            <w:r>
              <w:rPr>
                <w:color w:val="000000"/>
                <w:sz w:val="20"/>
                <w:szCs w:val="20"/>
              </w:rPr>
              <w:t>СТП Верхнеуслонского МР</w:t>
            </w:r>
          </w:p>
        </w:tc>
      </w:tr>
      <w:tr>
        <w:trPr>
          <w:tblHeader w:val="true"/>
          <w:trHeight w:val="381" w:hRule="atLeast"/>
          <w:cantSplit w:val="true"/>
        </w:trPr>
        <w:tc>
          <w:tcPr>
            <w:tcW w:w="4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lang w:eastAsia="en-US"/>
              </w:rPr>
            </w:pPr>
            <w:r>
              <w:rPr>
                <w:sz w:val="20"/>
                <w:szCs w:val="20"/>
                <w:lang w:eastAsia="en-US"/>
              </w:rPr>
              <w:t>4*</w:t>
            </w:r>
          </w:p>
        </w:tc>
        <w:tc>
          <w:tcPr>
            <w:tcW w:w="16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lang w:eastAsia="en-US"/>
              </w:rPr>
            </w:pPr>
            <w:r>
              <w:rPr>
                <w:sz w:val="20"/>
                <w:szCs w:val="20"/>
                <w:lang w:eastAsia="en-US"/>
              </w:rPr>
              <w:t>Вахитовское сельское поселение</w:t>
            </w:r>
          </w:p>
        </w:tc>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lang w:eastAsia="en-US"/>
              </w:rPr>
            </w:pPr>
            <w:r>
              <w:rPr>
                <w:sz w:val="20"/>
                <w:szCs w:val="20"/>
                <w:lang w:eastAsia="en-US"/>
              </w:rPr>
              <w:t>Туристический проект «Волжская тропа»</w:t>
            </w:r>
          </w:p>
        </w:tc>
        <w:tc>
          <w:tcPr>
            <w:tcW w:w="15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lang w:eastAsia="en-US"/>
              </w:rPr>
            </w:pPr>
            <w:r>
              <w:rPr>
                <w:sz w:val="20"/>
                <w:szCs w:val="20"/>
                <w:lang w:eastAsia="en-US"/>
              </w:rPr>
              <w:t>Объекты экологического туризма, размещение навесов, приютов и сервисных зон</w:t>
            </w:r>
          </w:p>
        </w:tc>
        <w:tc>
          <w:tcPr>
            <w:tcW w:w="17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lang w:eastAsia="en-US"/>
              </w:rPr>
            </w:pPr>
            <w:r>
              <w:rPr>
                <w:sz w:val="20"/>
                <w:szCs w:val="20"/>
                <w:lang w:eastAsia="en-US"/>
              </w:rPr>
              <w:t>-</w:t>
            </w:r>
          </w:p>
        </w:tc>
        <w:tc>
          <w:tcPr>
            <w:tcW w:w="15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sz w:val="20"/>
                <w:szCs w:val="20"/>
                <w:lang w:eastAsia="en-US"/>
              </w:rPr>
            </w:pPr>
            <w:r>
              <w:rPr>
                <w:sz w:val="20"/>
                <w:szCs w:val="20"/>
                <w:lang w:eastAsia="en-US"/>
              </w:rPr>
              <w:t>-</w:t>
            </w:r>
          </w:p>
        </w:tc>
        <w:tc>
          <w:tcPr>
            <w:tcW w:w="16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sz w:val="20"/>
                <w:szCs w:val="20"/>
                <w:lang w:eastAsia="en-US"/>
              </w:rPr>
            </w:pPr>
            <w:r>
              <w:rPr>
                <w:sz w:val="20"/>
                <w:szCs w:val="20"/>
                <w:lang w:eastAsia="en-US"/>
              </w:rPr>
              <w:t>-</w:t>
            </w:r>
          </w:p>
        </w:tc>
        <w:tc>
          <w:tcPr>
            <w:tcW w:w="14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sz w:val="20"/>
                <w:szCs w:val="20"/>
                <w:lang w:eastAsia="en-US"/>
              </w:rPr>
            </w:pPr>
            <w:r>
              <w:rPr>
                <w:sz w:val="20"/>
                <w:szCs w:val="20"/>
                <w:lang w:eastAsia="en-US"/>
              </w:rPr>
              <w:t>-</w:t>
            </w:r>
          </w:p>
        </w:tc>
        <w:tc>
          <w:tcPr>
            <w:tcW w:w="14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lang w:eastAsia="en-US"/>
              </w:rPr>
            </w:pPr>
            <w:r>
              <w:rPr>
                <w:sz w:val="20"/>
                <w:szCs w:val="20"/>
                <w:lang w:eastAsia="en-US"/>
              </w:rPr>
              <w:t>-</w:t>
            </w:r>
          </w:p>
        </w:tc>
        <w:tc>
          <w:tcPr>
            <w:tcW w:w="1772" w:type="dxa"/>
            <w:tcBorders>
              <w:top w:val="single" w:sz="4" w:space="0" w:color="000000"/>
              <w:left w:val="single" w:sz="4" w:space="0" w:color="000000"/>
              <w:bottom w:val="single" w:sz="4" w:space="0" w:color="000000"/>
              <w:right w:val="single" w:sz="4" w:space="0" w:color="000000"/>
            </w:tcBorders>
            <w:vAlign w:val="center"/>
          </w:tcPr>
          <w:p>
            <w:pPr>
              <w:pStyle w:val="114"/>
              <w:widowControl w:val="false"/>
              <w:rPr>
                <w:color w:val="000000"/>
                <w:sz w:val="20"/>
                <w:szCs w:val="20"/>
              </w:rPr>
            </w:pPr>
            <w:r>
              <w:rPr>
                <w:color w:val="000000"/>
                <w:sz w:val="20"/>
                <w:szCs w:val="20"/>
              </w:rPr>
              <w:t>Проект внесения изменений в генеральный план Вахитовского СП</w:t>
            </w:r>
          </w:p>
        </w:tc>
      </w:tr>
      <w:tr>
        <w:trPr>
          <w:tblHeader w:val="true"/>
          <w:trHeight w:val="245" w:hRule="atLeast"/>
          <w:cantSplit w:val="true"/>
        </w:trPr>
        <w:tc>
          <w:tcPr>
            <w:tcW w:w="14851" w:type="dxa"/>
            <w:gridSpan w:val="10"/>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aps/>
                <w:color w:val="000000"/>
                <w:sz w:val="20"/>
                <w:szCs w:val="20"/>
              </w:rPr>
              <w:t>МЕРОПРИЯТИЯ Местного значения (ПОСЕЛЕНИЯ)</w:t>
            </w:r>
          </w:p>
        </w:tc>
      </w:tr>
      <w:tr>
        <w:trPr>
          <w:tblHeader w:val="true"/>
          <w:trHeight w:val="221" w:hRule="atLeast"/>
          <w:cantSplit w:val="true"/>
        </w:trPr>
        <w:tc>
          <w:tcPr>
            <w:tcW w:w="479"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pacing w:before="0" w:after="0"/>
              <w:ind w:left="0" w:hanging="0"/>
              <w:jc w:val="center"/>
              <w:rPr>
                <w:color w:val="000000"/>
                <w:sz w:val="20"/>
                <w:szCs w:val="20"/>
              </w:rPr>
            </w:pPr>
            <w:r>
              <w:rPr>
                <w:color w:val="000000"/>
                <w:sz w:val="20"/>
                <w:szCs w:val="20"/>
              </w:rPr>
              <w:t>1</w:t>
            </w:r>
          </w:p>
        </w:tc>
        <w:tc>
          <w:tcPr>
            <w:tcW w:w="16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Вахитовское сельское поселение</w:t>
            </w:r>
          </w:p>
          <w:p>
            <w:pPr>
              <w:pStyle w:val="Normal"/>
              <w:widowControl w:val="false"/>
              <w:ind w:hanging="0"/>
              <w:jc w:val="center"/>
              <w:rPr>
                <w:color w:val="000000"/>
                <w:sz w:val="20"/>
                <w:szCs w:val="20"/>
              </w:rPr>
            </w:pPr>
            <w:r>
              <w:rPr>
                <w:color w:val="000000"/>
                <w:sz w:val="20"/>
                <w:szCs w:val="20"/>
              </w:rPr>
            </w:r>
          </w:p>
        </w:tc>
        <w:tc>
          <w:tcPr>
            <w:tcW w:w="1690" w:type="dxa"/>
            <w:tcBorders>
              <w:top w:val="single" w:sz="4" w:space="0" w:color="000000"/>
              <w:left w:val="single" w:sz="4" w:space="0" w:color="000000"/>
              <w:bottom w:val="single" w:sz="4" w:space="0" w:color="000000"/>
              <w:right w:val="single" w:sz="4" w:space="0" w:color="000000"/>
            </w:tcBorders>
            <w:vAlign w:val="center"/>
          </w:tcPr>
          <w:p>
            <w:pPr>
              <w:pStyle w:val="Style77"/>
              <w:widowControl w:val="false"/>
              <w:spacing w:lineRule="auto" w:line="240"/>
              <w:ind w:left="0" w:hanging="0"/>
              <w:jc w:val="center"/>
              <w:rPr>
                <w:color w:val="000000"/>
                <w:sz w:val="20"/>
                <w:szCs w:val="20"/>
              </w:rPr>
            </w:pPr>
            <w:r>
              <w:rPr>
                <w:color w:val="000000"/>
                <w:sz w:val="20"/>
                <w:szCs w:val="20"/>
              </w:rPr>
              <w:t>Озеленение общего пользования</w:t>
            </w:r>
          </w:p>
        </w:tc>
        <w:tc>
          <w:tcPr>
            <w:tcW w:w="1524" w:type="dxa"/>
            <w:tcBorders>
              <w:top w:val="single" w:sz="4" w:space="0" w:color="000000"/>
              <w:left w:val="single" w:sz="4" w:space="0" w:color="000000"/>
              <w:bottom w:val="single" w:sz="4" w:space="0" w:color="000000"/>
              <w:right w:val="single" w:sz="4" w:space="0" w:color="000000"/>
            </w:tcBorders>
            <w:vAlign w:val="center"/>
          </w:tcPr>
          <w:p>
            <w:pPr>
              <w:pStyle w:val="Style77"/>
              <w:widowControl w:val="false"/>
              <w:spacing w:lineRule="auto" w:line="240"/>
              <w:ind w:left="0" w:hanging="0"/>
              <w:jc w:val="center"/>
              <w:rPr>
                <w:color w:val="000000"/>
                <w:sz w:val="20"/>
                <w:szCs w:val="20"/>
              </w:rPr>
            </w:pPr>
            <w:r>
              <w:rPr>
                <w:color w:val="000000"/>
                <w:sz w:val="20"/>
                <w:szCs w:val="20"/>
              </w:rPr>
              <w:t>Организация системы</w:t>
            </w:r>
          </w:p>
          <w:p>
            <w:pPr>
              <w:pStyle w:val="Style77"/>
              <w:widowControl w:val="false"/>
              <w:spacing w:lineRule="auto" w:line="240"/>
              <w:ind w:left="0" w:hanging="0"/>
              <w:jc w:val="center"/>
              <w:rPr>
                <w:color w:val="000000"/>
                <w:sz w:val="20"/>
                <w:szCs w:val="20"/>
              </w:rPr>
            </w:pPr>
            <w:r>
              <w:rPr>
                <w:color w:val="000000"/>
                <w:sz w:val="20"/>
                <w:szCs w:val="20"/>
              </w:rPr>
              <w:t>зеленых насаждений</w:t>
            </w:r>
          </w:p>
        </w:tc>
        <w:tc>
          <w:tcPr>
            <w:tcW w:w="1709" w:type="dxa"/>
            <w:tcBorders>
              <w:top w:val="single" w:sz="4" w:space="0" w:color="000000"/>
              <w:left w:val="single" w:sz="4" w:space="0" w:color="000000"/>
              <w:bottom w:val="single" w:sz="4" w:space="0" w:color="000000"/>
              <w:right w:val="single" w:sz="4" w:space="0" w:color="000000"/>
            </w:tcBorders>
            <w:vAlign w:val="center"/>
          </w:tcPr>
          <w:p>
            <w:pPr>
              <w:pStyle w:val="Style77"/>
              <w:widowControl w:val="false"/>
              <w:spacing w:lineRule="auto" w:line="240"/>
              <w:ind w:left="0" w:hanging="0"/>
              <w:jc w:val="center"/>
              <w:rPr>
                <w:color w:val="000000"/>
                <w:sz w:val="20"/>
                <w:szCs w:val="20"/>
              </w:rPr>
            </w:pPr>
            <w:r>
              <w:rPr>
                <w:color w:val="000000"/>
                <w:sz w:val="20"/>
                <w:szCs w:val="20"/>
              </w:rPr>
              <w:t>-</w:t>
            </w:r>
          </w:p>
        </w:tc>
        <w:tc>
          <w:tcPr>
            <w:tcW w:w="1526" w:type="dxa"/>
            <w:tcBorders>
              <w:top w:val="single" w:sz="4" w:space="0" w:color="000000"/>
              <w:left w:val="single" w:sz="4" w:space="0" w:color="000000"/>
              <w:bottom w:val="single" w:sz="4" w:space="0" w:color="000000"/>
              <w:right w:val="single" w:sz="4" w:space="0" w:color="000000"/>
            </w:tcBorders>
            <w:vAlign w:val="center"/>
          </w:tcPr>
          <w:p>
            <w:pPr>
              <w:pStyle w:val="Style77"/>
              <w:widowControl w:val="false"/>
              <w:spacing w:lineRule="auto" w:line="240"/>
              <w:ind w:left="0" w:hanging="0"/>
              <w:jc w:val="center"/>
              <w:rPr>
                <w:color w:val="000000"/>
                <w:sz w:val="20"/>
                <w:szCs w:val="20"/>
              </w:rPr>
            </w:pPr>
            <w:r>
              <w:rPr>
                <w:color w:val="000000"/>
                <w:sz w:val="20"/>
                <w:szCs w:val="20"/>
              </w:rPr>
              <w:t>-</w:t>
            </w:r>
          </w:p>
        </w:tc>
        <w:tc>
          <w:tcPr>
            <w:tcW w:w="1622" w:type="dxa"/>
            <w:tcBorders>
              <w:top w:val="single" w:sz="4" w:space="0" w:color="000000"/>
              <w:left w:val="single" w:sz="4" w:space="0" w:color="000000"/>
              <w:bottom w:val="single" w:sz="4" w:space="0" w:color="000000"/>
              <w:right w:val="single" w:sz="4" w:space="0" w:color="000000"/>
            </w:tcBorders>
            <w:vAlign w:val="center"/>
          </w:tcPr>
          <w:p>
            <w:pPr>
              <w:pStyle w:val="Style77"/>
              <w:widowControl w:val="false"/>
              <w:spacing w:lineRule="auto" w:line="240"/>
              <w:ind w:left="0" w:hanging="0"/>
              <w:jc w:val="center"/>
              <w:rPr>
                <w:color w:val="000000"/>
                <w:sz w:val="20"/>
                <w:szCs w:val="20"/>
              </w:rPr>
            </w:pPr>
            <w:r>
              <w:rPr>
                <w:color w:val="000000"/>
                <w:sz w:val="20"/>
                <w:szCs w:val="20"/>
              </w:rPr>
              <w:t>-</w:t>
            </w:r>
          </w:p>
        </w:tc>
        <w:tc>
          <w:tcPr>
            <w:tcW w:w="1441" w:type="dxa"/>
            <w:tcBorders>
              <w:top w:val="single" w:sz="4" w:space="0" w:color="000000"/>
              <w:left w:val="single" w:sz="4" w:space="0" w:color="000000"/>
              <w:bottom w:val="single" w:sz="4" w:space="0" w:color="000000"/>
              <w:right w:val="single" w:sz="4" w:space="0" w:color="000000"/>
            </w:tcBorders>
            <w:vAlign w:val="center"/>
          </w:tcPr>
          <w:p>
            <w:pPr>
              <w:pStyle w:val="Style77"/>
              <w:widowControl w:val="false"/>
              <w:spacing w:lineRule="auto" w:line="240"/>
              <w:ind w:left="0" w:hanging="0"/>
              <w:jc w:val="center"/>
              <w:rPr>
                <w:color w:val="000000"/>
                <w:sz w:val="20"/>
                <w:szCs w:val="20"/>
              </w:rPr>
            </w:pPr>
            <w:r>
              <w:rPr>
                <w:color w:val="000000"/>
                <w:sz w:val="20"/>
                <w:szCs w:val="20"/>
              </w:rPr>
              <w:t>+</w:t>
            </w:r>
          </w:p>
        </w:tc>
        <w:tc>
          <w:tcPr>
            <w:tcW w:w="1467" w:type="dxa"/>
            <w:tcBorders>
              <w:top w:val="single" w:sz="4" w:space="0" w:color="000000"/>
              <w:left w:val="single" w:sz="4" w:space="0" w:color="000000"/>
              <w:bottom w:val="single" w:sz="4" w:space="0" w:color="000000"/>
              <w:right w:val="single" w:sz="4" w:space="0" w:color="000000"/>
            </w:tcBorders>
            <w:vAlign w:val="center"/>
          </w:tcPr>
          <w:p>
            <w:pPr>
              <w:pStyle w:val="Style77"/>
              <w:widowControl w:val="false"/>
              <w:spacing w:lineRule="auto" w:line="240"/>
              <w:ind w:left="0" w:hanging="0"/>
              <w:jc w:val="center"/>
              <w:rPr>
                <w:color w:val="000000"/>
                <w:sz w:val="20"/>
                <w:szCs w:val="20"/>
              </w:rPr>
            </w:pPr>
            <w:r>
              <w:rPr>
                <w:color w:val="000000"/>
                <w:sz w:val="20"/>
                <w:szCs w:val="20"/>
              </w:rPr>
              <w:t>+</w:t>
            </w:r>
          </w:p>
        </w:tc>
        <w:tc>
          <w:tcPr>
            <w:tcW w:w="1772"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Генеральный план Вахитовского СП</w:t>
            </w:r>
          </w:p>
        </w:tc>
      </w:tr>
    </w:tbl>
    <w:p>
      <w:pPr>
        <w:pStyle w:val="Style30"/>
        <w:ind w:hanging="0"/>
        <w:rPr>
          <w:sz w:val="24"/>
          <w:szCs w:val="28"/>
        </w:rPr>
      </w:pPr>
      <w:r>
        <w:rPr>
          <w:szCs w:val="28"/>
        </w:rPr>
        <w:tab/>
      </w:r>
      <w:r>
        <w:rPr>
          <w:sz w:val="24"/>
          <w:szCs w:val="28"/>
        </w:rPr>
        <w:t>* Генеральным планом сельского поселения данное мероприятие может быть предложено при условии включения его в документы территориального планирования и программы соответствующего уровня.</w:t>
      </w:r>
    </w:p>
    <w:p>
      <w:pPr>
        <w:sectPr>
          <w:footerReference w:type="default" r:id="rId15"/>
          <w:type w:val="nextPage"/>
          <w:pgSz w:orient="landscape" w:w="16838" w:h="11906"/>
          <w:pgMar w:left="1134" w:right="851" w:gutter="0" w:header="0" w:top="851" w:footer="709" w:bottom="851"/>
          <w:pgNumType w:fmt="decimal"/>
          <w:formProt w:val="false"/>
          <w:textDirection w:val="lrTb"/>
          <w:docGrid w:type="default" w:linePitch="360" w:charSpace="0"/>
        </w:sectPr>
        <w:pStyle w:val="Normal"/>
        <w:tabs>
          <w:tab w:val="clear" w:pos="709"/>
          <w:tab w:val="left" w:pos="330" w:leader="none"/>
          <w:tab w:val="right" w:pos="14853" w:leader="none"/>
        </w:tabs>
        <w:ind w:hanging="0"/>
        <w:jc w:val="left"/>
        <w:rPr>
          <w:szCs w:val="28"/>
        </w:rPr>
      </w:pPr>
      <w:r>
        <w:rPr>
          <w:szCs w:val="28"/>
        </w:rPr>
        <w:tab/>
      </w:r>
    </w:p>
    <w:p>
      <w:pPr>
        <w:pStyle w:val="2"/>
        <w:numPr>
          <w:ilvl w:val="1"/>
          <w:numId w:val="3"/>
        </w:numPr>
        <w:ind w:left="0" w:hanging="375"/>
        <w:jc w:val="both"/>
        <w:rPr/>
      </w:pPr>
      <w:bookmarkStart w:id="70" w:name="_Toc156489385"/>
      <w:bookmarkStart w:id="71" w:name="_Toc260476343"/>
      <w:r>
        <w:rPr/>
        <w:t xml:space="preserve">. Мероприятия по развитию </w:t>
      </w:r>
      <w:bookmarkEnd w:id="71"/>
      <w:r>
        <w:rPr/>
        <w:t>транспортно-коммуникационной инфраструктуры</w:t>
      </w:r>
      <w:bookmarkEnd w:id="70"/>
      <w:r>
        <w:rPr/>
        <w:t xml:space="preserve"> </w:t>
      </w:r>
    </w:p>
    <w:p>
      <w:pPr>
        <w:pStyle w:val="Normal"/>
        <w:jc w:val="both"/>
        <w:rPr/>
      </w:pPr>
      <w:bookmarkStart w:id="72" w:name="_Hlk151560652"/>
      <w:r>
        <w:rPr>
          <w:color w:val="000000"/>
          <w:szCs w:val="28"/>
        </w:rPr>
        <w:t>Основной целью раздела «Развитие транспортно-коммуникационной инфраструктуры» Вахитовского сельского поселения в составе генерального плана Вахитовского сельского поселения Верхнеуслонского муниципального района является развитие автомобильных дорог в соответствии с потребностями населения, с увеличением эффективности и конкурентоспособности экономики поселения, с обеспечением требуемого технического состояния, пропускной способности, безопасности и плотности дорожной сети.</w:t>
      </w:r>
    </w:p>
    <w:p>
      <w:pPr>
        <w:pStyle w:val="Default"/>
        <w:tabs>
          <w:tab w:val="clear" w:pos="709"/>
          <w:tab w:val="left" w:pos="0" w:leader="none"/>
        </w:tabs>
        <w:ind w:firstLine="709"/>
        <w:jc w:val="both"/>
        <w:rPr/>
      </w:pPr>
      <w:bookmarkStart w:id="73" w:name="_Hlk151560652"/>
      <w:r>
        <w:rPr>
          <w:sz w:val="28"/>
          <w:szCs w:val="28"/>
        </w:rPr>
        <w:t>Под влиянием транспортного каркаса территории Республики Татарстан формируется планировочная структура Верхнеуслонского муниципального района и как следствие планировочная структура территории Вахитовского сельского поселения.</w:t>
      </w:r>
      <w:bookmarkEnd w:id="73"/>
    </w:p>
    <w:p>
      <w:pPr>
        <w:pStyle w:val="Default"/>
        <w:tabs>
          <w:tab w:val="clear" w:pos="709"/>
          <w:tab w:val="left" w:pos="0" w:leader="none"/>
        </w:tabs>
        <w:ind w:firstLine="709"/>
        <w:jc w:val="both"/>
        <w:rPr>
          <w:b/>
          <w:i/>
          <w:i/>
          <w:color w:val="auto"/>
          <w:sz w:val="28"/>
          <w:szCs w:val="28"/>
        </w:rPr>
      </w:pPr>
      <w:r>
        <w:rPr>
          <w:b/>
          <w:i/>
          <w:color w:val="auto"/>
          <w:sz w:val="28"/>
          <w:szCs w:val="28"/>
        </w:rPr>
      </w:r>
    </w:p>
    <w:p>
      <w:pPr>
        <w:pStyle w:val="Default"/>
        <w:tabs>
          <w:tab w:val="clear" w:pos="709"/>
          <w:tab w:val="left" w:pos="0" w:leader="none"/>
        </w:tabs>
        <w:ind w:firstLine="709"/>
        <w:jc w:val="both"/>
        <w:rPr/>
      </w:pPr>
      <w:r>
        <w:rPr>
          <w:b/>
          <w:color w:val="auto"/>
          <w:sz w:val="28"/>
          <w:szCs w:val="28"/>
        </w:rPr>
        <w:t>Развитие автомобильных дорог общего пользования</w:t>
      </w:r>
    </w:p>
    <w:p>
      <w:pPr>
        <w:pStyle w:val="Normal"/>
        <w:jc w:val="both"/>
        <w:rPr/>
      </w:pPr>
      <w:r>
        <w:rPr>
          <w:color w:val="000000"/>
          <w:szCs w:val="28"/>
        </w:rPr>
        <w:t>Генеральным планом на территории Вахитовского сельского поселения на первую очередь предусмотрено:</w:t>
      </w:r>
    </w:p>
    <w:p>
      <w:pPr>
        <w:pStyle w:val="Normal"/>
        <w:jc w:val="both"/>
        <w:rPr/>
      </w:pPr>
      <w:r>
        <w:rPr>
          <w:rStyle w:val="Style21"/>
          <w:color w:val="000000"/>
          <w:szCs w:val="28"/>
        </w:rPr>
        <w:t xml:space="preserve">– </w:t>
      </w:r>
      <w:r>
        <w:rPr>
          <w:color w:val="000000"/>
          <w:szCs w:val="28"/>
        </w:rPr>
        <w:t>строительство (устройство асфальтобетонного покрытия) автомобильной дороги регионального значения «Казань - Ульяновск - Камское Устье – Гребени» протяженностью 2 км;</w:t>
      </w:r>
    </w:p>
    <w:p>
      <w:pPr>
        <w:pStyle w:val="Normal"/>
        <w:jc w:val="both"/>
        <w:rPr/>
      </w:pPr>
      <w:r>
        <w:rPr>
          <w:rStyle w:val="Style21"/>
          <w:color w:val="000000"/>
          <w:szCs w:val="28"/>
        </w:rPr>
        <w:t xml:space="preserve">– </w:t>
      </w:r>
      <w:r>
        <w:rPr>
          <w:color w:val="000000"/>
          <w:szCs w:val="28"/>
        </w:rPr>
        <w:t>строительство автодорожного моста в п.Бакча-Сарай;</w:t>
      </w:r>
    </w:p>
    <w:p>
      <w:pPr>
        <w:pStyle w:val="Normal"/>
        <w:jc w:val="both"/>
        <w:rPr/>
      </w:pPr>
      <w:r>
        <w:rPr>
          <w:rStyle w:val="Style21"/>
          <w:color w:val="000000"/>
          <w:szCs w:val="28"/>
        </w:rPr>
        <w:t xml:space="preserve">– </w:t>
      </w:r>
      <w:r>
        <w:rPr>
          <w:color w:val="000000"/>
          <w:szCs w:val="28"/>
        </w:rPr>
        <w:t>строительство (устройство асфальтобетонного покрытия) автомобильной дороги местного значения «Подъезд к п.Бакча-Сарай» протяженностью 0,6 км.</w:t>
      </w:r>
    </w:p>
    <w:p>
      <w:pPr>
        <w:pStyle w:val="ListBullet"/>
        <w:numPr>
          <w:ilvl w:val="0"/>
          <w:numId w:val="0"/>
        </w:numPr>
        <w:ind w:left="0" w:firstLine="709"/>
        <w:jc w:val="both"/>
        <w:rPr/>
      </w:pPr>
      <w:r>
        <w:rPr/>
        <w:t>Предусмотренные генеральным планом Вахитовского сельского поселения мероприятия указаны в таблице 4.10.1.</w:t>
      </w:r>
    </w:p>
    <w:p>
      <w:pPr>
        <w:pStyle w:val="Default"/>
        <w:tabs>
          <w:tab w:val="clear" w:pos="709"/>
          <w:tab w:val="left" w:pos="0" w:leader="none"/>
        </w:tabs>
        <w:jc w:val="both"/>
        <w:rPr>
          <w:b/>
          <w:color w:val="auto"/>
          <w:sz w:val="28"/>
          <w:szCs w:val="28"/>
        </w:rPr>
      </w:pPr>
      <w:r>
        <w:rPr>
          <w:b/>
          <w:color w:val="auto"/>
          <w:sz w:val="28"/>
          <w:szCs w:val="28"/>
        </w:rPr>
      </w:r>
    </w:p>
    <w:p>
      <w:pPr>
        <w:pStyle w:val="Default"/>
        <w:tabs>
          <w:tab w:val="clear" w:pos="709"/>
          <w:tab w:val="left" w:pos="0" w:leader="none"/>
        </w:tabs>
        <w:ind w:firstLine="567"/>
        <w:jc w:val="center"/>
        <w:rPr>
          <w:b/>
          <w:color w:val="auto"/>
          <w:sz w:val="28"/>
          <w:szCs w:val="28"/>
        </w:rPr>
      </w:pPr>
      <w:r>
        <w:rPr>
          <w:b/>
          <w:color w:val="auto"/>
          <w:sz w:val="28"/>
          <w:szCs w:val="28"/>
        </w:rPr>
        <w:t>Развитие улично-дорожной сети</w:t>
      </w:r>
    </w:p>
    <w:p>
      <w:pPr>
        <w:sectPr>
          <w:footerReference w:type="default" r:id="rId16"/>
          <w:footerReference w:type="first" r:id="rId17"/>
          <w:type w:val="nextPage"/>
          <w:pgSz w:w="11906" w:h="16838"/>
          <w:pgMar w:left="1134" w:right="851" w:gutter="0" w:header="0" w:top="851" w:footer="708" w:bottom="851"/>
          <w:pgNumType w:fmt="decimal"/>
          <w:formProt w:val="false"/>
          <w:textDirection w:val="lrTb"/>
          <w:docGrid w:type="default" w:linePitch="360" w:charSpace="0"/>
        </w:sectPr>
        <w:pStyle w:val="Default"/>
        <w:tabs>
          <w:tab w:val="clear" w:pos="709"/>
          <w:tab w:val="left" w:pos="0" w:leader="none"/>
        </w:tabs>
        <w:ind w:firstLine="709"/>
        <w:jc w:val="both"/>
        <w:rPr>
          <w:sz w:val="28"/>
          <w:szCs w:val="28"/>
        </w:rPr>
      </w:pPr>
      <w:bookmarkStart w:id="74" w:name="_Hlk151561329"/>
      <w:r>
        <w:rPr>
          <w:sz w:val="28"/>
          <w:szCs w:val="28"/>
        </w:rPr>
        <w:t>Генеральным планом предусмотрено строительство и капитальный ремонт (устройство асфальтобетонного покрытия) улиц и дорог на территории существующей жилой застройки в каждом из населенных пунктов Вахитовского сельского поселения. Учитывая неудовлетворительное состояние покрытия проезжей части основных и второстепенных улиц населенных пунктов, предполагается реконструкция существующей улично-дорожной сети.</w:t>
      </w:r>
      <w:bookmarkEnd w:id="74"/>
    </w:p>
    <w:p>
      <w:pPr>
        <w:pStyle w:val="Normal"/>
        <w:ind w:hanging="0"/>
        <w:rPr/>
      </w:pPr>
      <w:r>
        <w:rPr/>
      </w:r>
    </w:p>
    <w:p>
      <w:pPr>
        <w:pStyle w:val="Normal"/>
        <w:ind w:hanging="0"/>
        <w:jc w:val="right"/>
        <w:rPr/>
      </w:pPr>
      <w:r>
        <w:rPr/>
        <w:t>Таблица 3.9.1</w:t>
      </w:r>
    </w:p>
    <w:p>
      <w:pPr>
        <w:pStyle w:val="Normal"/>
        <w:ind w:hanging="0"/>
        <w:jc w:val="center"/>
        <w:rPr>
          <w:szCs w:val="28"/>
        </w:rPr>
      </w:pPr>
      <w:r>
        <w:rPr>
          <w:szCs w:val="28"/>
        </w:rPr>
        <w:t xml:space="preserve">Перечень мероприятий по развитию транспортно-коммуникационной инфраструктуры </w:t>
      </w:r>
    </w:p>
    <w:p>
      <w:pPr>
        <w:pStyle w:val="Normal"/>
        <w:ind w:hanging="0"/>
        <w:jc w:val="center"/>
        <w:rPr>
          <w:szCs w:val="28"/>
        </w:rPr>
      </w:pPr>
      <w:r>
        <w:rPr>
          <w:szCs w:val="28"/>
        </w:rPr>
        <w:t>Вахитовского сельского поселения</w:t>
      </w:r>
    </w:p>
    <w:tbl>
      <w:tblPr>
        <w:tblpPr w:bottomFromText="0" w:horzAnchor="text" w:leftFromText="180" w:rightFromText="180" w:tblpX="-99" w:tblpY="1" w:topFromText="0" w:vertAnchor="text"/>
        <w:tblW w:w="5000" w:type="pct"/>
        <w:jc w:val="left"/>
        <w:tblInd w:w="-5" w:type="dxa"/>
        <w:tblLayout w:type="fixed"/>
        <w:tblCellMar>
          <w:top w:w="0" w:type="dxa"/>
          <w:left w:w="108" w:type="dxa"/>
          <w:bottom w:w="0" w:type="dxa"/>
          <w:right w:w="108" w:type="dxa"/>
        </w:tblCellMar>
        <w:tblLook w:noVBand="0" w:val="01e0" w:noHBand="0" w:lastColumn="1" w:firstColumn="1" w:lastRow="1" w:firstRow="1"/>
      </w:tblPr>
      <w:tblGrid>
        <w:gridCol w:w="1522"/>
        <w:gridCol w:w="24"/>
        <w:gridCol w:w="1607"/>
        <w:gridCol w:w="1717"/>
        <w:gridCol w:w="23"/>
        <w:gridCol w:w="1839"/>
        <w:gridCol w:w="15"/>
        <w:gridCol w:w="1056"/>
        <w:gridCol w:w="27"/>
        <w:gridCol w:w="1512"/>
        <w:gridCol w:w="12"/>
        <w:gridCol w:w="1690"/>
        <w:gridCol w:w="12"/>
        <w:gridCol w:w="888"/>
        <w:gridCol w:w="1126"/>
        <w:gridCol w:w="1781"/>
      </w:tblGrid>
      <w:tr>
        <w:trPr/>
        <w:tc>
          <w:tcPr>
            <w:tcW w:w="152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 xml:space="preserve">№ </w:t>
            </w:r>
            <w:r>
              <w:rPr>
                <w:color w:val="000000"/>
                <w:sz w:val="20"/>
                <w:szCs w:val="20"/>
              </w:rPr>
              <w:t>п/п</w:t>
            </w:r>
          </w:p>
        </w:tc>
        <w:tc>
          <w:tcPr>
            <w:tcW w:w="1631"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Наименование населенного пункта, входящего в состав поселения</w:t>
            </w:r>
          </w:p>
        </w:tc>
        <w:tc>
          <w:tcPr>
            <w:tcW w:w="1740"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Наименование объекта</w:t>
            </w:r>
          </w:p>
        </w:tc>
        <w:tc>
          <w:tcPr>
            <w:tcW w:w="183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Вид</w:t>
            </w:r>
          </w:p>
          <w:p>
            <w:pPr>
              <w:pStyle w:val="Normal"/>
              <w:widowControl w:val="false"/>
              <w:ind w:hanging="0"/>
              <w:jc w:val="center"/>
              <w:rPr>
                <w:color w:val="000000"/>
                <w:sz w:val="20"/>
                <w:szCs w:val="20"/>
              </w:rPr>
            </w:pPr>
            <w:r>
              <w:rPr>
                <w:color w:val="000000"/>
                <w:sz w:val="20"/>
                <w:szCs w:val="20"/>
              </w:rPr>
              <w:t>мероприятия</w:t>
            </w:r>
          </w:p>
        </w:tc>
        <w:tc>
          <w:tcPr>
            <w:tcW w:w="1098" w:type="dxa"/>
            <w:gridSpan w:val="3"/>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Единица измерения</w:t>
            </w:r>
          </w:p>
        </w:tc>
        <w:tc>
          <w:tcPr>
            <w:tcW w:w="3226" w:type="dxa"/>
            <w:gridSpan w:val="4"/>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Мощность</w:t>
            </w:r>
          </w:p>
        </w:tc>
        <w:tc>
          <w:tcPr>
            <w:tcW w:w="201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Срок реализации</w:t>
            </w:r>
          </w:p>
        </w:tc>
        <w:tc>
          <w:tcPr>
            <w:tcW w:w="178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Источник мероприятия (наименование документа)</w:t>
            </w:r>
          </w:p>
        </w:tc>
      </w:tr>
      <w:tr>
        <w:trPr/>
        <w:tc>
          <w:tcPr>
            <w:tcW w:w="152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rPr>
                <w:color w:val="FF0066"/>
                <w:sz w:val="20"/>
                <w:szCs w:val="20"/>
              </w:rPr>
            </w:pPr>
            <w:r>
              <w:rPr>
                <w:color w:val="FF0066"/>
                <w:sz w:val="20"/>
                <w:szCs w:val="20"/>
              </w:rPr>
            </w:r>
          </w:p>
        </w:tc>
        <w:tc>
          <w:tcPr>
            <w:tcW w:w="1631"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rPr>
                <w:color w:val="FF0066"/>
                <w:sz w:val="20"/>
                <w:szCs w:val="20"/>
              </w:rPr>
            </w:pPr>
            <w:r>
              <w:rPr>
                <w:color w:val="FF0066"/>
                <w:sz w:val="20"/>
                <w:szCs w:val="20"/>
              </w:rPr>
            </w:r>
          </w:p>
        </w:tc>
        <w:tc>
          <w:tcPr>
            <w:tcW w:w="1740" w:type="dxa"/>
            <w:gridSpan w:val="2"/>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rPr>
                <w:color w:val="FF0066"/>
                <w:sz w:val="20"/>
                <w:szCs w:val="20"/>
              </w:rPr>
            </w:pPr>
            <w:r>
              <w:rPr>
                <w:color w:val="FF0066"/>
                <w:sz w:val="20"/>
                <w:szCs w:val="20"/>
              </w:rPr>
            </w:r>
          </w:p>
        </w:tc>
        <w:tc>
          <w:tcPr>
            <w:tcW w:w="1839"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rPr>
                <w:color w:val="FF0066"/>
                <w:sz w:val="20"/>
                <w:szCs w:val="20"/>
              </w:rPr>
            </w:pPr>
            <w:r>
              <w:rPr>
                <w:color w:val="FF0066"/>
                <w:sz w:val="20"/>
                <w:szCs w:val="20"/>
              </w:rPr>
            </w:r>
          </w:p>
        </w:tc>
        <w:tc>
          <w:tcPr>
            <w:tcW w:w="1098" w:type="dxa"/>
            <w:gridSpan w:val="3"/>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rPr>
                <w:color w:val="FF0066"/>
                <w:sz w:val="20"/>
                <w:szCs w:val="20"/>
              </w:rPr>
            </w:pPr>
            <w:r>
              <w:rPr>
                <w:color w:val="FF0066"/>
                <w:sz w:val="20"/>
                <w:szCs w:val="20"/>
              </w:rPr>
            </w:r>
          </w:p>
        </w:tc>
        <w:tc>
          <w:tcPr>
            <w:tcW w:w="152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Существующая</w:t>
            </w:r>
          </w:p>
        </w:tc>
        <w:tc>
          <w:tcPr>
            <w:tcW w:w="170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Новая</w:t>
            </w:r>
          </w:p>
          <w:p>
            <w:pPr>
              <w:pStyle w:val="Normal"/>
              <w:widowControl w:val="false"/>
              <w:ind w:hanging="0"/>
              <w:jc w:val="center"/>
              <w:rPr>
                <w:color w:val="000000"/>
                <w:sz w:val="20"/>
                <w:szCs w:val="20"/>
              </w:rPr>
            </w:pPr>
            <w:r>
              <w:rPr>
                <w:color w:val="000000"/>
                <w:sz w:val="20"/>
                <w:szCs w:val="20"/>
              </w:rPr>
              <w:t>(дополнительная)</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75"/>
              <w:widowControl w:val="false"/>
              <w:rPr>
                <w:color w:val="000000"/>
                <w:sz w:val="20"/>
                <w:szCs w:val="20"/>
              </w:rPr>
            </w:pPr>
            <w:r>
              <w:rPr>
                <w:color w:val="000000"/>
                <w:sz w:val="20"/>
                <w:szCs w:val="20"/>
              </w:rPr>
              <w:t>Первая очередь (до 2032 г.)</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75"/>
              <w:widowControl w:val="false"/>
              <w:rPr>
                <w:color w:val="000000"/>
                <w:sz w:val="20"/>
                <w:szCs w:val="20"/>
              </w:rPr>
            </w:pPr>
            <w:r>
              <w:rPr>
                <w:color w:val="000000"/>
                <w:sz w:val="20"/>
                <w:szCs w:val="20"/>
              </w:rPr>
              <w:t>Расчетный срок</w:t>
            </w:r>
          </w:p>
          <w:p>
            <w:pPr>
              <w:pStyle w:val="Style75"/>
              <w:widowControl w:val="false"/>
              <w:rPr>
                <w:color w:val="000000"/>
                <w:sz w:val="20"/>
                <w:szCs w:val="20"/>
              </w:rPr>
            </w:pPr>
            <w:r>
              <w:rPr>
                <w:color w:val="000000"/>
                <w:sz w:val="20"/>
                <w:szCs w:val="20"/>
              </w:rPr>
              <w:t>(2033-2047 гг.)</w:t>
            </w:r>
          </w:p>
        </w:tc>
        <w:tc>
          <w:tcPr>
            <w:tcW w:w="178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rPr>
                <w:color w:val="FF0066"/>
                <w:sz w:val="20"/>
                <w:szCs w:val="20"/>
              </w:rPr>
            </w:pPr>
            <w:r>
              <w:rPr>
                <w:color w:val="FF0066"/>
                <w:sz w:val="20"/>
                <w:szCs w:val="20"/>
              </w:rPr>
            </w:r>
          </w:p>
        </w:tc>
      </w:tr>
      <w:tr>
        <w:trPr/>
        <w:tc>
          <w:tcPr>
            <w:tcW w:w="14851"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МЕРОПРИЯТИЯ ФЕДЕРАЛЬНОГО ЗНАЧЕНИЯ</w:t>
            </w:r>
          </w:p>
        </w:tc>
      </w:tr>
      <w:tr>
        <w:trPr/>
        <w:tc>
          <w:tcPr>
            <w:tcW w:w="14851"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Автомобильные дороги общего пользования</w:t>
            </w:r>
          </w:p>
        </w:tc>
      </w:tr>
      <w:tr>
        <w:trPr/>
        <w:tc>
          <w:tcPr>
            <w:tcW w:w="154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1</w:t>
            </w:r>
          </w:p>
        </w:tc>
        <w:tc>
          <w:tcPr>
            <w:tcW w:w="16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Вахитовское СП</w:t>
            </w:r>
          </w:p>
        </w:tc>
        <w:tc>
          <w:tcPr>
            <w:tcW w:w="17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«Москва – Нижний Новгород – Казань»</w:t>
            </w:r>
          </w:p>
        </w:tc>
        <w:tc>
          <w:tcPr>
            <w:tcW w:w="1877"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Новое строительство</w:t>
            </w:r>
          </w:p>
        </w:tc>
        <w:tc>
          <w:tcPr>
            <w:tcW w:w="1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км</w:t>
            </w:r>
          </w:p>
        </w:tc>
        <w:tc>
          <w:tcPr>
            <w:tcW w:w="153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7,24</w:t>
            </w:r>
          </w:p>
        </w:tc>
        <w:tc>
          <w:tcPr>
            <w:tcW w:w="170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w:t>
            </w:r>
          </w:p>
        </w:tc>
        <w:tc>
          <w:tcPr>
            <w:tcW w:w="90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w:t>
            </w:r>
          </w:p>
        </w:tc>
        <w:tc>
          <w:tcPr>
            <w:tcW w:w="1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СТП РФ в области федерального транспорта</w:t>
            </w:r>
          </w:p>
        </w:tc>
      </w:tr>
      <w:tr>
        <w:trPr/>
        <w:tc>
          <w:tcPr>
            <w:tcW w:w="14851"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Искусственные дорожные сооружения</w:t>
            </w:r>
          </w:p>
        </w:tc>
      </w:tr>
      <w:tr>
        <w:trPr/>
        <w:tc>
          <w:tcPr>
            <w:tcW w:w="154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1</w:t>
            </w:r>
          </w:p>
        </w:tc>
        <w:tc>
          <w:tcPr>
            <w:tcW w:w="16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Вахитовское СП</w:t>
            </w:r>
          </w:p>
        </w:tc>
        <w:tc>
          <w:tcPr>
            <w:tcW w:w="17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Мост автодорожный</w:t>
            </w:r>
          </w:p>
        </w:tc>
        <w:tc>
          <w:tcPr>
            <w:tcW w:w="1877"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Новое строительство</w:t>
            </w:r>
          </w:p>
        </w:tc>
        <w:tc>
          <w:tcPr>
            <w:tcW w:w="1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объект</w:t>
            </w:r>
          </w:p>
        </w:tc>
        <w:tc>
          <w:tcPr>
            <w:tcW w:w="153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w:t>
            </w:r>
          </w:p>
        </w:tc>
        <w:tc>
          <w:tcPr>
            <w:tcW w:w="170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2</w:t>
            </w:r>
          </w:p>
        </w:tc>
        <w:tc>
          <w:tcPr>
            <w:tcW w:w="90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w:t>
            </w:r>
          </w:p>
        </w:tc>
        <w:tc>
          <w:tcPr>
            <w:tcW w:w="1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СТП РФ в области федерального транспорта</w:t>
            </w:r>
          </w:p>
        </w:tc>
      </w:tr>
      <w:tr>
        <w:trPr/>
        <w:tc>
          <w:tcPr>
            <w:tcW w:w="154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2</w:t>
            </w:r>
          </w:p>
        </w:tc>
        <w:tc>
          <w:tcPr>
            <w:tcW w:w="16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Вахитовское СП</w:t>
            </w:r>
          </w:p>
        </w:tc>
        <w:tc>
          <w:tcPr>
            <w:tcW w:w="17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Транспортная развязка в разных уровнях</w:t>
            </w:r>
          </w:p>
        </w:tc>
        <w:tc>
          <w:tcPr>
            <w:tcW w:w="1877"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Новое строительство</w:t>
            </w:r>
          </w:p>
        </w:tc>
        <w:tc>
          <w:tcPr>
            <w:tcW w:w="1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объект</w:t>
            </w:r>
          </w:p>
        </w:tc>
        <w:tc>
          <w:tcPr>
            <w:tcW w:w="153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w:t>
            </w:r>
          </w:p>
        </w:tc>
        <w:tc>
          <w:tcPr>
            <w:tcW w:w="170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1</w:t>
            </w:r>
          </w:p>
        </w:tc>
        <w:tc>
          <w:tcPr>
            <w:tcW w:w="90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w:t>
            </w:r>
          </w:p>
        </w:tc>
        <w:tc>
          <w:tcPr>
            <w:tcW w:w="1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СТП РФ в области федерального транспорта</w:t>
            </w:r>
          </w:p>
        </w:tc>
      </w:tr>
      <w:tr>
        <w:trPr/>
        <w:tc>
          <w:tcPr>
            <w:tcW w:w="14851"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Объекты обслуживания автомобильного транспорта</w:t>
            </w:r>
          </w:p>
        </w:tc>
      </w:tr>
      <w:tr>
        <w:trPr/>
        <w:tc>
          <w:tcPr>
            <w:tcW w:w="1546"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1</w:t>
            </w:r>
          </w:p>
        </w:tc>
        <w:tc>
          <w:tcPr>
            <w:tcW w:w="16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Вахитовское СП</w:t>
            </w:r>
          </w:p>
        </w:tc>
        <w:tc>
          <w:tcPr>
            <w:tcW w:w="17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Объект дорожного сервиса</w:t>
            </w:r>
          </w:p>
        </w:tc>
        <w:tc>
          <w:tcPr>
            <w:tcW w:w="1877"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Новое строительство</w:t>
            </w:r>
          </w:p>
        </w:tc>
        <w:tc>
          <w:tcPr>
            <w:tcW w:w="1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объект</w:t>
            </w:r>
          </w:p>
        </w:tc>
        <w:tc>
          <w:tcPr>
            <w:tcW w:w="153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w:t>
            </w:r>
          </w:p>
        </w:tc>
        <w:tc>
          <w:tcPr>
            <w:tcW w:w="170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1</w:t>
            </w:r>
          </w:p>
        </w:tc>
        <w:tc>
          <w:tcPr>
            <w:tcW w:w="90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w:t>
            </w:r>
          </w:p>
        </w:tc>
        <w:tc>
          <w:tcPr>
            <w:tcW w:w="1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СТП РФ в области федерального транспорта</w:t>
            </w:r>
          </w:p>
        </w:tc>
      </w:tr>
      <w:tr>
        <w:trPr/>
        <w:tc>
          <w:tcPr>
            <w:tcW w:w="14851"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МЕРОПРИЯТИЯ РЕГИОНАЛЬНОГО ЗНАЧЕНИЯ</w:t>
            </w:r>
          </w:p>
        </w:tc>
      </w:tr>
      <w:tr>
        <w:trPr/>
        <w:tc>
          <w:tcPr>
            <w:tcW w:w="14851"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Автомобильные дороги общего пользования</w:t>
            </w:r>
          </w:p>
        </w:tc>
      </w:tr>
      <w:tr>
        <w:trPr/>
        <w:tc>
          <w:tcPr>
            <w:tcW w:w="15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1</w:t>
            </w:r>
          </w:p>
        </w:tc>
        <w:tc>
          <w:tcPr>
            <w:tcW w:w="1631"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Вахитовское СП</w:t>
            </w:r>
          </w:p>
        </w:tc>
        <w:tc>
          <w:tcPr>
            <w:tcW w:w="174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Вахитово-Ташевка</w:t>
            </w:r>
          </w:p>
        </w:tc>
        <w:tc>
          <w:tcPr>
            <w:tcW w:w="18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Новое строительство</w:t>
            </w:r>
          </w:p>
        </w:tc>
        <w:tc>
          <w:tcPr>
            <w:tcW w:w="1098"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км</w:t>
            </w:r>
          </w:p>
        </w:tc>
        <w:tc>
          <w:tcPr>
            <w:tcW w:w="152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w:t>
            </w:r>
          </w:p>
        </w:tc>
        <w:tc>
          <w:tcPr>
            <w:tcW w:w="170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4,4</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75"/>
              <w:widowControl w:val="false"/>
              <w:rPr>
                <w:color w:val="000000"/>
                <w:sz w:val="20"/>
                <w:szCs w:val="20"/>
              </w:rPr>
            </w:pPr>
            <w:r>
              <w:rPr>
                <w:color w:val="000000"/>
                <w:sz w:val="20"/>
                <w:szCs w:val="20"/>
              </w:rPr>
              <w:t>+</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75"/>
              <w:widowControl w:val="false"/>
              <w:rPr>
                <w:color w:val="000000"/>
                <w:sz w:val="20"/>
                <w:szCs w:val="20"/>
              </w:rPr>
            </w:pPr>
            <w:r>
              <w:rPr>
                <w:color w:val="000000"/>
                <w:sz w:val="20"/>
                <w:szCs w:val="20"/>
              </w:rPr>
              <w:t>-</w:t>
            </w:r>
          </w:p>
        </w:tc>
        <w:tc>
          <w:tcPr>
            <w:tcW w:w="1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СТП Верхнеуслонского района</w:t>
            </w:r>
          </w:p>
        </w:tc>
      </w:tr>
      <w:tr>
        <w:trPr/>
        <w:tc>
          <w:tcPr>
            <w:tcW w:w="15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2</w:t>
            </w:r>
          </w:p>
        </w:tc>
        <w:tc>
          <w:tcPr>
            <w:tcW w:w="1631"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Вахитовское СП</w:t>
            </w:r>
          </w:p>
        </w:tc>
        <w:tc>
          <w:tcPr>
            <w:tcW w:w="174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Янга-Болгар - Матюшино - Бакча-Сарай</w:t>
            </w:r>
          </w:p>
        </w:tc>
        <w:tc>
          <w:tcPr>
            <w:tcW w:w="18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Новое строительство</w:t>
            </w:r>
          </w:p>
        </w:tc>
        <w:tc>
          <w:tcPr>
            <w:tcW w:w="1098"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км</w:t>
            </w:r>
          </w:p>
        </w:tc>
        <w:tc>
          <w:tcPr>
            <w:tcW w:w="152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w:t>
            </w:r>
          </w:p>
        </w:tc>
        <w:tc>
          <w:tcPr>
            <w:tcW w:w="170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0,6</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75"/>
              <w:widowControl w:val="false"/>
              <w:rPr>
                <w:color w:val="000000"/>
                <w:sz w:val="20"/>
                <w:szCs w:val="20"/>
              </w:rPr>
            </w:pPr>
            <w:r>
              <w:rPr>
                <w:color w:val="000000"/>
                <w:sz w:val="20"/>
                <w:szCs w:val="20"/>
              </w:rPr>
              <w:t>+</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75"/>
              <w:widowControl w:val="false"/>
              <w:rPr>
                <w:color w:val="000000"/>
                <w:sz w:val="20"/>
                <w:szCs w:val="20"/>
              </w:rPr>
            </w:pPr>
            <w:r>
              <w:rPr>
                <w:color w:val="000000"/>
                <w:sz w:val="20"/>
                <w:szCs w:val="20"/>
              </w:rPr>
              <w:t>-</w:t>
            </w:r>
          </w:p>
        </w:tc>
        <w:tc>
          <w:tcPr>
            <w:tcW w:w="1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СТП Верхнеуслонского района</w:t>
            </w:r>
          </w:p>
        </w:tc>
      </w:tr>
      <w:tr>
        <w:trPr>
          <w:trHeight w:val="70" w:hRule="atLeast"/>
        </w:trPr>
        <w:tc>
          <w:tcPr>
            <w:tcW w:w="14851"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aps/>
                <w:color w:val="000000"/>
                <w:sz w:val="20"/>
                <w:szCs w:val="20"/>
              </w:rPr>
              <w:t>мероприятия  Местного (РАЙОННОГО) значения</w:t>
            </w:r>
          </w:p>
        </w:tc>
      </w:tr>
      <w:tr>
        <w:trPr>
          <w:trHeight w:val="70" w:hRule="atLeast"/>
        </w:trPr>
        <w:tc>
          <w:tcPr>
            <w:tcW w:w="14851"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aps/>
                <w:color w:val="000000"/>
                <w:sz w:val="20"/>
                <w:szCs w:val="20"/>
              </w:rPr>
            </w:pPr>
            <w:r>
              <w:rPr>
                <w:color w:val="000000"/>
                <w:sz w:val="20"/>
                <w:szCs w:val="20"/>
              </w:rPr>
              <w:t>Автомобильные дороги общего пользования</w:t>
            </w:r>
          </w:p>
        </w:tc>
      </w:tr>
      <w:tr>
        <w:trPr>
          <w:trHeight w:val="606" w:hRule="atLeast"/>
        </w:trPr>
        <w:tc>
          <w:tcPr>
            <w:tcW w:w="15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1</w:t>
            </w:r>
          </w:p>
        </w:tc>
        <w:tc>
          <w:tcPr>
            <w:tcW w:w="1631"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Вахитовское СП</w:t>
            </w:r>
          </w:p>
        </w:tc>
        <w:tc>
          <w:tcPr>
            <w:tcW w:w="174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«Подъезд к п.Бакча-Сарай»</w:t>
            </w:r>
          </w:p>
        </w:tc>
        <w:tc>
          <w:tcPr>
            <w:tcW w:w="18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Новое строительство</w:t>
            </w:r>
          </w:p>
        </w:tc>
        <w:tc>
          <w:tcPr>
            <w:tcW w:w="1098"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км</w:t>
            </w:r>
          </w:p>
        </w:tc>
        <w:tc>
          <w:tcPr>
            <w:tcW w:w="152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Spacing"/>
              <w:widowControl w:val="false"/>
              <w:tabs>
                <w:tab w:val="clear" w:pos="709"/>
                <w:tab w:val="right" w:pos="9345" w:leader="dot"/>
              </w:tabs>
              <w:jc w:val="center"/>
              <w:rPr>
                <w:rStyle w:val="Style21"/>
                <w:rFonts w:ascii="Times New Roman" w:hAnsi="Times New Roman"/>
                <w:color w:val="000000"/>
                <w:sz w:val="20"/>
                <w:szCs w:val="20"/>
              </w:rPr>
            </w:pPr>
            <w:r>
              <w:rPr>
                <w:rStyle w:val="Style21"/>
                <w:rFonts w:ascii="Times New Roman" w:hAnsi="Times New Roman"/>
                <w:color w:val="000000"/>
                <w:sz w:val="20"/>
                <w:szCs w:val="20"/>
              </w:rPr>
              <w:t>0,6</w:t>
            </w:r>
          </w:p>
        </w:tc>
        <w:tc>
          <w:tcPr>
            <w:tcW w:w="170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w:t>
            </w:r>
          </w:p>
        </w:tc>
        <w:tc>
          <w:tcPr>
            <w:tcW w:w="1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Генеральный план Вахитовского СП</w:t>
            </w:r>
          </w:p>
        </w:tc>
      </w:tr>
      <w:tr>
        <w:trPr>
          <w:trHeight w:val="606" w:hRule="atLeast"/>
        </w:trPr>
        <w:tc>
          <w:tcPr>
            <w:tcW w:w="15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2</w:t>
            </w:r>
          </w:p>
        </w:tc>
        <w:tc>
          <w:tcPr>
            <w:tcW w:w="1631"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Вахитовское СП</w:t>
            </w:r>
          </w:p>
        </w:tc>
        <w:tc>
          <w:tcPr>
            <w:tcW w:w="174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Казань - Ульяновск - Камское Устье - Гребени</w:t>
            </w:r>
          </w:p>
        </w:tc>
        <w:tc>
          <w:tcPr>
            <w:tcW w:w="18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Новое строительство</w:t>
            </w:r>
          </w:p>
        </w:tc>
        <w:tc>
          <w:tcPr>
            <w:tcW w:w="1098"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км</w:t>
            </w:r>
          </w:p>
        </w:tc>
        <w:tc>
          <w:tcPr>
            <w:tcW w:w="152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w:t>
            </w:r>
          </w:p>
        </w:tc>
        <w:tc>
          <w:tcPr>
            <w:tcW w:w="170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2</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75"/>
              <w:widowControl w:val="false"/>
              <w:rPr>
                <w:color w:val="000000"/>
                <w:sz w:val="20"/>
                <w:szCs w:val="20"/>
              </w:rPr>
            </w:pPr>
            <w:r>
              <w:rPr>
                <w:color w:val="000000"/>
                <w:sz w:val="20"/>
                <w:szCs w:val="20"/>
              </w:rPr>
              <w:t>+</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75"/>
              <w:widowControl w:val="false"/>
              <w:rPr>
                <w:color w:val="000000"/>
                <w:sz w:val="20"/>
                <w:szCs w:val="20"/>
              </w:rPr>
            </w:pPr>
            <w:r>
              <w:rPr>
                <w:color w:val="000000"/>
                <w:sz w:val="20"/>
                <w:szCs w:val="20"/>
              </w:rPr>
              <w:t>-</w:t>
            </w:r>
          </w:p>
        </w:tc>
        <w:tc>
          <w:tcPr>
            <w:tcW w:w="1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Генеральный план Вахитовского СП</w:t>
            </w:r>
          </w:p>
        </w:tc>
      </w:tr>
      <w:tr>
        <w:trPr>
          <w:trHeight w:val="151" w:hRule="atLeast"/>
        </w:trPr>
        <w:tc>
          <w:tcPr>
            <w:tcW w:w="14851"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Искусственные дорожные сооружения</w:t>
            </w:r>
          </w:p>
        </w:tc>
      </w:tr>
      <w:tr>
        <w:trPr>
          <w:trHeight w:val="606" w:hRule="atLeast"/>
        </w:trPr>
        <w:tc>
          <w:tcPr>
            <w:tcW w:w="15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1</w:t>
            </w:r>
          </w:p>
        </w:tc>
        <w:tc>
          <w:tcPr>
            <w:tcW w:w="1631"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Вахитовское СП</w:t>
            </w:r>
          </w:p>
        </w:tc>
        <w:tc>
          <w:tcPr>
            <w:tcW w:w="174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Мост автодорожный</w:t>
            </w:r>
          </w:p>
        </w:tc>
        <w:tc>
          <w:tcPr>
            <w:tcW w:w="18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Новое строительство</w:t>
            </w:r>
          </w:p>
        </w:tc>
        <w:tc>
          <w:tcPr>
            <w:tcW w:w="1098"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объект</w:t>
            </w:r>
          </w:p>
        </w:tc>
        <w:tc>
          <w:tcPr>
            <w:tcW w:w="152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w:t>
            </w:r>
          </w:p>
        </w:tc>
        <w:tc>
          <w:tcPr>
            <w:tcW w:w="170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1</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75"/>
              <w:widowControl w:val="false"/>
              <w:rPr>
                <w:color w:val="000000"/>
                <w:sz w:val="20"/>
                <w:szCs w:val="20"/>
              </w:rPr>
            </w:pPr>
            <w:r>
              <w:rPr>
                <w:color w:val="000000"/>
                <w:sz w:val="20"/>
                <w:szCs w:val="20"/>
              </w:rPr>
              <w:t>+</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75"/>
              <w:widowControl w:val="false"/>
              <w:rPr>
                <w:color w:val="000000"/>
                <w:sz w:val="20"/>
                <w:szCs w:val="20"/>
              </w:rPr>
            </w:pPr>
            <w:r>
              <w:rPr>
                <w:color w:val="000000"/>
                <w:sz w:val="20"/>
                <w:szCs w:val="20"/>
              </w:rPr>
              <w:t>-</w:t>
            </w:r>
          </w:p>
        </w:tc>
        <w:tc>
          <w:tcPr>
            <w:tcW w:w="1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Генеральный план Вахитовского СП</w:t>
            </w:r>
          </w:p>
        </w:tc>
      </w:tr>
      <w:tr>
        <w:trPr>
          <w:trHeight w:val="95" w:hRule="atLeast"/>
        </w:trPr>
        <w:tc>
          <w:tcPr>
            <w:tcW w:w="14851"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aps/>
                <w:color w:val="000000"/>
                <w:sz w:val="20"/>
                <w:szCs w:val="20"/>
              </w:rPr>
              <w:t>мероприятия  Местного значения (поселения)</w:t>
            </w:r>
          </w:p>
        </w:tc>
      </w:tr>
      <w:tr>
        <w:trPr>
          <w:trHeight w:val="91" w:hRule="atLeast"/>
        </w:trPr>
        <w:tc>
          <w:tcPr>
            <w:tcW w:w="14851"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Улично-дорожная сеть</w:t>
            </w:r>
          </w:p>
        </w:tc>
      </w:tr>
      <w:tr>
        <w:trPr>
          <w:trHeight w:val="1267" w:hRule="atLeast"/>
        </w:trPr>
        <w:tc>
          <w:tcPr>
            <w:tcW w:w="15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1</w:t>
            </w:r>
          </w:p>
        </w:tc>
        <w:tc>
          <w:tcPr>
            <w:tcW w:w="1631"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д.им. Мулланура Вахитова</w:t>
            </w:r>
          </w:p>
        </w:tc>
        <w:tc>
          <w:tcPr>
            <w:tcW w:w="174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Улично-дорожная сеть населенного пункта</w:t>
            </w:r>
          </w:p>
        </w:tc>
        <w:tc>
          <w:tcPr>
            <w:tcW w:w="18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Капитальный ремонт (устройство асфальтобетонного покрытия)</w:t>
            </w:r>
          </w:p>
        </w:tc>
        <w:tc>
          <w:tcPr>
            <w:tcW w:w="1098"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км</w:t>
            </w:r>
          </w:p>
        </w:tc>
        <w:tc>
          <w:tcPr>
            <w:tcW w:w="152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3,9</w:t>
            </w:r>
          </w:p>
        </w:tc>
        <w:tc>
          <w:tcPr>
            <w:tcW w:w="170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w:t>
            </w:r>
          </w:p>
        </w:tc>
        <w:tc>
          <w:tcPr>
            <w:tcW w:w="1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Генеральный план Вахитовского СП</w:t>
            </w:r>
          </w:p>
        </w:tc>
      </w:tr>
      <w:tr>
        <w:trPr>
          <w:trHeight w:val="1271" w:hRule="atLeast"/>
        </w:trPr>
        <w:tc>
          <w:tcPr>
            <w:tcW w:w="15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2</w:t>
            </w:r>
          </w:p>
        </w:tc>
        <w:tc>
          <w:tcPr>
            <w:tcW w:w="1631"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п.Бакча-Сарай</w:t>
            </w:r>
          </w:p>
        </w:tc>
        <w:tc>
          <w:tcPr>
            <w:tcW w:w="174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Улично-дорожная сеть населенного пункта</w:t>
            </w:r>
          </w:p>
        </w:tc>
        <w:tc>
          <w:tcPr>
            <w:tcW w:w="18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Капитальный ремонт (устройство асфальтобетонного покрытия)</w:t>
            </w:r>
          </w:p>
        </w:tc>
        <w:tc>
          <w:tcPr>
            <w:tcW w:w="1098"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км</w:t>
            </w:r>
          </w:p>
        </w:tc>
        <w:tc>
          <w:tcPr>
            <w:tcW w:w="152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4</w:t>
            </w:r>
          </w:p>
        </w:tc>
        <w:tc>
          <w:tcPr>
            <w:tcW w:w="170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w:t>
            </w:r>
          </w:p>
        </w:tc>
        <w:tc>
          <w:tcPr>
            <w:tcW w:w="1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Генеральный план Вахитовского СП</w:t>
            </w:r>
          </w:p>
        </w:tc>
      </w:tr>
      <w:tr>
        <w:trPr>
          <w:trHeight w:val="925" w:hRule="atLeast"/>
        </w:trPr>
        <w:tc>
          <w:tcPr>
            <w:tcW w:w="15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3</w:t>
            </w:r>
          </w:p>
        </w:tc>
        <w:tc>
          <w:tcPr>
            <w:tcW w:w="1631"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с.Ташевка</w:t>
            </w:r>
          </w:p>
        </w:tc>
        <w:tc>
          <w:tcPr>
            <w:tcW w:w="174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Улично-дорожная сеть населенного пункта</w:t>
            </w:r>
          </w:p>
        </w:tc>
        <w:tc>
          <w:tcPr>
            <w:tcW w:w="18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Капитальный ремонт (устройство асфальтобетонного покрытия)</w:t>
            </w:r>
          </w:p>
        </w:tc>
        <w:tc>
          <w:tcPr>
            <w:tcW w:w="1098"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км</w:t>
            </w:r>
          </w:p>
        </w:tc>
        <w:tc>
          <w:tcPr>
            <w:tcW w:w="152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3,8</w:t>
            </w:r>
          </w:p>
        </w:tc>
        <w:tc>
          <w:tcPr>
            <w:tcW w:w="170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w:t>
            </w:r>
          </w:p>
        </w:tc>
        <w:tc>
          <w:tcPr>
            <w:tcW w:w="1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Генеральный план Вахитовского СП</w:t>
            </w:r>
          </w:p>
        </w:tc>
      </w:tr>
      <w:tr>
        <w:trPr>
          <w:trHeight w:val="952" w:hRule="atLeast"/>
        </w:trPr>
        <w:tc>
          <w:tcPr>
            <w:tcW w:w="15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4</w:t>
            </w:r>
          </w:p>
        </w:tc>
        <w:tc>
          <w:tcPr>
            <w:tcW w:w="1631"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д.Ватан</w:t>
            </w:r>
          </w:p>
        </w:tc>
        <w:tc>
          <w:tcPr>
            <w:tcW w:w="174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Улично-дорожная сеть населенного пункта</w:t>
            </w:r>
          </w:p>
        </w:tc>
        <w:tc>
          <w:tcPr>
            <w:tcW w:w="18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Капитальный ремонт (устройство асфальтобетонного покрытия)</w:t>
            </w:r>
          </w:p>
        </w:tc>
        <w:tc>
          <w:tcPr>
            <w:tcW w:w="1098"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км</w:t>
            </w:r>
          </w:p>
        </w:tc>
        <w:tc>
          <w:tcPr>
            <w:tcW w:w="152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1,2</w:t>
            </w:r>
          </w:p>
        </w:tc>
        <w:tc>
          <w:tcPr>
            <w:tcW w:w="170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w:t>
            </w:r>
          </w:p>
        </w:tc>
        <w:tc>
          <w:tcPr>
            <w:tcW w:w="1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Генеральный план Вахитовского СП</w:t>
            </w:r>
          </w:p>
        </w:tc>
      </w:tr>
      <w:tr>
        <w:trPr>
          <w:trHeight w:val="1352" w:hRule="atLeast"/>
        </w:trPr>
        <w:tc>
          <w:tcPr>
            <w:tcW w:w="15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5</w:t>
            </w:r>
          </w:p>
        </w:tc>
        <w:tc>
          <w:tcPr>
            <w:tcW w:w="1631"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д.Гребени</w:t>
            </w:r>
          </w:p>
        </w:tc>
        <w:tc>
          <w:tcPr>
            <w:tcW w:w="174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Улично-дорожная сеть населенного пункта</w:t>
            </w:r>
          </w:p>
        </w:tc>
        <w:tc>
          <w:tcPr>
            <w:tcW w:w="18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Капитальный ремонт (устройство асфальтобетонного покрытия)</w:t>
            </w:r>
          </w:p>
        </w:tc>
        <w:tc>
          <w:tcPr>
            <w:tcW w:w="1098"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км</w:t>
            </w:r>
          </w:p>
        </w:tc>
        <w:tc>
          <w:tcPr>
            <w:tcW w:w="152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2,8</w:t>
            </w:r>
          </w:p>
        </w:tc>
        <w:tc>
          <w:tcPr>
            <w:tcW w:w="170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w:t>
            </w:r>
          </w:p>
        </w:tc>
        <w:tc>
          <w:tcPr>
            <w:tcW w:w="1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w:t>
            </w:r>
          </w:p>
        </w:tc>
        <w:tc>
          <w:tcPr>
            <w:tcW w:w="17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center"/>
              <w:rPr>
                <w:color w:val="000000"/>
                <w:sz w:val="20"/>
                <w:szCs w:val="20"/>
              </w:rPr>
            </w:pPr>
            <w:r>
              <w:rPr>
                <w:color w:val="000000"/>
                <w:sz w:val="20"/>
                <w:szCs w:val="20"/>
              </w:rPr>
              <w:t>Генеральный план Вахитовского СП</w:t>
            </w:r>
          </w:p>
        </w:tc>
      </w:tr>
    </w:tbl>
    <w:p>
      <w:pPr>
        <w:sectPr>
          <w:footerReference w:type="default" r:id="rId18"/>
          <w:footerReference w:type="first" r:id="rId19"/>
          <w:type w:val="nextPage"/>
          <w:pgSz w:orient="landscape" w:w="16838" w:h="11906"/>
          <w:pgMar w:left="1134" w:right="851" w:gutter="0" w:header="0" w:top="851" w:footer="709" w:bottom="851"/>
          <w:pgNumType w:fmt="decimal"/>
          <w:formProt w:val="false"/>
          <w:textDirection w:val="lrTb"/>
          <w:docGrid w:type="default" w:linePitch="360" w:charSpace="0"/>
        </w:sectPr>
        <w:pStyle w:val="Normal"/>
        <w:ind w:hanging="0"/>
        <w:jc w:val="center"/>
        <w:rPr>
          <w:szCs w:val="28"/>
        </w:rPr>
      </w:pPr>
      <w:r>
        <w:rPr>
          <w:szCs w:val="28"/>
        </w:rPr>
      </w:r>
    </w:p>
    <w:p>
      <w:pPr>
        <w:pStyle w:val="2"/>
        <w:numPr>
          <w:ilvl w:val="0"/>
          <w:numId w:val="0"/>
        </w:numPr>
        <w:ind w:left="0" w:hanging="0"/>
        <w:rPr/>
      </w:pPr>
      <w:bookmarkStart w:id="75" w:name="_Toc156489386"/>
      <w:bookmarkStart w:id="76" w:name="_Toc292200556"/>
      <w:r>
        <w:rPr/>
        <w:t>3.10. Мероприятия по установлению границ населенных пунктов</w:t>
      </w:r>
      <w:bookmarkEnd w:id="75"/>
      <w:bookmarkEnd w:id="76"/>
    </w:p>
    <w:p>
      <w:pPr>
        <w:pStyle w:val="112"/>
        <w:spacing w:lineRule="auto" w:line="240"/>
        <w:rPr>
          <w:szCs w:val="28"/>
        </w:rPr>
      </w:pPr>
      <w:r>
        <w:rPr>
          <w:szCs w:val="28"/>
        </w:rPr>
        <w:t>Согласно пункту 1 части 1 статьи 84 Земельного кодекса Российской Федерации установление, изменение границ населенных пунктов осуществляются в соответствии с законодательством Российской Федерации о градостроительной деятельности.</w:t>
      </w:r>
    </w:p>
    <w:p>
      <w:pPr>
        <w:pStyle w:val="Default"/>
        <w:tabs>
          <w:tab w:val="clear" w:pos="709"/>
          <w:tab w:val="left" w:pos="0" w:leader="none"/>
        </w:tabs>
        <w:ind w:firstLine="720"/>
        <w:jc w:val="both"/>
        <w:rPr>
          <w:sz w:val="28"/>
          <w:szCs w:val="28"/>
        </w:rPr>
      </w:pPr>
      <w:r>
        <w:rPr>
          <w:sz w:val="28"/>
          <w:szCs w:val="28"/>
        </w:rPr>
        <w:t>В соответствии с частью 1 статьи 8 Федерального закона от 21.12.2004 N 172-ФЗ "О переводе земель или земельных участков из одной категории в другую" (далее - Закон о переводе) 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w:t>
      </w:r>
    </w:p>
    <w:p>
      <w:pPr>
        <w:pStyle w:val="Default"/>
        <w:tabs>
          <w:tab w:val="clear" w:pos="709"/>
          <w:tab w:val="left" w:pos="0" w:leader="none"/>
        </w:tabs>
        <w:ind w:firstLine="720"/>
        <w:jc w:val="both"/>
        <w:rPr>
          <w:sz w:val="28"/>
          <w:szCs w:val="28"/>
        </w:rPr>
      </w:pPr>
      <w:r>
        <w:rPr>
          <w:sz w:val="28"/>
          <w:szCs w:val="28"/>
        </w:rPr>
        <w:t xml:space="preserve">Таким образом, в соответствии с письмом Федеральной службы государственной регистрации, кадастра и картографии от 16 июня 2010 г. №14-4692-ГЕ, если процедура утверждения генерального плана муниципального образования не нарушена, то акт об утверждении генерального плана, является актом о переводе земель или земельных участков. </w:t>
      </w:r>
    </w:p>
    <w:p>
      <w:pPr>
        <w:pStyle w:val="Default"/>
        <w:tabs>
          <w:tab w:val="clear" w:pos="709"/>
          <w:tab w:val="left" w:pos="0" w:leader="none"/>
        </w:tabs>
        <w:ind w:firstLine="720"/>
        <w:jc w:val="both"/>
        <w:rPr>
          <w:sz w:val="28"/>
          <w:szCs w:val="28"/>
        </w:rPr>
      </w:pPr>
      <w:r>
        <w:rPr>
          <w:sz w:val="28"/>
          <w:szCs w:val="28"/>
        </w:rPr>
        <w:t xml:space="preserve">Для населенных пунктов д.им. Мулланура Вахитова, п.Бакча-Сарай, д.Ватан, д.Гребени, </w:t>
      </w:r>
      <w:r>
        <w:rPr>
          <w:color w:val="auto"/>
          <w:sz w:val="28"/>
          <w:szCs w:val="28"/>
        </w:rPr>
        <w:t>в качестве существующих границ были приняты границы, сведения о которых содержатся в Едином государственном реестре недвижимости.</w:t>
      </w:r>
    </w:p>
    <w:p>
      <w:pPr>
        <w:sectPr>
          <w:footerReference w:type="default" r:id="rId20"/>
          <w:footerReference w:type="first" r:id="rId21"/>
          <w:type w:val="nextPage"/>
          <w:pgSz w:w="11906" w:h="16838"/>
          <w:pgMar w:left="1134" w:right="851" w:gutter="0" w:header="0" w:top="851" w:footer="709" w:bottom="851"/>
          <w:pgNumType w:fmt="decimal"/>
          <w:formProt w:val="false"/>
          <w:textDirection w:val="lrTb"/>
          <w:docGrid w:type="default" w:linePitch="100" w:charSpace="0"/>
        </w:sectPr>
        <w:pStyle w:val="BodyTextIndent2"/>
        <w:spacing w:lineRule="auto" w:line="240"/>
        <w:ind w:firstLine="709"/>
        <w:jc w:val="both"/>
        <w:rPr>
          <w:color w:val="000000"/>
          <w:szCs w:val="28"/>
          <w:lang w:val="ru-RU"/>
        </w:rPr>
      </w:pPr>
      <w:r>
        <w:rPr>
          <w:color w:val="000000"/>
          <w:szCs w:val="28"/>
          <w:lang w:val="ru-RU"/>
        </w:rPr>
        <w:t>Проектом внесения изменений в г</w:t>
      </w:r>
      <w:r>
        <w:rPr>
          <w:color w:val="000000"/>
          <w:szCs w:val="28"/>
        </w:rPr>
        <w:t>енеральны</w:t>
      </w:r>
      <w:r>
        <w:rPr>
          <w:color w:val="000000"/>
          <w:szCs w:val="28"/>
          <w:lang w:val="ru-RU"/>
        </w:rPr>
        <w:t>й</w:t>
      </w:r>
      <w:r>
        <w:rPr>
          <w:color w:val="000000"/>
          <w:szCs w:val="28"/>
        </w:rPr>
        <w:t xml:space="preserve"> план </w:t>
      </w:r>
      <w:r>
        <w:rPr>
          <w:color w:val="000000"/>
          <w:szCs w:val="28"/>
          <w:lang w:val="ru-RU"/>
        </w:rPr>
        <w:t>Вахитовского</w:t>
      </w:r>
      <w:r>
        <w:rPr>
          <w:color w:val="000000"/>
          <w:szCs w:val="28"/>
        </w:rPr>
        <w:t xml:space="preserve"> сельского поселения предусматривается изменение границ </w:t>
      </w:r>
      <w:r>
        <w:rPr>
          <w:color w:val="000000"/>
          <w:szCs w:val="28"/>
          <w:lang w:val="ru-RU"/>
        </w:rPr>
        <w:t>с.Ташевка.</w:t>
      </w:r>
    </w:p>
    <w:p>
      <w:pPr>
        <w:pStyle w:val="Style78"/>
        <w:rPr/>
      </w:pPr>
      <w:r>
        <w:rPr/>
        <w:t>Таблица 3.10.1</w:t>
      </w:r>
    </w:p>
    <w:p>
      <w:pPr>
        <w:pStyle w:val="BodyTextIndent2"/>
        <w:spacing w:lineRule="auto" w:line="240"/>
        <w:ind w:hanging="0"/>
        <w:jc w:val="center"/>
        <w:rPr>
          <w:color w:val="000000"/>
          <w:szCs w:val="28"/>
          <w:lang w:val="ru-RU"/>
        </w:rPr>
      </w:pPr>
      <w:r>
        <w:rPr>
          <w:color w:val="000000"/>
          <w:szCs w:val="28"/>
        </w:rPr>
        <w:t>Перечень земельных участков</w:t>
      </w:r>
      <w:r>
        <w:rPr>
          <w:color w:val="000000"/>
          <w:szCs w:val="28"/>
          <w:lang w:val="ru-RU"/>
        </w:rPr>
        <w:t xml:space="preserve"> включаемых в границы </w:t>
      </w:r>
      <w:r>
        <w:rPr>
          <w:color w:val="000000"/>
          <w:szCs w:val="28"/>
        </w:rPr>
        <w:t>населенных пунктов</w:t>
      </w:r>
      <w:r>
        <w:rPr>
          <w:color w:val="000000"/>
          <w:szCs w:val="28"/>
          <w:lang w:val="ru-RU"/>
        </w:rPr>
        <w:t xml:space="preserve">, </w:t>
      </w:r>
    </w:p>
    <w:p>
      <w:pPr>
        <w:pStyle w:val="BodyTextIndent2"/>
        <w:spacing w:lineRule="auto" w:line="240"/>
        <w:ind w:hanging="0"/>
        <w:jc w:val="center"/>
        <w:rPr>
          <w:color w:val="000000"/>
          <w:szCs w:val="28"/>
          <w:lang w:val="ru-RU"/>
        </w:rPr>
      </w:pPr>
      <w:r>
        <w:rPr>
          <w:color w:val="000000"/>
          <w:szCs w:val="28"/>
          <w:lang w:val="ru-RU"/>
        </w:rPr>
        <w:t>входящих в состав Вахитовского сельского поселения</w:t>
      </w:r>
    </w:p>
    <w:tbl>
      <w:tblPr>
        <w:tblW w:w="15352" w:type="dxa"/>
        <w:jc w:val="center"/>
        <w:tblInd w:w="0" w:type="dxa"/>
        <w:tblLayout w:type="fixed"/>
        <w:tblCellMar>
          <w:top w:w="0" w:type="dxa"/>
          <w:left w:w="108" w:type="dxa"/>
          <w:bottom w:w="0" w:type="dxa"/>
          <w:right w:w="108" w:type="dxa"/>
        </w:tblCellMar>
        <w:tblLook w:noVBand="1" w:val="04a0" w:noHBand="0" w:lastColumn="0" w:firstColumn="1" w:lastRow="0" w:firstRow="1"/>
      </w:tblPr>
      <w:tblGrid>
        <w:gridCol w:w="1822"/>
        <w:gridCol w:w="2539"/>
        <w:gridCol w:w="1910"/>
        <w:gridCol w:w="1179"/>
        <w:gridCol w:w="1509"/>
        <w:gridCol w:w="2587"/>
        <w:gridCol w:w="1745"/>
        <w:gridCol w:w="2059"/>
      </w:tblGrid>
      <w:tr>
        <w:trPr>
          <w:tblHeader w:val="true"/>
          <w:trHeight w:val="711" w:hRule="atLeast"/>
        </w:trPr>
        <w:tc>
          <w:tcPr>
            <w:tcW w:w="18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Кадастровый номер земельного участка</w:t>
            </w:r>
          </w:p>
        </w:tc>
        <w:tc>
          <w:tcPr>
            <w:tcW w:w="25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Категория земель</w:t>
            </w:r>
          </w:p>
        </w:tc>
        <w:tc>
          <w:tcPr>
            <w:tcW w:w="19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Вид разрешенного использования</w:t>
            </w:r>
          </w:p>
        </w:tc>
        <w:tc>
          <w:tcPr>
            <w:tcW w:w="11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Площадь земельного участка по кадастру, га</w:t>
            </w:r>
          </w:p>
        </w:tc>
        <w:tc>
          <w:tcPr>
            <w:tcW w:w="15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Площадь включаемого земельного участка, га</w:t>
            </w:r>
          </w:p>
        </w:tc>
        <w:tc>
          <w:tcPr>
            <w:tcW w:w="25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Планируемая категория</w:t>
            </w:r>
          </w:p>
        </w:tc>
        <w:tc>
          <w:tcPr>
            <w:tcW w:w="17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Планируемое разрешенное использование*</w:t>
            </w:r>
          </w:p>
        </w:tc>
        <w:tc>
          <w:tcPr>
            <w:tcW w:w="20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Основание для</w:t>
            </w:r>
          </w:p>
          <w:p>
            <w:pPr>
              <w:pStyle w:val="Normal"/>
              <w:widowControl w:val="false"/>
              <w:ind w:hanging="0"/>
              <w:jc w:val="center"/>
              <w:rPr>
                <w:color w:val="000000"/>
                <w:sz w:val="20"/>
                <w:szCs w:val="20"/>
              </w:rPr>
            </w:pPr>
            <w:r>
              <w:rPr>
                <w:color w:val="000000"/>
                <w:sz w:val="20"/>
                <w:szCs w:val="20"/>
              </w:rPr>
              <w:t>включения земельных участков</w:t>
            </w:r>
          </w:p>
        </w:tc>
      </w:tr>
      <w:tr>
        <w:trPr>
          <w:trHeight w:val="70" w:hRule="atLeast"/>
        </w:trPr>
        <w:tc>
          <w:tcPr>
            <w:tcW w:w="15350" w:type="dxa"/>
            <w:gridSpan w:val="8"/>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b/>
                <w:color w:val="000000"/>
                <w:sz w:val="20"/>
                <w:szCs w:val="20"/>
              </w:rPr>
            </w:pPr>
            <w:r>
              <w:rPr>
                <w:b/>
                <w:color w:val="000000"/>
                <w:sz w:val="20"/>
                <w:szCs w:val="20"/>
              </w:rPr>
              <w:t>с.Ташевка</w:t>
            </w:r>
          </w:p>
        </w:tc>
      </w:tr>
      <w:tr>
        <w:trPr>
          <w:trHeight w:val="70" w:hRule="atLeast"/>
        </w:trPr>
        <w:tc>
          <w:tcPr>
            <w:tcW w:w="15350" w:type="dxa"/>
            <w:gridSpan w:val="8"/>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left"/>
              <w:rPr>
                <w:b/>
                <w:color w:val="000000"/>
                <w:sz w:val="20"/>
                <w:szCs w:val="20"/>
              </w:rPr>
            </w:pPr>
            <w:r>
              <w:rPr>
                <w:b/>
                <w:bCs/>
                <w:color w:val="000000"/>
                <w:sz w:val="20"/>
                <w:szCs w:val="20"/>
              </w:rPr>
              <w:t>Включаемые земельные участки</w:t>
            </w:r>
          </w:p>
        </w:tc>
      </w:tr>
      <w:tr>
        <w:trPr>
          <w:trHeight w:val="231" w:hRule="atLeast"/>
        </w:trPr>
        <w:tc>
          <w:tcPr>
            <w:tcW w:w="15350" w:type="dxa"/>
            <w:gridSpan w:val="8"/>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rPr>
                <w:bCs/>
                <w:iCs/>
                <w:color w:val="000000"/>
                <w:sz w:val="20"/>
                <w:szCs w:val="20"/>
              </w:rPr>
            </w:pPr>
            <w:r>
              <w:rPr>
                <w:bCs/>
                <w:iCs/>
                <w:color w:val="000000"/>
                <w:sz w:val="20"/>
                <w:szCs w:val="20"/>
              </w:rPr>
              <w:t>1. Корректировка границы населенного пункта</w:t>
            </w:r>
          </w:p>
        </w:tc>
      </w:tr>
      <w:tr>
        <w:trPr>
          <w:trHeight w:val="415" w:hRule="atLeast"/>
        </w:trPr>
        <w:tc>
          <w:tcPr>
            <w:tcW w:w="18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16:15:030601:774</w:t>
            </w:r>
          </w:p>
        </w:tc>
        <w:tc>
          <w:tcPr>
            <w:tcW w:w="25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земли сельскохозяйственного назначения</w:t>
            </w:r>
          </w:p>
        </w:tc>
        <w:tc>
          <w:tcPr>
            <w:tcW w:w="19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shd w:fill="F8F9FA" w:val="clear"/>
              </w:rPr>
            </w:pPr>
            <w:r>
              <w:rPr>
                <w:color w:val="000000"/>
                <w:sz w:val="20"/>
              </w:rPr>
              <w:t>для ведения сельскохозяйственного производства</w:t>
            </w:r>
          </w:p>
        </w:tc>
        <w:tc>
          <w:tcPr>
            <w:tcW w:w="11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6,88**</w:t>
            </w:r>
          </w:p>
        </w:tc>
        <w:tc>
          <w:tcPr>
            <w:tcW w:w="15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6,88</w:t>
            </w:r>
          </w:p>
        </w:tc>
        <w:tc>
          <w:tcPr>
            <w:tcW w:w="25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Земли населенных пунктов</w:t>
            </w:r>
          </w:p>
        </w:tc>
        <w:tc>
          <w:tcPr>
            <w:tcW w:w="17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Жилая застройка</w:t>
            </w:r>
          </w:p>
        </w:tc>
        <w:tc>
          <w:tcPr>
            <w:tcW w:w="20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FF0000"/>
                <w:sz w:val="20"/>
                <w:szCs w:val="20"/>
              </w:rPr>
            </w:pPr>
            <w:r>
              <w:rPr>
                <w:color w:val="000000"/>
                <w:sz w:val="20"/>
                <w:szCs w:val="20"/>
              </w:rPr>
              <w:t>Письмо Руководителя Исполнительного комитета Верхнеуслонского муниципального района Республики Татарстан от 22.11.2023 №ИСХ-7447</w:t>
            </w:r>
          </w:p>
        </w:tc>
      </w:tr>
      <w:tr>
        <w:trPr>
          <w:trHeight w:val="415" w:hRule="atLeast"/>
        </w:trPr>
        <w:tc>
          <w:tcPr>
            <w:tcW w:w="18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16:15:030601:776</w:t>
            </w:r>
          </w:p>
        </w:tc>
        <w:tc>
          <w:tcPr>
            <w:tcW w:w="25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земли сельскохозяйственного назначения</w:t>
            </w:r>
          </w:p>
        </w:tc>
        <w:tc>
          <w:tcPr>
            <w:tcW w:w="19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shd w:fill="F8F9FA" w:val="clear"/>
              </w:rPr>
            </w:pPr>
            <w:r>
              <w:rPr>
                <w:color w:val="000000"/>
                <w:sz w:val="20"/>
              </w:rPr>
              <w:t>для ведения сельскохозяйственного производства</w:t>
            </w:r>
          </w:p>
        </w:tc>
        <w:tc>
          <w:tcPr>
            <w:tcW w:w="11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0,43</w:t>
            </w:r>
          </w:p>
        </w:tc>
        <w:tc>
          <w:tcPr>
            <w:tcW w:w="15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0,43</w:t>
            </w:r>
          </w:p>
        </w:tc>
        <w:tc>
          <w:tcPr>
            <w:tcW w:w="25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Земли населенных пунктов</w:t>
            </w:r>
          </w:p>
        </w:tc>
        <w:tc>
          <w:tcPr>
            <w:tcW w:w="17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rPr>
            </w:pPr>
            <w:r>
              <w:rPr>
                <w:color w:val="000000"/>
                <w:sz w:val="20"/>
                <w:szCs w:val="20"/>
              </w:rPr>
              <w:t>Жилая застройка</w:t>
            </w:r>
          </w:p>
        </w:tc>
        <w:tc>
          <w:tcPr>
            <w:tcW w:w="20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FF0000"/>
                <w:sz w:val="20"/>
                <w:szCs w:val="20"/>
              </w:rPr>
            </w:pPr>
            <w:r>
              <w:rPr>
                <w:color w:val="000000"/>
                <w:sz w:val="20"/>
                <w:szCs w:val="20"/>
              </w:rPr>
              <w:t>Письмо Руководителя Исполнительного комитета Верхнеуслонского муниципального района Республики Татарстан от 22.11.2023 №ИСХ-7447</w:t>
            </w:r>
          </w:p>
        </w:tc>
      </w:tr>
      <w:tr>
        <w:trPr>
          <w:trHeight w:val="70" w:hRule="atLeast"/>
        </w:trPr>
        <w:tc>
          <w:tcPr>
            <w:tcW w:w="18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Итого к включению</w:t>
            </w:r>
          </w:p>
        </w:tc>
        <w:tc>
          <w:tcPr>
            <w:tcW w:w="25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r>
          </w:p>
        </w:tc>
        <w:tc>
          <w:tcPr>
            <w:tcW w:w="19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shd w:fill="F8F9FA" w:val="clear"/>
              </w:rPr>
            </w:pPr>
            <w:r>
              <w:rPr>
                <w:color w:val="000000"/>
                <w:sz w:val="20"/>
                <w:szCs w:val="20"/>
                <w:shd w:fill="F8F9FA" w:val="clear"/>
              </w:rPr>
            </w:r>
          </w:p>
        </w:tc>
        <w:tc>
          <w:tcPr>
            <w:tcW w:w="11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rPr>
              <w:t>7,31</w:t>
            </w:r>
          </w:p>
        </w:tc>
        <w:tc>
          <w:tcPr>
            <w:tcW w:w="15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rPr>
              <w:t>7,31</w:t>
            </w:r>
          </w:p>
        </w:tc>
        <w:tc>
          <w:tcPr>
            <w:tcW w:w="25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r>
          </w:p>
        </w:tc>
        <w:tc>
          <w:tcPr>
            <w:tcW w:w="17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r>
          </w:p>
        </w:tc>
        <w:tc>
          <w:tcPr>
            <w:tcW w:w="20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r>
          </w:p>
        </w:tc>
      </w:tr>
    </w:tbl>
    <w:p>
      <w:pPr>
        <w:sectPr>
          <w:footerReference w:type="default" r:id="rId22"/>
          <w:footerReference w:type="first" r:id="rId23"/>
          <w:type w:val="nextPage"/>
          <w:pgSz w:orient="landscape" w:w="16838" w:h="11906"/>
          <w:pgMar w:left="1134" w:right="851" w:gutter="0" w:header="0" w:top="851" w:footer="709" w:bottom="851"/>
          <w:pgNumType w:fmt="decimal"/>
          <w:formProt w:val="false"/>
          <w:textDirection w:val="lrTb"/>
          <w:docGrid w:type="default" w:linePitch="360" w:charSpace="0"/>
        </w:sectPr>
      </w:pPr>
    </w:p>
    <w:p>
      <w:pPr>
        <w:pStyle w:val="Normal"/>
        <w:ind w:hanging="0"/>
        <w:jc w:val="right"/>
        <w:rPr>
          <w:szCs w:val="28"/>
        </w:rPr>
      </w:pPr>
      <w:r>
        <w:rPr>
          <w:szCs w:val="28"/>
        </w:rPr>
        <w:t>Таблица 3.10.2</w:t>
      </w:r>
    </w:p>
    <w:p>
      <w:pPr>
        <w:pStyle w:val="BodyTextIndent2"/>
        <w:spacing w:lineRule="auto" w:line="240"/>
        <w:ind w:hanging="0"/>
        <w:jc w:val="center"/>
        <w:rPr>
          <w:iCs/>
          <w:szCs w:val="28"/>
        </w:rPr>
      </w:pPr>
      <w:r>
        <w:rPr>
          <w:iCs/>
          <w:szCs w:val="28"/>
        </w:rPr>
        <w:t xml:space="preserve">Перечень мероприятий по установлению границ населенных пунктов, входящих в состав </w:t>
      </w:r>
    </w:p>
    <w:p>
      <w:pPr>
        <w:pStyle w:val="BodyTextIndent2"/>
        <w:spacing w:lineRule="auto" w:line="240"/>
        <w:ind w:hanging="0"/>
        <w:jc w:val="center"/>
        <w:rPr>
          <w:iCs/>
          <w:szCs w:val="28"/>
        </w:rPr>
      </w:pPr>
      <w:r>
        <w:rPr>
          <w:iCs/>
          <w:szCs w:val="28"/>
          <w:lang w:val="ru-RU"/>
        </w:rPr>
        <w:t>Вахитовского</w:t>
      </w:r>
      <w:r>
        <w:rPr>
          <w:iCs/>
          <w:szCs w:val="28"/>
        </w:rPr>
        <w:t xml:space="preserve"> сельского поселения</w:t>
      </w:r>
    </w:p>
    <w:tbl>
      <w:tblPr>
        <w:tblW w:w="15480" w:type="dxa"/>
        <w:jc w:val="center"/>
        <w:tblInd w:w="0" w:type="dxa"/>
        <w:tblLayout w:type="fixed"/>
        <w:tblCellMar>
          <w:top w:w="0" w:type="dxa"/>
          <w:left w:w="108" w:type="dxa"/>
          <w:bottom w:w="0" w:type="dxa"/>
          <w:right w:w="108" w:type="dxa"/>
        </w:tblCellMar>
        <w:tblLook w:noVBand="1" w:val="04a0" w:noHBand="0" w:lastColumn="0" w:firstColumn="1" w:lastRow="0" w:firstRow="1"/>
      </w:tblPr>
      <w:tblGrid>
        <w:gridCol w:w="600"/>
        <w:gridCol w:w="1698"/>
        <w:gridCol w:w="1559"/>
        <w:gridCol w:w="3118"/>
        <w:gridCol w:w="1134"/>
        <w:gridCol w:w="1135"/>
        <w:gridCol w:w="1276"/>
        <w:gridCol w:w="1275"/>
        <w:gridCol w:w="1418"/>
        <w:gridCol w:w="2265"/>
      </w:tblGrid>
      <w:tr>
        <w:trPr>
          <w:tblHeader w:val="true"/>
          <w:trHeight w:val="342" w:hRule="atLeast"/>
          <w:cantSplit w:val="true"/>
        </w:trPr>
        <w:tc>
          <w:tcPr>
            <w:tcW w:w="60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 xml:space="preserve">№ </w:t>
            </w:r>
            <w:r>
              <w:rPr>
                <w:color w:val="000000"/>
                <w:sz w:val="20"/>
                <w:szCs w:val="20"/>
              </w:rPr>
              <w:t>п/п</w:t>
            </w:r>
          </w:p>
        </w:tc>
        <w:tc>
          <w:tcPr>
            <w:tcW w:w="169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Наименование населенного пункта, входящего в состав поселения</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Наименование объекта</w:t>
            </w:r>
          </w:p>
        </w:tc>
        <w:tc>
          <w:tcPr>
            <w:tcW w:w="311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Вид мероприятия</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Единица измерения</w:t>
            </w:r>
          </w:p>
        </w:tc>
        <w:tc>
          <w:tcPr>
            <w:tcW w:w="241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Мощность</w:t>
            </w:r>
          </w:p>
        </w:tc>
        <w:tc>
          <w:tcPr>
            <w:tcW w:w="269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Сроки реализации</w:t>
            </w:r>
          </w:p>
        </w:tc>
        <w:tc>
          <w:tcPr>
            <w:tcW w:w="226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Источник мероприятия (наименование документа)</w:t>
            </w:r>
          </w:p>
        </w:tc>
      </w:tr>
      <w:tr>
        <w:trPr>
          <w:tblHeader w:val="true"/>
          <w:trHeight w:val="342" w:hRule="atLeast"/>
          <w:cantSplit w:val="true"/>
        </w:trPr>
        <w:tc>
          <w:tcPr>
            <w:tcW w:w="6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left"/>
              <w:rPr>
                <w:color w:val="000000"/>
                <w:sz w:val="20"/>
                <w:szCs w:val="20"/>
              </w:rPr>
            </w:pPr>
            <w:r>
              <w:rPr>
                <w:color w:val="000000"/>
                <w:sz w:val="20"/>
                <w:szCs w:val="20"/>
              </w:rPr>
            </w:r>
          </w:p>
        </w:tc>
        <w:tc>
          <w:tcPr>
            <w:tcW w:w="16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left"/>
              <w:rPr>
                <w:color w:val="000000"/>
                <w:sz w:val="20"/>
                <w:szCs w:val="20"/>
              </w:rPr>
            </w:pPr>
            <w:r>
              <w:rPr>
                <w:color w:val="000000"/>
                <w:sz w:val="20"/>
                <w:szCs w:val="20"/>
              </w:rPr>
            </w:r>
          </w:p>
        </w:tc>
        <w:tc>
          <w:tcPr>
            <w:tcW w:w="15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left"/>
              <w:rPr>
                <w:color w:val="000000"/>
                <w:sz w:val="20"/>
                <w:szCs w:val="20"/>
              </w:rPr>
            </w:pPr>
            <w:r>
              <w:rPr>
                <w:color w:val="000000"/>
                <w:sz w:val="20"/>
                <w:szCs w:val="20"/>
              </w:rPr>
            </w:r>
          </w:p>
        </w:tc>
        <w:tc>
          <w:tcPr>
            <w:tcW w:w="311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left"/>
              <w:rPr>
                <w:color w:val="000000"/>
                <w:sz w:val="20"/>
                <w:szCs w:val="20"/>
              </w:rPr>
            </w:pPr>
            <w:r>
              <w:rPr>
                <w:color w:val="000000"/>
                <w:sz w:val="20"/>
                <w:szCs w:val="20"/>
              </w:rPr>
            </w:r>
          </w:p>
        </w:tc>
        <w:tc>
          <w:tcPr>
            <w:tcW w:w="11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left"/>
              <w:rPr>
                <w:color w:val="000000"/>
                <w:sz w:val="20"/>
                <w:szCs w:val="20"/>
              </w:rPr>
            </w:pPr>
            <w:r>
              <w:rPr>
                <w:color w:val="000000"/>
                <w:sz w:val="20"/>
                <w:szCs w:val="20"/>
              </w:rPr>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lang w:val="en-US"/>
              </w:rPr>
            </w:pPr>
            <w:r>
              <w:rPr>
                <w:color w:val="000000"/>
                <w:sz w:val="20"/>
                <w:szCs w:val="20"/>
                <w:lang w:val="en-US"/>
              </w:rPr>
              <w:t>Существующая</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lang w:val="en-US"/>
              </w:rPr>
            </w:pPr>
            <w:r>
              <w:rPr>
                <w:color w:val="000000"/>
                <w:sz w:val="20"/>
                <w:szCs w:val="20"/>
                <w:lang w:val="en-US"/>
              </w:rPr>
              <w:t>Дополнительная</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Первая очередь (до 2032 г.)</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Расчетный срок (2033  - 2047 гг.)</w:t>
            </w:r>
          </w:p>
        </w:tc>
        <w:tc>
          <w:tcPr>
            <w:tcW w:w="22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left"/>
              <w:rPr>
                <w:color w:val="000000"/>
                <w:sz w:val="20"/>
                <w:szCs w:val="20"/>
              </w:rPr>
            </w:pPr>
            <w:r>
              <w:rPr>
                <w:color w:val="000000"/>
                <w:sz w:val="20"/>
                <w:szCs w:val="20"/>
              </w:rPr>
            </w:r>
          </w:p>
        </w:tc>
      </w:tr>
      <w:tr>
        <w:trPr>
          <w:trHeight w:val="1611" w:hRule="atLeast"/>
          <w:cantSplit w:val="true"/>
        </w:trPr>
        <w:tc>
          <w:tcPr>
            <w:tcW w:w="6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1</w:t>
            </w:r>
          </w:p>
        </w:tc>
        <w:tc>
          <w:tcPr>
            <w:tcW w:w="16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bCs/>
                <w:color w:val="000000"/>
                <w:sz w:val="20"/>
                <w:szCs w:val="20"/>
              </w:rPr>
              <w:t>с.Ташевка</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территория населенного пункта</w:t>
            </w:r>
          </w:p>
        </w:tc>
        <w:tc>
          <w:tcPr>
            <w:tcW w:w="31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включение в границу населенного пункта земельного участка с категорией «земли сельскохозяйственного назначения» и перевод  данного земельного участка в категорию «земли населенных пунктов»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га</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6,88</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Проект внесения изменений в генеральный план Вахитовского СП</w:t>
            </w:r>
          </w:p>
        </w:tc>
      </w:tr>
      <w:tr>
        <w:trPr>
          <w:trHeight w:val="1611" w:hRule="atLeast"/>
          <w:cantSplit w:val="true"/>
        </w:trPr>
        <w:tc>
          <w:tcPr>
            <w:tcW w:w="6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2</w:t>
            </w:r>
          </w:p>
        </w:tc>
        <w:tc>
          <w:tcPr>
            <w:tcW w:w="16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bCs/>
                <w:color w:val="000000"/>
                <w:sz w:val="20"/>
                <w:szCs w:val="20"/>
              </w:rPr>
              <w:t>с.Ташевка</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территория населенного пункта</w:t>
            </w:r>
          </w:p>
        </w:tc>
        <w:tc>
          <w:tcPr>
            <w:tcW w:w="31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включение в границу населенного пункта земельного участка с категорией «земли сельскохозяйственного назначения» и перевод  данного земельного участка в категорию «земли населенных пунктов»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га</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0,43</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Проект внесения изменений в генеральный план Вахитовского СП</w:t>
            </w:r>
          </w:p>
        </w:tc>
      </w:tr>
    </w:tbl>
    <w:p>
      <w:pPr>
        <w:pStyle w:val="BodyTextIndent2"/>
        <w:spacing w:lineRule="auto" w:line="240"/>
        <w:ind w:hanging="0"/>
        <w:jc w:val="center"/>
        <w:rPr>
          <w:iCs/>
          <w:szCs w:val="28"/>
          <w:lang w:val="ru-RU"/>
        </w:rPr>
      </w:pPr>
      <w:r>
        <w:rPr>
          <w:iCs/>
          <w:szCs w:val="28"/>
          <w:lang w:val="ru-RU"/>
        </w:rPr>
      </w:r>
    </w:p>
    <w:p>
      <w:pPr>
        <w:pStyle w:val="BodyTextIndent2"/>
        <w:spacing w:lineRule="auto" w:line="240"/>
        <w:ind w:hanging="0"/>
        <w:jc w:val="center"/>
        <w:rPr>
          <w:iCs/>
          <w:szCs w:val="28"/>
          <w:lang w:val="ru-RU"/>
        </w:rPr>
      </w:pPr>
      <w:r>
        <w:rPr>
          <w:iCs/>
          <w:szCs w:val="28"/>
          <w:lang w:val="ru-RU"/>
        </w:rPr>
      </w:r>
    </w:p>
    <w:p>
      <w:pPr>
        <w:pStyle w:val="BodyTextIndent2"/>
        <w:spacing w:lineRule="auto" w:line="240"/>
        <w:ind w:hanging="0"/>
        <w:jc w:val="center"/>
        <w:rPr>
          <w:iCs/>
          <w:szCs w:val="28"/>
          <w:lang w:val="ru-RU"/>
        </w:rPr>
      </w:pPr>
      <w:r>
        <w:rPr>
          <w:iCs/>
          <w:szCs w:val="28"/>
          <w:lang w:val="ru-RU"/>
        </w:rPr>
      </w:r>
    </w:p>
    <w:p>
      <w:pPr>
        <w:pStyle w:val="BodyTextIndent2"/>
        <w:spacing w:lineRule="auto" w:line="240"/>
        <w:ind w:hanging="0"/>
        <w:jc w:val="center"/>
        <w:rPr>
          <w:iCs/>
          <w:szCs w:val="28"/>
          <w:lang w:val="ru-RU"/>
        </w:rPr>
      </w:pPr>
      <w:r>
        <w:rPr>
          <w:iCs/>
          <w:szCs w:val="28"/>
          <w:lang w:val="ru-RU"/>
        </w:rPr>
      </w:r>
    </w:p>
    <w:p>
      <w:pPr>
        <w:pStyle w:val="BodyTextIndent2"/>
        <w:spacing w:lineRule="auto" w:line="240"/>
        <w:ind w:hanging="0"/>
        <w:jc w:val="center"/>
        <w:rPr>
          <w:iCs/>
          <w:szCs w:val="28"/>
          <w:lang w:val="ru-RU"/>
        </w:rPr>
      </w:pPr>
      <w:r>
        <w:rPr>
          <w:iCs/>
          <w:szCs w:val="28"/>
          <w:lang w:val="ru-RU"/>
        </w:rPr>
      </w:r>
    </w:p>
    <w:p>
      <w:pPr>
        <w:pStyle w:val="BodyTextIndent2"/>
        <w:spacing w:lineRule="auto" w:line="240"/>
        <w:ind w:hanging="0"/>
        <w:jc w:val="center"/>
        <w:rPr>
          <w:iCs/>
          <w:szCs w:val="28"/>
          <w:lang w:val="ru-RU"/>
        </w:rPr>
      </w:pPr>
      <w:r>
        <w:rPr>
          <w:iCs/>
          <w:szCs w:val="28"/>
          <w:lang w:val="ru-RU"/>
        </w:rPr>
      </w:r>
    </w:p>
    <w:p>
      <w:pPr>
        <w:pStyle w:val="BodyTextIndent2"/>
        <w:spacing w:lineRule="auto" w:line="240"/>
        <w:ind w:hanging="0"/>
        <w:jc w:val="center"/>
        <w:rPr>
          <w:iCs/>
          <w:szCs w:val="28"/>
          <w:lang w:val="ru-RU"/>
        </w:rPr>
      </w:pPr>
      <w:r>
        <w:rPr>
          <w:iCs/>
          <w:szCs w:val="28"/>
          <w:lang w:val="ru-RU"/>
        </w:rPr>
      </w:r>
    </w:p>
    <w:p>
      <w:pPr>
        <w:pStyle w:val="BodyTextIndent2"/>
        <w:spacing w:lineRule="auto" w:line="240"/>
        <w:ind w:hanging="0"/>
        <w:jc w:val="center"/>
        <w:rPr>
          <w:iCs/>
          <w:szCs w:val="28"/>
          <w:lang w:val="ru-RU"/>
        </w:rPr>
      </w:pPr>
      <w:r>
        <w:rPr>
          <w:iCs/>
          <w:szCs w:val="28"/>
          <w:lang w:val="ru-RU"/>
        </w:rPr>
      </w:r>
    </w:p>
    <w:p>
      <w:pPr>
        <w:pStyle w:val="BodyTextIndent2"/>
        <w:spacing w:lineRule="auto" w:line="240"/>
        <w:ind w:hanging="0"/>
        <w:jc w:val="center"/>
        <w:rPr>
          <w:iCs/>
          <w:szCs w:val="28"/>
          <w:lang w:val="ru-RU"/>
        </w:rPr>
      </w:pPr>
      <w:r>
        <w:rPr>
          <w:iCs/>
          <w:szCs w:val="28"/>
          <w:lang w:val="ru-RU"/>
        </w:rPr>
      </w:r>
    </w:p>
    <w:p>
      <w:pPr>
        <w:pStyle w:val="BodyTextIndent2"/>
        <w:spacing w:lineRule="auto" w:line="240"/>
        <w:ind w:hanging="0"/>
        <w:jc w:val="center"/>
        <w:rPr>
          <w:iCs/>
          <w:szCs w:val="28"/>
          <w:lang w:val="ru-RU"/>
        </w:rPr>
      </w:pPr>
      <w:r>
        <w:rPr>
          <w:iCs/>
          <w:szCs w:val="28"/>
          <w:lang w:val="ru-RU"/>
        </w:rPr>
      </w:r>
    </w:p>
    <w:p>
      <w:pPr>
        <w:pStyle w:val="BodyTextIndent2"/>
        <w:spacing w:lineRule="auto" w:line="240"/>
        <w:ind w:hanging="0"/>
        <w:jc w:val="center"/>
        <w:rPr>
          <w:iCs/>
          <w:szCs w:val="28"/>
          <w:lang w:val="ru-RU"/>
        </w:rPr>
      </w:pPr>
      <w:r>
        <w:rPr>
          <w:iCs/>
          <w:szCs w:val="28"/>
          <w:lang w:val="ru-RU"/>
        </w:rPr>
      </w:r>
    </w:p>
    <w:p>
      <w:pPr>
        <w:pStyle w:val="BodyTextIndent2"/>
        <w:spacing w:lineRule="auto" w:line="240"/>
        <w:ind w:hanging="0"/>
        <w:jc w:val="center"/>
        <w:rPr>
          <w:iCs/>
          <w:szCs w:val="28"/>
          <w:lang w:val="ru-RU"/>
        </w:rPr>
      </w:pPr>
      <w:r>
        <w:rPr>
          <w:iCs/>
          <w:szCs w:val="28"/>
          <w:lang w:val="ru-RU"/>
        </w:rPr>
      </w:r>
    </w:p>
    <w:p>
      <w:pPr>
        <w:pStyle w:val="2"/>
        <w:numPr>
          <w:ilvl w:val="0"/>
          <w:numId w:val="0"/>
        </w:numPr>
        <w:ind w:left="0" w:hanging="0"/>
        <w:rPr>
          <w:color w:val="000000"/>
        </w:rPr>
      </w:pPr>
      <w:bookmarkStart w:id="77" w:name="_Toc156489387"/>
      <w:bookmarkStart w:id="78" w:name="_Toc366047803"/>
      <w:r>
        <w:rPr>
          <w:color w:val="000000"/>
        </w:rPr>
        <w:t>3.11. Мероприятия по о</w:t>
      </w:r>
      <w:bookmarkEnd w:id="78"/>
      <w:r>
        <w:rPr>
          <w:color w:val="000000"/>
        </w:rPr>
        <w:t>хране окружающей среды</w:t>
      </w:r>
      <w:bookmarkEnd w:id="77"/>
    </w:p>
    <w:p>
      <w:pPr>
        <w:pStyle w:val="Style78"/>
        <w:rPr>
          <w:color w:val="000000"/>
        </w:rPr>
      </w:pPr>
      <w:r>
        <w:rPr>
          <w:color w:val="000000"/>
        </w:rPr>
        <w:t>Таблица 3.11.1</w:t>
      </w:r>
    </w:p>
    <w:p>
      <w:pPr>
        <w:pStyle w:val="Normal"/>
        <w:spacing w:before="0" w:after="0"/>
        <w:contextualSpacing/>
        <w:jc w:val="center"/>
        <w:rPr>
          <w:color w:val="000000"/>
          <w:szCs w:val="28"/>
        </w:rPr>
      </w:pPr>
      <w:r>
        <w:rPr>
          <w:color w:val="000000"/>
          <w:szCs w:val="28"/>
        </w:rPr>
        <w:t>Перечень мероприятий по охране атмосферного воздуха</w:t>
      </w:r>
    </w:p>
    <w:tbl>
      <w:tblPr>
        <w:tblpPr w:vertAnchor="page" w:horzAnchor="page" w:leftFromText="180" w:rightFromText="180" w:tblpX="1606" w:tblpY="1936"/>
        <w:tblW w:w="4850" w:type="pct"/>
        <w:jc w:val="left"/>
        <w:tblInd w:w="-5" w:type="dxa"/>
        <w:tblLayout w:type="fixed"/>
        <w:tblCellMar>
          <w:top w:w="0" w:type="dxa"/>
          <w:left w:w="108" w:type="dxa"/>
          <w:bottom w:w="0" w:type="dxa"/>
          <w:right w:w="108" w:type="dxa"/>
        </w:tblCellMar>
        <w:tblLook w:noVBand="0" w:val="0000" w:noHBand="0" w:lastColumn="0" w:firstColumn="0" w:lastRow="0" w:firstRow="0"/>
      </w:tblPr>
      <w:tblGrid>
        <w:gridCol w:w="645"/>
        <w:gridCol w:w="3388"/>
        <w:gridCol w:w="4625"/>
        <w:gridCol w:w="1642"/>
        <w:gridCol w:w="1692"/>
        <w:gridCol w:w="2414"/>
      </w:tblGrid>
      <w:tr>
        <w:trPr>
          <w:tblHeader w:val="true"/>
          <w:trHeight w:val="20" w:hRule="atLeast"/>
          <w:cantSplit w:val="true"/>
        </w:trPr>
        <w:tc>
          <w:tcPr>
            <w:tcW w:w="64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t xml:space="preserve">№ </w:t>
            </w:r>
            <w:r>
              <w:rPr>
                <w:sz w:val="24"/>
              </w:rPr>
              <w:t>п/п</w:t>
            </w:r>
          </w:p>
        </w:tc>
        <w:tc>
          <w:tcPr>
            <w:tcW w:w="338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t>Наименование объекта</w:t>
            </w:r>
          </w:p>
        </w:tc>
        <w:tc>
          <w:tcPr>
            <w:tcW w:w="462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t>Вид мероприятия по охране атмосферного воздуха</w:t>
            </w:r>
          </w:p>
        </w:tc>
        <w:tc>
          <w:tcPr>
            <w:tcW w:w="333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t>Сроки реализации</w:t>
            </w:r>
          </w:p>
        </w:tc>
        <w:tc>
          <w:tcPr>
            <w:tcW w:w="241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t>Источник мероприятия (наименование документа)</w:t>
            </w:r>
          </w:p>
        </w:tc>
      </w:tr>
      <w:tr>
        <w:trPr>
          <w:tblHeader w:val="true"/>
          <w:trHeight w:val="70" w:hRule="atLeast"/>
          <w:cantSplit w:val="true"/>
        </w:trPr>
        <w:tc>
          <w:tcPr>
            <w:tcW w:w="64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r>
          </w:p>
        </w:tc>
        <w:tc>
          <w:tcPr>
            <w:tcW w:w="33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r>
          </w:p>
        </w:tc>
        <w:tc>
          <w:tcPr>
            <w:tcW w:w="46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r>
          </w:p>
        </w:tc>
        <w:tc>
          <w:tcPr>
            <w:tcW w:w="16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t>Первая очередь</w:t>
            </w:r>
          </w:p>
        </w:tc>
        <w:tc>
          <w:tcPr>
            <w:tcW w:w="1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t>Расчетный период</w:t>
            </w:r>
          </w:p>
        </w:tc>
        <w:tc>
          <w:tcPr>
            <w:tcW w:w="2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r>
          </w:p>
        </w:tc>
      </w:tr>
      <w:tr>
        <w:trPr>
          <w:trHeight w:val="1465" w:hRule="atLeast"/>
          <w:cantSplit w:val="true"/>
        </w:trPr>
        <w:tc>
          <w:tcPr>
            <w:tcW w:w="6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t>1</w:t>
            </w:r>
          </w:p>
        </w:tc>
        <w:tc>
          <w:tcPr>
            <w:tcW w:w="3388"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ind w:left="283" w:hanging="0"/>
              <w:jc w:val="center"/>
              <w:rPr>
                <w:sz w:val="24"/>
              </w:rPr>
            </w:pPr>
            <w:r>
              <w:rPr>
                <w:sz w:val="24"/>
              </w:rPr>
              <w:t>Склад ГСМ Матюшинский карьер</w:t>
            </w:r>
          </w:p>
          <w:p>
            <w:pPr>
              <w:pStyle w:val="Style38"/>
              <w:widowControl w:val="false"/>
              <w:suppressAutoHyphens w:val="true"/>
              <w:ind w:left="283" w:hanging="0"/>
              <w:jc w:val="center"/>
              <w:rPr>
                <w:sz w:val="24"/>
              </w:rPr>
            </w:pPr>
            <w:r>
              <w:rPr>
                <w:sz w:val="24"/>
              </w:rPr>
              <w:t>Дробильно-сортировочное оборудование по переработке карбонатных пород</w:t>
            </w:r>
          </w:p>
          <w:p>
            <w:pPr>
              <w:pStyle w:val="Style38"/>
              <w:widowControl w:val="false"/>
              <w:suppressAutoHyphens w:val="true"/>
              <w:ind w:left="283" w:hanging="0"/>
              <w:jc w:val="center"/>
              <w:rPr>
                <w:sz w:val="24"/>
              </w:rPr>
            </w:pPr>
            <w:r>
              <w:rPr>
                <w:sz w:val="24"/>
              </w:rPr>
              <w:t>Карьер по добыче известняка «Матюшинский»</w:t>
            </w:r>
          </w:p>
        </w:tc>
        <w:tc>
          <w:tcPr>
            <w:tcW w:w="4625" w:type="dxa"/>
            <w:vMerge w:val="restart"/>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ind w:left="283" w:firstLine="142"/>
              <w:jc w:val="center"/>
              <w:rPr>
                <w:sz w:val="24"/>
              </w:rPr>
            </w:pPr>
            <w:r>
              <w:rPr>
                <w:sz w:val="24"/>
              </w:rPr>
              <w:t>Установление СЗЗ, обеспечение инженерными сетями с внедрением наилучших доступных технологий в вопросах организации очистки выбросов загрязняющих веществ, озеленение специального назначения по периметру объекта.</w:t>
            </w:r>
          </w:p>
          <w:p>
            <w:pPr>
              <w:pStyle w:val="Style75"/>
              <w:widowControl w:val="false"/>
              <w:ind w:firstLine="142"/>
              <w:rPr/>
            </w:pPr>
            <w:r>
              <w:rPr/>
              <w:t>Производственный контроль за соблюдением гигиенических нормативов на границе СЗЗ.</w:t>
            </w:r>
          </w:p>
        </w:tc>
        <w:tc>
          <w:tcPr>
            <w:tcW w:w="16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t>+</w:t>
            </w:r>
          </w:p>
        </w:tc>
        <w:tc>
          <w:tcPr>
            <w:tcW w:w="1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t>-</w:t>
            </w:r>
          </w:p>
        </w:tc>
        <w:tc>
          <w:tcPr>
            <w:tcW w:w="241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2431" w:leader="none"/>
              </w:tabs>
              <w:suppressAutoHyphens w:val="true"/>
              <w:rPr>
                <w:sz w:val="24"/>
              </w:rPr>
            </w:pPr>
            <w:r>
              <w:rPr>
                <w:sz w:val="24"/>
              </w:rPr>
              <w:t>Генеральный план Вахитовского с.п.</w:t>
            </w:r>
          </w:p>
          <w:p>
            <w:pPr>
              <w:pStyle w:val="Normal"/>
              <w:widowControl w:val="false"/>
              <w:tabs>
                <w:tab w:val="clear" w:pos="709"/>
                <w:tab w:val="left" w:pos="2431" w:leader="none"/>
              </w:tabs>
              <w:suppressAutoHyphens w:val="true"/>
              <w:rPr>
                <w:sz w:val="24"/>
              </w:rPr>
            </w:pPr>
            <w:r>
              <w:rPr>
                <w:sz w:val="24"/>
              </w:rPr>
              <w:t>Правила установления санитарно-защитных зон и использования земельных участков, расположенных в границах санитарно-защитных зон, утвержденные Постановлением Правительства РФ от 03.03.2018 №222</w:t>
            </w:r>
          </w:p>
        </w:tc>
      </w:tr>
      <w:tr>
        <w:trPr>
          <w:trHeight w:val="70" w:hRule="atLeast"/>
          <w:cantSplit w:val="true"/>
        </w:trPr>
        <w:tc>
          <w:tcPr>
            <w:tcW w:w="6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t>2</w:t>
            </w:r>
          </w:p>
        </w:tc>
        <w:tc>
          <w:tcPr>
            <w:tcW w:w="3388"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ind w:left="283" w:firstLine="142"/>
              <w:jc w:val="center"/>
              <w:rPr>
                <w:sz w:val="24"/>
              </w:rPr>
            </w:pPr>
            <w:r>
              <w:rPr>
                <w:sz w:val="24"/>
              </w:rPr>
              <w:t>Площадка перспективного развития АПК V класса опасности</w:t>
            </w:r>
          </w:p>
          <w:p>
            <w:pPr>
              <w:pStyle w:val="Style38"/>
              <w:widowControl w:val="false"/>
              <w:suppressAutoHyphens w:val="true"/>
              <w:ind w:left="283" w:firstLine="142"/>
              <w:jc w:val="center"/>
              <w:rPr>
                <w:sz w:val="24"/>
              </w:rPr>
            </w:pPr>
            <w:r>
              <w:rPr>
                <w:sz w:val="24"/>
              </w:rPr>
              <w:t>Площадка перспективного развития АПК V класса опасности</w:t>
            </w:r>
          </w:p>
        </w:tc>
        <w:tc>
          <w:tcPr>
            <w:tcW w:w="4625"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ind w:firstLine="142"/>
              <w:rPr/>
            </w:pPr>
            <w:r>
              <w:rPr/>
            </w:r>
          </w:p>
        </w:tc>
        <w:tc>
          <w:tcPr>
            <w:tcW w:w="16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t>+</w:t>
            </w:r>
          </w:p>
        </w:tc>
        <w:tc>
          <w:tcPr>
            <w:tcW w:w="1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r>
          </w:p>
        </w:tc>
        <w:tc>
          <w:tcPr>
            <w:tcW w:w="241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2431" w:leader="none"/>
              </w:tabs>
              <w:suppressAutoHyphens w:val="true"/>
              <w:rPr>
                <w:sz w:val="24"/>
              </w:rPr>
            </w:pPr>
            <w:r>
              <w:rPr>
                <w:sz w:val="24"/>
              </w:rPr>
            </w:r>
          </w:p>
        </w:tc>
      </w:tr>
      <w:tr>
        <w:trPr>
          <w:trHeight w:val="70" w:hRule="atLeast"/>
          <w:cantSplit w:val="true"/>
        </w:trPr>
        <w:tc>
          <w:tcPr>
            <w:tcW w:w="6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t>3</w:t>
            </w:r>
          </w:p>
        </w:tc>
        <w:tc>
          <w:tcPr>
            <w:tcW w:w="3388"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ind w:left="283" w:firstLine="142"/>
              <w:jc w:val="center"/>
              <w:rPr>
                <w:sz w:val="24"/>
              </w:rPr>
            </w:pPr>
            <w:r>
              <w:rPr>
                <w:sz w:val="24"/>
              </w:rPr>
              <w:t>Автомобильные дороги</w:t>
            </w:r>
          </w:p>
        </w:tc>
        <w:tc>
          <w:tcPr>
            <w:tcW w:w="462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ind w:firstLine="142"/>
              <w:rPr/>
            </w:pPr>
            <w:r>
              <w:rPr/>
              <w:t>Устройство озеленения специального назначения вдоль дорог или специальных конструкций земляного полотна, обеспечивающих уменьшение распространения загрязнений</w:t>
            </w:r>
          </w:p>
        </w:tc>
        <w:tc>
          <w:tcPr>
            <w:tcW w:w="16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r>
          </w:p>
        </w:tc>
        <w:tc>
          <w:tcPr>
            <w:tcW w:w="1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t>+</w:t>
            </w:r>
          </w:p>
        </w:tc>
        <w:tc>
          <w:tcPr>
            <w:tcW w:w="2414" w:type="dxa"/>
            <w:tcBorders>
              <w:top w:val="single" w:sz="4" w:space="0" w:color="000000"/>
              <w:left w:val="single" w:sz="4" w:space="0" w:color="000000"/>
              <w:bottom w:val="single" w:sz="4" w:space="0" w:color="000000"/>
              <w:right w:val="single" w:sz="4" w:space="0" w:color="000000"/>
            </w:tcBorders>
          </w:tcPr>
          <w:p>
            <w:pPr>
              <w:pStyle w:val="Normal"/>
              <w:widowControl w:val="false"/>
              <w:rPr>
                <w:sz w:val="24"/>
              </w:rPr>
            </w:pPr>
            <w:r>
              <w:rPr>
                <w:sz w:val="24"/>
              </w:rPr>
              <w:t>Генеральный план Вахитовского с.п.</w:t>
            </w:r>
          </w:p>
        </w:tc>
      </w:tr>
    </w:tbl>
    <w:p>
      <w:pPr>
        <w:pStyle w:val="Style56"/>
        <w:rPr>
          <w:color w:val="FF0000"/>
        </w:rPr>
      </w:pPr>
      <w:r>
        <w:rPr>
          <w:color w:val="FF0000"/>
        </w:rPr>
      </w:r>
      <w:r>
        <w:br w:type="page"/>
      </w:r>
    </w:p>
    <w:p>
      <w:pPr>
        <w:pStyle w:val="Style56"/>
        <w:rPr>
          <w:i w:val="false"/>
          <w:i w:val="false"/>
          <w:color w:val="FF0000"/>
        </w:rPr>
      </w:pPr>
      <w:r>
        <w:rPr>
          <w:i w:val="false"/>
          <w:color w:val="FF0000"/>
        </w:rPr>
      </w:r>
    </w:p>
    <w:p>
      <w:pPr>
        <w:pStyle w:val="Style56"/>
        <w:jc w:val="right"/>
        <w:rPr>
          <w:i w:val="false"/>
          <w:i w:val="false"/>
          <w:color w:val="000000"/>
        </w:rPr>
      </w:pPr>
      <w:r>
        <w:rPr>
          <w:color w:val="000000"/>
        </w:rPr>
        <w:tab/>
      </w:r>
      <w:r>
        <w:rPr>
          <w:i w:val="false"/>
          <w:color w:val="000000"/>
        </w:rPr>
        <w:t>Таблица 3.11.2</w:t>
      </w:r>
    </w:p>
    <w:p>
      <w:pPr>
        <w:pStyle w:val="Normal"/>
        <w:jc w:val="center"/>
        <w:rPr>
          <w:color w:val="000000"/>
          <w:szCs w:val="28"/>
        </w:rPr>
      </w:pPr>
      <w:r>
        <w:rPr>
          <w:color w:val="000000"/>
          <w:szCs w:val="28"/>
        </w:rPr>
        <w:t>Перечень мероприятий по охране поверхностных водных объектов</w:t>
      </w:r>
    </w:p>
    <w:p>
      <w:pPr>
        <w:pStyle w:val="Style79"/>
        <w:rPr>
          <w:color w:val="FF0000"/>
        </w:rPr>
      </w:pPr>
      <w:r>
        <w:rPr>
          <w:color w:val="FF0000"/>
        </w:rPr>
      </w:r>
    </w:p>
    <w:tbl>
      <w:tblPr>
        <w:tblW w:w="5000" w:type="pct"/>
        <w:jc w:val="center"/>
        <w:tblInd w:w="0" w:type="dxa"/>
        <w:tblLayout w:type="fixed"/>
        <w:tblCellMar>
          <w:top w:w="0" w:type="dxa"/>
          <w:left w:w="108" w:type="dxa"/>
          <w:bottom w:w="0" w:type="dxa"/>
          <w:right w:w="108" w:type="dxa"/>
        </w:tblCellMar>
        <w:tblLook w:noVBand="0" w:val="0000" w:noHBand="0" w:lastColumn="0" w:firstColumn="0" w:lastRow="0" w:firstRow="0"/>
      </w:tblPr>
      <w:tblGrid>
        <w:gridCol w:w="599"/>
        <w:gridCol w:w="2546"/>
        <w:gridCol w:w="5056"/>
        <w:gridCol w:w="1913"/>
        <w:gridCol w:w="1456"/>
        <w:gridCol w:w="3282"/>
      </w:tblGrid>
      <w:tr>
        <w:trPr>
          <w:trHeight w:val="20" w:hRule="atLeast"/>
        </w:trPr>
        <w:tc>
          <w:tcPr>
            <w:tcW w:w="59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 xml:space="preserve">№ </w:t>
            </w:r>
            <w:r>
              <w:rPr>
                <w:sz w:val="24"/>
              </w:rPr>
              <w:t>п/п</w:t>
            </w:r>
          </w:p>
        </w:tc>
        <w:tc>
          <w:tcPr>
            <w:tcW w:w="254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Наименование объекта</w:t>
            </w:r>
          </w:p>
        </w:tc>
        <w:tc>
          <w:tcPr>
            <w:tcW w:w="505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Вид мероприятия по охране поверхностных водных объектов</w:t>
            </w:r>
          </w:p>
        </w:tc>
        <w:tc>
          <w:tcPr>
            <w:tcW w:w="336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Сроки реализации</w:t>
            </w:r>
          </w:p>
        </w:tc>
        <w:tc>
          <w:tcPr>
            <w:tcW w:w="328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Источник мероприятия (наименование документа)</w:t>
            </w:r>
          </w:p>
        </w:tc>
      </w:tr>
      <w:tr>
        <w:trPr>
          <w:trHeight w:val="70" w:hRule="atLeast"/>
        </w:trPr>
        <w:tc>
          <w:tcPr>
            <w:tcW w:w="59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r>
          </w:p>
        </w:tc>
        <w:tc>
          <w:tcPr>
            <w:tcW w:w="25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r>
          </w:p>
        </w:tc>
        <w:tc>
          <w:tcPr>
            <w:tcW w:w="505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r>
          </w:p>
        </w:tc>
        <w:tc>
          <w:tcPr>
            <w:tcW w:w="19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Первая очередь</w:t>
            </w:r>
          </w:p>
        </w:tc>
        <w:tc>
          <w:tcPr>
            <w:tcW w:w="1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Расчетный период</w:t>
            </w:r>
          </w:p>
        </w:tc>
        <w:tc>
          <w:tcPr>
            <w:tcW w:w="328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r>
          </w:p>
        </w:tc>
      </w:tr>
      <w:tr>
        <w:trPr>
          <w:trHeight w:val="70" w:hRule="atLeast"/>
        </w:trPr>
        <w:tc>
          <w:tcPr>
            <w:tcW w:w="5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1</w:t>
            </w:r>
          </w:p>
        </w:tc>
        <w:tc>
          <w:tcPr>
            <w:tcW w:w="254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Территории в границах водоохранных зон (в т.ч. жилая застройка)</w:t>
            </w:r>
          </w:p>
        </w:tc>
        <w:tc>
          <w:tcPr>
            <w:tcW w:w="50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Не допускать сброс сточных вод на рельеф, неочищенных сточных вод в водные объекты.</w:t>
            </w:r>
          </w:p>
          <w:p>
            <w:pPr>
              <w:pStyle w:val="Normal"/>
              <w:widowControl w:val="false"/>
              <w:ind w:hanging="0"/>
              <w:jc w:val="center"/>
              <w:rPr>
                <w:sz w:val="24"/>
              </w:rPr>
            </w:pPr>
            <w:r>
              <w:rPr>
                <w:sz w:val="24"/>
              </w:rPr>
              <w:t>Проверять герметичность выгребных ям в жилой застройке в границах ВОЗ, ПЗП.</w:t>
            </w:r>
          </w:p>
          <w:p>
            <w:pPr>
              <w:pStyle w:val="Normal"/>
              <w:widowControl w:val="false"/>
              <w:ind w:hanging="0"/>
              <w:jc w:val="center"/>
              <w:rPr>
                <w:sz w:val="24"/>
              </w:rPr>
            </w:pPr>
            <w:r>
              <w:rPr>
                <w:sz w:val="24"/>
              </w:rPr>
              <w:t>Запретить мойку транспортных средств в границах ВОЗ.</w:t>
            </w:r>
          </w:p>
          <w:p>
            <w:pPr>
              <w:pStyle w:val="Normal"/>
              <w:widowControl w:val="false"/>
              <w:ind w:hanging="0"/>
              <w:jc w:val="center"/>
              <w:rPr>
                <w:sz w:val="24"/>
              </w:rPr>
            </w:pPr>
            <w:r>
              <w:rPr>
                <w:sz w:val="24"/>
              </w:rPr>
              <w:t>Не допускать размещения отходов производства и потребления в границах водоохранных зон.</w:t>
            </w:r>
          </w:p>
          <w:p>
            <w:pPr>
              <w:pStyle w:val="Normal"/>
              <w:widowControl w:val="false"/>
              <w:ind w:hanging="0"/>
              <w:jc w:val="center"/>
              <w:rPr>
                <w:sz w:val="24"/>
              </w:rPr>
            </w:pPr>
            <w:r>
              <w:rPr>
                <w:sz w:val="24"/>
              </w:rPr>
              <w:t>Проводить регулярную очистку водоохранных зон рек силами органов местного самоуправления, местных жителей и хозяйствующих субъектов от отходов потребления.</w:t>
            </w:r>
          </w:p>
          <w:p>
            <w:pPr>
              <w:pStyle w:val="Normal"/>
              <w:widowControl w:val="false"/>
              <w:ind w:hanging="0"/>
              <w:jc w:val="center"/>
              <w:rPr>
                <w:sz w:val="24"/>
              </w:rPr>
            </w:pPr>
            <w:r>
              <w:rPr>
                <w:sz w:val="24"/>
              </w:rPr>
              <w:t>Установить информационные таблички по границам водоохранных зон с указанием режима зон.</w:t>
            </w:r>
          </w:p>
        </w:tc>
        <w:tc>
          <w:tcPr>
            <w:tcW w:w="19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w:t>
            </w:r>
          </w:p>
        </w:tc>
        <w:tc>
          <w:tcPr>
            <w:tcW w:w="1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r>
          </w:p>
        </w:tc>
        <w:tc>
          <w:tcPr>
            <w:tcW w:w="32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Водный кодекс РФ,</w:t>
            </w:r>
          </w:p>
          <w:p>
            <w:pPr>
              <w:pStyle w:val="Normal"/>
              <w:widowControl w:val="false"/>
              <w:spacing w:before="0" w:after="0"/>
              <w:ind w:hanging="0"/>
              <w:contextualSpacing/>
              <w:jc w:val="center"/>
              <w:rPr>
                <w:sz w:val="24"/>
              </w:rPr>
            </w:pPr>
            <w:r>
              <w:rPr>
                <w:sz w:val="24"/>
              </w:rPr>
              <w:t>СанПиН 2.1.3684-21</w:t>
            </w:r>
          </w:p>
        </w:tc>
      </w:tr>
      <w:tr>
        <w:trPr>
          <w:trHeight w:val="70" w:hRule="atLeast"/>
        </w:trPr>
        <w:tc>
          <w:tcPr>
            <w:tcW w:w="5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2</w:t>
            </w:r>
          </w:p>
        </w:tc>
        <w:tc>
          <w:tcPr>
            <w:tcW w:w="254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Береговые полосы и прибрежные территории водных объектов</w:t>
            </w:r>
          </w:p>
        </w:tc>
        <w:tc>
          <w:tcPr>
            <w:tcW w:w="50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Благоустройство береговых полос и прибрежных территорий водных объектов с созданием рекреационных зон</w:t>
            </w:r>
          </w:p>
        </w:tc>
        <w:tc>
          <w:tcPr>
            <w:tcW w:w="19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w:t>
            </w:r>
          </w:p>
        </w:tc>
        <w:tc>
          <w:tcPr>
            <w:tcW w:w="1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r>
          </w:p>
        </w:tc>
        <w:tc>
          <w:tcPr>
            <w:tcW w:w="32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Генеральный план Вахитовского с.п.</w:t>
            </w:r>
          </w:p>
          <w:p>
            <w:pPr>
              <w:pStyle w:val="Normal"/>
              <w:widowControl w:val="false"/>
              <w:ind w:hanging="0"/>
              <w:jc w:val="center"/>
              <w:rPr>
                <w:sz w:val="24"/>
              </w:rPr>
            </w:pPr>
            <w:r>
              <w:rPr>
                <w:sz w:val="24"/>
              </w:rPr>
              <w:t>Водный кодекс РФ</w:t>
            </w:r>
          </w:p>
        </w:tc>
      </w:tr>
      <w:tr>
        <w:trPr>
          <w:trHeight w:val="70" w:hRule="atLeast"/>
        </w:trPr>
        <w:tc>
          <w:tcPr>
            <w:tcW w:w="5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3</w:t>
            </w:r>
          </w:p>
        </w:tc>
        <w:tc>
          <w:tcPr>
            <w:tcW w:w="254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Объекты с/х производства, промышленные объекты, сети водоотведения</w:t>
            </w:r>
          </w:p>
        </w:tc>
        <w:tc>
          <w:tcPr>
            <w:tcW w:w="50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hanging="0"/>
              <w:contextualSpacing/>
              <w:jc w:val="center"/>
              <w:rPr>
                <w:sz w:val="24"/>
              </w:rPr>
            </w:pPr>
            <w:r>
              <w:rPr>
                <w:sz w:val="24"/>
              </w:rPr>
              <w:t>Установить очистные сооружения.</w:t>
            </w:r>
          </w:p>
          <w:p>
            <w:pPr>
              <w:pStyle w:val="Normal"/>
              <w:widowControl w:val="false"/>
              <w:spacing w:before="0" w:after="0"/>
              <w:ind w:hanging="0"/>
              <w:contextualSpacing/>
              <w:jc w:val="center"/>
              <w:rPr>
                <w:sz w:val="24"/>
              </w:rPr>
            </w:pPr>
            <w:r>
              <w:rPr>
                <w:sz w:val="24"/>
              </w:rPr>
              <w:t>В случае сброса сточных вод в водоем согласовать нормативы допустимых сбросов с Управлением Роспотребнадзора по РТ.</w:t>
            </w:r>
          </w:p>
          <w:p>
            <w:pPr>
              <w:pStyle w:val="Normal"/>
              <w:widowControl w:val="false"/>
              <w:spacing w:before="0" w:after="0"/>
              <w:ind w:hanging="0"/>
              <w:contextualSpacing/>
              <w:jc w:val="center"/>
              <w:rPr>
                <w:sz w:val="24"/>
              </w:rPr>
            </w:pPr>
            <w:r>
              <w:rPr>
                <w:sz w:val="24"/>
              </w:rPr>
              <w:t>Производственный контроль на расстоянии не далее 500 м от места сброса сточных вод в водный объект.</w:t>
            </w:r>
          </w:p>
        </w:tc>
        <w:tc>
          <w:tcPr>
            <w:tcW w:w="19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hanging="0"/>
              <w:contextualSpacing/>
              <w:jc w:val="center"/>
              <w:rPr>
                <w:sz w:val="24"/>
              </w:rPr>
            </w:pPr>
            <w:r>
              <w:rPr>
                <w:sz w:val="24"/>
              </w:rPr>
              <w:t>+</w:t>
            </w:r>
          </w:p>
        </w:tc>
        <w:tc>
          <w:tcPr>
            <w:tcW w:w="1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r>
          </w:p>
        </w:tc>
        <w:tc>
          <w:tcPr>
            <w:tcW w:w="32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Водный кодекс РФ</w:t>
            </w:r>
          </w:p>
        </w:tc>
      </w:tr>
      <w:tr>
        <w:trPr>
          <w:trHeight w:val="341" w:hRule="atLeast"/>
        </w:trPr>
        <w:tc>
          <w:tcPr>
            <w:tcW w:w="5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4</w:t>
            </w:r>
          </w:p>
        </w:tc>
        <w:tc>
          <w:tcPr>
            <w:tcW w:w="2546"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rPr>
            </w:pPr>
            <w:r>
              <w:rPr>
                <w:color w:val="auto"/>
              </w:rPr>
              <w:t>Дороги и стоянки в границах ВОЗ</w:t>
            </w:r>
          </w:p>
        </w:tc>
        <w:tc>
          <w:tcPr>
            <w:tcW w:w="5056"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rPr>
            </w:pPr>
            <w:r>
              <w:rPr>
                <w:color w:val="auto"/>
              </w:rPr>
              <w:t>Организовать твердое покрытие дорог</w:t>
            </w:r>
          </w:p>
        </w:tc>
        <w:tc>
          <w:tcPr>
            <w:tcW w:w="1913"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rPr>
            </w:pPr>
            <w:r>
              <w:rPr>
                <w:color w:val="auto"/>
              </w:rPr>
            </w:r>
          </w:p>
        </w:tc>
        <w:tc>
          <w:tcPr>
            <w:tcW w:w="1456"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rPr>
            </w:pPr>
            <w:r>
              <w:rPr>
                <w:color w:val="auto"/>
              </w:rPr>
              <w:t>+</w:t>
            </w:r>
          </w:p>
        </w:tc>
        <w:tc>
          <w:tcPr>
            <w:tcW w:w="328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Генеральный план Вахитовского с.п.</w:t>
            </w:r>
          </w:p>
        </w:tc>
      </w:tr>
      <w:tr>
        <w:trPr>
          <w:trHeight w:val="341" w:hRule="atLeast"/>
        </w:trPr>
        <w:tc>
          <w:tcPr>
            <w:tcW w:w="5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5</w:t>
            </w:r>
          </w:p>
        </w:tc>
        <w:tc>
          <w:tcPr>
            <w:tcW w:w="2546"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rPr>
            </w:pPr>
            <w:r>
              <w:rPr>
                <w:color w:val="auto"/>
              </w:rPr>
              <w:t>Полосы сельскохозяйственных угодий, попадающие в границы прибрежной защитной полосы</w:t>
            </w:r>
          </w:p>
        </w:tc>
        <w:tc>
          <w:tcPr>
            <w:tcW w:w="5056"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rPr>
            </w:pPr>
            <w:r>
              <w:rPr>
                <w:color w:val="auto"/>
              </w:rPr>
              <w:t>Не допускать распашку с/х угодий в границах прибрежной защитной полосы</w:t>
            </w:r>
          </w:p>
        </w:tc>
        <w:tc>
          <w:tcPr>
            <w:tcW w:w="1913"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rPr>
            </w:pPr>
            <w:r>
              <w:rPr>
                <w:color w:val="auto"/>
              </w:rPr>
              <w:t>+</w:t>
            </w:r>
          </w:p>
        </w:tc>
        <w:tc>
          <w:tcPr>
            <w:tcW w:w="1456"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rPr>
            </w:pPr>
            <w:r>
              <w:rPr>
                <w:color w:val="auto"/>
              </w:rPr>
            </w:r>
          </w:p>
        </w:tc>
        <w:tc>
          <w:tcPr>
            <w:tcW w:w="328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r>
          </w:p>
        </w:tc>
      </w:tr>
      <w:tr>
        <w:trPr>
          <w:trHeight w:val="341" w:hRule="atLeast"/>
        </w:trPr>
        <w:tc>
          <w:tcPr>
            <w:tcW w:w="5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6</w:t>
            </w:r>
          </w:p>
        </w:tc>
        <w:tc>
          <w:tcPr>
            <w:tcW w:w="2546"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rPr>
            </w:pPr>
            <w:r>
              <w:rPr>
                <w:color w:val="auto"/>
              </w:rPr>
              <w:t>Строительство федеральной дороги «М12 Казань-Москва»</w:t>
            </w:r>
          </w:p>
        </w:tc>
        <w:tc>
          <w:tcPr>
            <w:tcW w:w="5056"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rPr>
            </w:pPr>
            <w:r>
              <w:rPr>
                <w:color w:val="auto"/>
              </w:rPr>
              <w:t>Осуществить защиту поверхностных и грунтовых вод от загрязнения дорожной пылью, горюче-смазочными материалами, обеспыливающими, противогололедными и другими химическими веществами, используемыми во время строительства</w:t>
            </w:r>
          </w:p>
        </w:tc>
        <w:tc>
          <w:tcPr>
            <w:tcW w:w="1913"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rPr>
            </w:pPr>
            <w:r>
              <w:rPr>
                <w:color w:val="auto"/>
              </w:rPr>
              <w:t>+</w:t>
            </w:r>
          </w:p>
        </w:tc>
        <w:tc>
          <w:tcPr>
            <w:tcW w:w="1456"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rPr>
            </w:pPr>
            <w:r>
              <w:rPr>
                <w:color w:val="auto"/>
              </w:rPr>
            </w:r>
          </w:p>
        </w:tc>
        <w:tc>
          <w:tcPr>
            <w:tcW w:w="32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ГОСТ Р 59205-2021. Национальный стандарт Российской Федерации. Дороги автомобильные общего пользования. Охрана окружающей среды. Технические требования"</w:t>
            </w:r>
          </w:p>
          <w:p>
            <w:pPr>
              <w:pStyle w:val="Normal"/>
              <w:widowControl w:val="false"/>
              <w:ind w:hanging="0"/>
              <w:jc w:val="center"/>
              <w:rPr>
                <w:sz w:val="24"/>
              </w:rPr>
            </w:pPr>
            <w:r>
              <w:rPr>
                <w:sz w:val="24"/>
              </w:rPr>
              <w:t>(утв. и введен в действие Приказом Росстандарта от 23.06.2021 N 578-ст)</w:t>
            </w:r>
          </w:p>
        </w:tc>
      </w:tr>
      <w:tr>
        <w:trPr>
          <w:trHeight w:val="341" w:hRule="atLeast"/>
        </w:trPr>
        <w:tc>
          <w:tcPr>
            <w:tcW w:w="5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7</w:t>
            </w:r>
          </w:p>
        </w:tc>
        <w:tc>
          <w:tcPr>
            <w:tcW w:w="2546"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rPr>
            </w:pPr>
            <w:r>
              <w:rPr>
                <w:color w:val="auto"/>
              </w:rPr>
              <w:t>Кладбище</w:t>
            </w:r>
          </w:p>
        </w:tc>
        <w:tc>
          <w:tcPr>
            <w:tcW w:w="5056"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rPr>
            </w:pPr>
            <w:r>
              <w:rPr>
                <w:color w:val="auto"/>
              </w:rPr>
              <w:t>Закрытие кладбища в границах водоохранной зоны</w:t>
            </w:r>
          </w:p>
        </w:tc>
        <w:tc>
          <w:tcPr>
            <w:tcW w:w="1913"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rPr>
            </w:pPr>
            <w:r>
              <w:rPr>
                <w:color w:val="auto"/>
              </w:rPr>
              <w:t>+</w:t>
            </w:r>
          </w:p>
        </w:tc>
        <w:tc>
          <w:tcPr>
            <w:tcW w:w="1456"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rPr>
            </w:pPr>
            <w:r>
              <w:rPr>
                <w:color w:val="auto"/>
              </w:rPr>
            </w:r>
          </w:p>
        </w:tc>
        <w:tc>
          <w:tcPr>
            <w:tcW w:w="32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Генеральный план Вахитовского с.п.</w:t>
            </w:r>
          </w:p>
        </w:tc>
      </w:tr>
    </w:tbl>
    <w:p>
      <w:pPr>
        <w:pStyle w:val="Style79"/>
        <w:rPr>
          <w:color w:val="FF0000"/>
          <w:lang w:val="ru-RU"/>
        </w:rPr>
      </w:pPr>
      <w:r>
        <w:rPr>
          <w:color w:val="FF0000"/>
          <w:lang w:val="ru-RU"/>
        </w:rPr>
      </w:r>
    </w:p>
    <w:p>
      <w:pPr>
        <w:pStyle w:val="Style79"/>
        <w:rPr>
          <w:color w:val="FF0000"/>
        </w:rPr>
      </w:pPr>
      <w:r>
        <w:rPr>
          <w:color w:val="FF0000"/>
        </w:rPr>
      </w:r>
    </w:p>
    <w:p>
      <w:pPr>
        <w:pStyle w:val="Style79"/>
        <w:rPr>
          <w:color w:val="000000"/>
        </w:rPr>
      </w:pPr>
      <w:r>
        <w:rPr>
          <w:color w:val="000000"/>
        </w:rPr>
        <w:t>Таблица 3.11.3</w:t>
      </w:r>
    </w:p>
    <w:p>
      <w:pPr>
        <w:pStyle w:val="Normal"/>
        <w:jc w:val="center"/>
        <w:rPr>
          <w:color w:val="000000"/>
          <w:szCs w:val="28"/>
        </w:rPr>
      </w:pPr>
      <w:r>
        <w:rPr>
          <w:color w:val="000000"/>
          <w:szCs w:val="28"/>
        </w:rPr>
        <w:t>Перечень мероприятий по охране источников питьевого водоснабжения</w:t>
      </w:r>
    </w:p>
    <w:tbl>
      <w:tblPr>
        <w:tblW w:w="5000" w:type="pct"/>
        <w:jc w:val="center"/>
        <w:tblInd w:w="0" w:type="dxa"/>
        <w:tblLayout w:type="fixed"/>
        <w:tblCellMar>
          <w:top w:w="0" w:type="dxa"/>
          <w:left w:w="108" w:type="dxa"/>
          <w:bottom w:w="0" w:type="dxa"/>
          <w:right w:w="108" w:type="dxa"/>
        </w:tblCellMar>
        <w:tblLook w:noVBand="0" w:val="0000" w:noHBand="0" w:lastColumn="0" w:firstColumn="0" w:lastRow="0" w:firstRow="0"/>
      </w:tblPr>
      <w:tblGrid>
        <w:gridCol w:w="589"/>
        <w:gridCol w:w="3039"/>
        <w:gridCol w:w="5699"/>
        <w:gridCol w:w="1277"/>
        <w:gridCol w:w="1456"/>
        <w:gridCol w:w="2792"/>
      </w:tblGrid>
      <w:tr>
        <w:trPr>
          <w:tblHeader w:val="true"/>
          <w:trHeight w:val="20" w:hRule="atLeast"/>
          <w:cantSplit w:val="true"/>
        </w:trPr>
        <w:tc>
          <w:tcPr>
            <w:tcW w:w="58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 xml:space="preserve">№ </w:t>
            </w:r>
            <w:r>
              <w:rPr>
                <w:sz w:val="24"/>
              </w:rPr>
              <w:t>п/п</w:t>
            </w:r>
          </w:p>
        </w:tc>
        <w:tc>
          <w:tcPr>
            <w:tcW w:w="303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Наименование объекта</w:t>
            </w:r>
          </w:p>
        </w:tc>
        <w:tc>
          <w:tcPr>
            <w:tcW w:w="569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Вид мероприятия</w:t>
            </w:r>
          </w:p>
        </w:tc>
        <w:tc>
          <w:tcPr>
            <w:tcW w:w="273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Сроки реализации</w:t>
            </w:r>
          </w:p>
        </w:tc>
        <w:tc>
          <w:tcPr>
            <w:tcW w:w="279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Источник мероприятия (наименование документа)</w:t>
            </w:r>
          </w:p>
        </w:tc>
      </w:tr>
      <w:tr>
        <w:trPr>
          <w:tblHeader w:val="true"/>
          <w:trHeight w:val="70" w:hRule="atLeast"/>
          <w:cantSplit w:val="true"/>
        </w:trPr>
        <w:tc>
          <w:tcPr>
            <w:tcW w:w="58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r>
          </w:p>
        </w:tc>
        <w:tc>
          <w:tcPr>
            <w:tcW w:w="303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r>
          </w:p>
        </w:tc>
        <w:tc>
          <w:tcPr>
            <w:tcW w:w="569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Первая очередь</w:t>
            </w:r>
          </w:p>
        </w:tc>
        <w:tc>
          <w:tcPr>
            <w:tcW w:w="1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Расчетный период</w:t>
            </w:r>
          </w:p>
        </w:tc>
        <w:tc>
          <w:tcPr>
            <w:tcW w:w="27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r>
          </w:p>
        </w:tc>
      </w:tr>
      <w:tr>
        <w:trPr>
          <w:trHeight w:val="1317" w:hRule="atLeast"/>
          <w:cantSplit w:val="true"/>
        </w:trPr>
        <w:tc>
          <w:tcPr>
            <w:tcW w:w="5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1</w:t>
            </w:r>
          </w:p>
        </w:tc>
        <w:tc>
          <w:tcPr>
            <w:tcW w:w="3039" w:type="dxa"/>
            <w:vMerge w:val="restart"/>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spacing w:before="0" w:after="0"/>
              <w:ind w:left="0" w:hanging="0"/>
              <w:jc w:val="center"/>
              <w:rPr>
                <w:sz w:val="24"/>
              </w:rPr>
            </w:pPr>
            <w:r>
              <w:rPr>
                <w:sz w:val="24"/>
              </w:rPr>
              <w:t>Артезианская скважина с. Ташевка (КН 16:15:000000:2438)</w:t>
            </w:r>
          </w:p>
          <w:p>
            <w:pPr>
              <w:pStyle w:val="Style38"/>
              <w:widowControl w:val="false"/>
              <w:suppressAutoHyphens w:val="true"/>
              <w:spacing w:before="0" w:after="0"/>
              <w:ind w:left="0" w:hanging="0"/>
              <w:jc w:val="center"/>
              <w:rPr>
                <w:sz w:val="24"/>
              </w:rPr>
            </w:pPr>
            <w:r>
              <w:rPr>
                <w:sz w:val="24"/>
              </w:rPr>
              <w:t>Артезианская скважина с. Бакча-Сарай (КН 16:15:030202:175)</w:t>
            </w:r>
          </w:p>
          <w:p>
            <w:pPr>
              <w:pStyle w:val="Style38"/>
              <w:widowControl w:val="false"/>
              <w:suppressAutoHyphens w:val="true"/>
              <w:spacing w:before="0" w:after="0"/>
              <w:ind w:left="0" w:hanging="0"/>
              <w:jc w:val="center"/>
              <w:rPr>
                <w:sz w:val="24"/>
              </w:rPr>
            </w:pPr>
            <w:r>
              <w:rPr>
                <w:sz w:val="24"/>
              </w:rPr>
              <w:t>Артезианская скважина с. Ватан (КН 16:15:030301:103)</w:t>
            </w:r>
          </w:p>
          <w:p>
            <w:pPr>
              <w:pStyle w:val="Style38"/>
              <w:widowControl w:val="false"/>
              <w:suppressAutoHyphens w:val="true"/>
              <w:spacing w:before="0" w:after="0"/>
              <w:ind w:left="0" w:hanging="0"/>
              <w:jc w:val="center"/>
              <w:rPr>
                <w:sz w:val="24"/>
              </w:rPr>
            </w:pPr>
            <w:r>
              <w:rPr>
                <w:sz w:val="24"/>
              </w:rPr>
              <w:t>Артезианская скважина д. им. Мулланура Вахитова (КН 16:15:030101:109)</w:t>
            </w:r>
          </w:p>
        </w:tc>
        <w:tc>
          <w:tcPr>
            <w:tcW w:w="569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Внести в ЕГРН границы зон санитарной охраны в составе 3х поясов.</w:t>
            </w:r>
          </w:p>
          <w:p>
            <w:pPr>
              <w:pStyle w:val="Normal"/>
              <w:widowControl w:val="false"/>
              <w:ind w:hanging="0"/>
              <w:jc w:val="center"/>
              <w:rPr>
                <w:sz w:val="24"/>
              </w:rPr>
            </w:pPr>
            <w:r>
              <w:rPr>
                <w:sz w:val="24"/>
              </w:rPr>
              <w:t xml:space="preserve">Проверить герметичность выгребных ям в жилой застройке, попадающей в границы </w:t>
            </w:r>
            <w:r>
              <w:rPr>
                <w:sz w:val="24"/>
                <w:lang w:val="en-US"/>
              </w:rPr>
              <w:t>II</w:t>
            </w:r>
            <w:r>
              <w:rPr>
                <w:sz w:val="24"/>
              </w:rPr>
              <w:t xml:space="preserve">, </w:t>
            </w:r>
            <w:r>
              <w:rPr>
                <w:sz w:val="24"/>
                <w:lang w:val="en-US"/>
              </w:rPr>
              <w:t>III</w:t>
            </w:r>
            <w:r>
              <w:rPr>
                <w:sz w:val="24"/>
              </w:rPr>
              <w:t xml:space="preserve"> поясов ЗСО.</w:t>
            </w:r>
          </w:p>
          <w:p>
            <w:pPr>
              <w:pStyle w:val="Normal"/>
              <w:widowControl w:val="false"/>
              <w:ind w:hanging="0"/>
              <w:jc w:val="center"/>
              <w:rPr>
                <w:sz w:val="24"/>
              </w:rPr>
            </w:pPr>
            <w:r>
              <w:rPr>
                <w:sz w:val="24"/>
              </w:rPr>
              <w:t>Не допускать сброс на рельеф сточных вод</w:t>
            </w:r>
          </w:p>
          <w:p>
            <w:pPr>
              <w:pStyle w:val="Normal"/>
              <w:widowControl w:val="false"/>
              <w:ind w:hanging="0"/>
              <w:jc w:val="center"/>
              <w:rPr>
                <w:sz w:val="24"/>
              </w:rPr>
            </w:pPr>
            <w:r>
              <w:rPr>
                <w:sz w:val="24"/>
              </w:rPr>
              <w:t>Построить сплошное ограждение первого пояса, обеспечить сторожевой сигнализацией и охранным освещением, спланировать территорию для отвода поверхностных вод от устья скважины.</w:t>
            </w:r>
          </w:p>
          <w:p>
            <w:pPr>
              <w:pStyle w:val="Normal"/>
              <w:widowControl w:val="false"/>
              <w:ind w:hanging="0"/>
              <w:jc w:val="center"/>
              <w:rPr>
                <w:sz w:val="24"/>
              </w:rPr>
            </w:pPr>
            <w:r>
              <w:rPr>
                <w:sz w:val="24"/>
              </w:rPr>
              <w:t xml:space="preserve">При планировании в границах </w:t>
            </w:r>
            <w:r>
              <w:rPr>
                <w:sz w:val="24"/>
                <w:lang w:val="en-US"/>
              </w:rPr>
              <w:t>II</w:t>
            </w:r>
            <w:r>
              <w:rPr>
                <w:sz w:val="24"/>
              </w:rPr>
              <w:t xml:space="preserve">, </w:t>
            </w:r>
            <w:r>
              <w:rPr>
                <w:sz w:val="24"/>
                <w:lang w:val="en-US"/>
              </w:rPr>
              <w:t>III</w:t>
            </w:r>
            <w:r>
              <w:rPr>
                <w:sz w:val="24"/>
              </w:rPr>
              <w:t xml:space="preserve"> поясов строительства, связанного с нарушением почвенного покрова, получить обязательное согласование с Управлением Роспотребнадзора по РТ</w:t>
            </w:r>
          </w:p>
          <w:p>
            <w:pPr>
              <w:pStyle w:val="Normal"/>
              <w:widowControl w:val="false"/>
              <w:ind w:hanging="0"/>
              <w:jc w:val="center"/>
              <w:rPr>
                <w:sz w:val="24"/>
              </w:rPr>
            </w:pPr>
            <w:r>
              <w:rPr>
                <w:sz w:val="24"/>
              </w:rPr>
              <w:t>Обеспечить производственный контроль качества питьевой воды.</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w:t>
            </w:r>
          </w:p>
        </w:tc>
        <w:tc>
          <w:tcPr>
            <w:tcW w:w="1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r>
          </w:p>
        </w:tc>
        <w:tc>
          <w:tcPr>
            <w:tcW w:w="279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Генеральный план Вахитовского с.п.</w:t>
            </w:r>
          </w:p>
          <w:p>
            <w:pPr>
              <w:pStyle w:val="Normal"/>
              <w:widowControl w:val="false"/>
              <w:ind w:hanging="0"/>
              <w:jc w:val="center"/>
              <w:rPr>
                <w:sz w:val="24"/>
              </w:rPr>
            </w:pPr>
            <w:r>
              <w:rPr>
                <w:sz w:val="24"/>
              </w:rPr>
            </w:r>
          </w:p>
          <w:p>
            <w:pPr>
              <w:pStyle w:val="Normal"/>
              <w:widowControl w:val="false"/>
              <w:ind w:hanging="0"/>
              <w:jc w:val="center"/>
              <w:rPr>
                <w:bCs/>
                <w:sz w:val="24"/>
              </w:rPr>
            </w:pPr>
            <w:r>
              <w:rPr>
                <w:bCs/>
                <w:sz w:val="24"/>
              </w:rPr>
              <w:t>СанПиН 2.1.4.1110-02</w:t>
            </w:r>
          </w:p>
          <w:p>
            <w:pPr>
              <w:pStyle w:val="Normal"/>
              <w:widowControl w:val="false"/>
              <w:ind w:hanging="0"/>
              <w:jc w:val="center"/>
              <w:rPr>
                <w:sz w:val="24"/>
              </w:rPr>
            </w:pPr>
            <w:r>
              <w:rPr>
                <w:sz w:val="24"/>
              </w:rPr>
              <w:t>проекты зон санитарной охраны источников водоснабжения</w:t>
            </w:r>
          </w:p>
        </w:tc>
      </w:tr>
      <w:tr>
        <w:trPr>
          <w:trHeight w:val="993" w:hRule="atLeast"/>
          <w:cantSplit w:val="true"/>
        </w:trPr>
        <w:tc>
          <w:tcPr>
            <w:tcW w:w="5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2</w:t>
            </w:r>
          </w:p>
        </w:tc>
        <w:tc>
          <w:tcPr>
            <w:tcW w:w="3039" w:type="dxa"/>
            <w:vMerge w:val="continue"/>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spacing w:before="0" w:after="0"/>
              <w:ind w:left="0" w:hanging="0"/>
              <w:jc w:val="center"/>
              <w:rPr>
                <w:sz w:val="24"/>
              </w:rPr>
            </w:pPr>
            <w:r>
              <w:rPr>
                <w:sz w:val="24"/>
              </w:rPr>
            </w:r>
          </w:p>
        </w:tc>
        <w:tc>
          <w:tcPr>
            <w:tcW w:w="569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w:t>
            </w:r>
          </w:p>
        </w:tc>
        <w:tc>
          <w:tcPr>
            <w:tcW w:w="1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r>
          </w:p>
        </w:tc>
        <w:tc>
          <w:tcPr>
            <w:tcW w:w="279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hanging="0"/>
              <w:jc w:val="center"/>
              <w:rPr>
                <w:sz w:val="24"/>
              </w:rPr>
            </w:pPr>
            <w:r>
              <w:rPr>
                <w:sz w:val="24"/>
              </w:rPr>
            </w:r>
          </w:p>
        </w:tc>
      </w:tr>
      <w:tr>
        <w:trPr>
          <w:trHeight w:val="1121" w:hRule="atLeast"/>
          <w:cantSplit w:val="true"/>
        </w:trPr>
        <w:tc>
          <w:tcPr>
            <w:tcW w:w="589"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spacing w:before="0" w:after="0"/>
              <w:ind w:left="0" w:hanging="0"/>
              <w:jc w:val="center"/>
              <w:rPr>
                <w:sz w:val="24"/>
              </w:rPr>
            </w:pPr>
            <w:r>
              <w:rPr>
                <w:sz w:val="24"/>
              </w:rPr>
              <w:t>3</w:t>
            </w:r>
          </w:p>
        </w:tc>
        <w:tc>
          <w:tcPr>
            <w:tcW w:w="3039" w:type="dxa"/>
            <w:vMerge w:val="continue"/>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spacing w:before="0" w:after="0"/>
              <w:ind w:left="0" w:hanging="0"/>
              <w:jc w:val="center"/>
              <w:rPr>
                <w:sz w:val="24"/>
              </w:rPr>
            </w:pPr>
            <w:r>
              <w:rPr>
                <w:sz w:val="24"/>
              </w:rPr>
            </w:r>
          </w:p>
        </w:tc>
        <w:tc>
          <w:tcPr>
            <w:tcW w:w="569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w:t>
            </w:r>
          </w:p>
        </w:tc>
        <w:tc>
          <w:tcPr>
            <w:tcW w:w="1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r>
          </w:p>
        </w:tc>
        <w:tc>
          <w:tcPr>
            <w:tcW w:w="279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hanging="0"/>
              <w:jc w:val="center"/>
              <w:rPr>
                <w:sz w:val="24"/>
              </w:rPr>
            </w:pPr>
            <w:r>
              <w:rPr>
                <w:sz w:val="24"/>
              </w:rPr>
            </w:r>
          </w:p>
        </w:tc>
      </w:tr>
      <w:tr>
        <w:trPr>
          <w:trHeight w:val="646" w:hRule="atLeast"/>
          <w:cantSplit w:val="true"/>
        </w:trPr>
        <w:tc>
          <w:tcPr>
            <w:tcW w:w="589"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spacing w:before="0" w:after="0"/>
              <w:ind w:left="0" w:hanging="0"/>
              <w:jc w:val="center"/>
              <w:rPr>
                <w:sz w:val="24"/>
              </w:rPr>
            </w:pPr>
            <w:r>
              <w:rPr>
                <w:sz w:val="24"/>
              </w:rPr>
              <w:t>4</w:t>
            </w:r>
          </w:p>
        </w:tc>
        <w:tc>
          <w:tcPr>
            <w:tcW w:w="3039" w:type="dxa"/>
            <w:vMerge w:val="continue"/>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spacing w:before="0" w:after="0"/>
              <w:ind w:left="0" w:hanging="0"/>
              <w:jc w:val="center"/>
              <w:rPr>
                <w:sz w:val="24"/>
              </w:rPr>
            </w:pPr>
            <w:r>
              <w:rPr>
                <w:sz w:val="24"/>
              </w:rPr>
            </w:r>
          </w:p>
        </w:tc>
        <w:tc>
          <w:tcPr>
            <w:tcW w:w="569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w:t>
            </w:r>
          </w:p>
        </w:tc>
        <w:tc>
          <w:tcPr>
            <w:tcW w:w="1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r>
          </w:p>
        </w:tc>
        <w:tc>
          <w:tcPr>
            <w:tcW w:w="279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hanging="0"/>
              <w:jc w:val="center"/>
              <w:rPr>
                <w:sz w:val="24"/>
              </w:rPr>
            </w:pPr>
            <w:r>
              <w:rPr>
                <w:sz w:val="24"/>
              </w:rPr>
            </w:r>
          </w:p>
        </w:tc>
      </w:tr>
      <w:tr>
        <w:trPr>
          <w:trHeight w:val="1205" w:hRule="atLeast"/>
          <w:cantSplit w:val="true"/>
        </w:trPr>
        <w:tc>
          <w:tcPr>
            <w:tcW w:w="589"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spacing w:before="0" w:after="0"/>
              <w:ind w:left="0" w:hanging="0"/>
              <w:jc w:val="center"/>
              <w:rPr>
                <w:sz w:val="24"/>
              </w:rPr>
            </w:pPr>
            <w:r>
              <w:rPr>
                <w:sz w:val="24"/>
              </w:rPr>
              <w:t>5</w:t>
            </w:r>
          </w:p>
        </w:tc>
        <w:tc>
          <w:tcPr>
            <w:tcW w:w="303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Родник д. им. Мулланура Вахитова</w:t>
            </w:r>
          </w:p>
          <w:p>
            <w:pPr>
              <w:pStyle w:val="Normal"/>
              <w:widowControl w:val="false"/>
              <w:ind w:hanging="0"/>
              <w:jc w:val="center"/>
              <w:rPr>
                <w:sz w:val="24"/>
              </w:rPr>
            </w:pPr>
            <w:r>
              <w:rPr>
                <w:sz w:val="24"/>
              </w:rPr>
              <w:t>Родник с. Ватан</w:t>
            </w:r>
          </w:p>
          <w:p>
            <w:pPr>
              <w:pStyle w:val="Normal"/>
              <w:widowControl w:val="false"/>
              <w:ind w:hanging="0"/>
              <w:jc w:val="center"/>
              <w:rPr>
                <w:sz w:val="24"/>
              </w:rPr>
            </w:pPr>
            <w:r>
              <w:rPr>
                <w:sz w:val="24"/>
              </w:rPr>
              <w:t>Родник д. Гребени</w:t>
            </w:r>
          </w:p>
        </w:tc>
        <w:tc>
          <w:tcPr>
            <w:tcW w:w="569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w:t>
            </w:r>
          </w:p>
        </w:tc>
        <w:tc>
          <w:tcPr>
            <w:tcW w:w="1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r>
          </w:p>
        </w:tc>
        <w:tc>
          <w:tcPr>
            <w:tcW w:w="27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r>
          </w:p>
        </w:tc>
      </w:tr>
      <w:tr>
        <w:trPr>
          <w:trHeight w:val="1205" w:hRule="atLeast"/>
          <w:cantSplit w:val="true"/>
        </w:trPr>
        <w:tc>
          <w:tcPr>
            <w:tcW w:w="589"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spacing w:before="0" w:after="0"/>
              <w:ind w:left="0" w:hanging="0"/>
              <w:jc w:val="center"/>
              <w:rPr>
                <w:sz w:val="24"/>
              </w:rPr>
            </w:pPr>
            <w:r>
              <w:rPr>
                <w:sz w:val="24"/>
              </w:rPr>
              <w:t>6</w:t>
            </w:r>
          </w:p>
        </w:tc>
        <w:tc>
          <w:tcPr>
            <w:tcW w:w="3039"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spacing w:before="0" w:after="0"/>
              <w:ind w:left="0" w:hanging="0"/>
              <w:jc w:val="center"/>
              <w:rPr>
                <w:sz w:val="24"/>
              </w:rPr>
            </w:pPr>
            <w:r>
              <w:rPr>
                <w:sz w:val="24"/>
              </w:rPr>
              <w:t>Планируемая жилая застройка</w:t>
            </w:r>
          </w:p>
        </w:tc>
        <w:tc>
          <w:tcPr>
            <w:tcW w:w="56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hanging="0"/>
              <w:contextualSpacing/>
              <w:jc w:val="center"/>
              <w:rPr>
                <w:sz w:val="24"/>
              </w:rPr>
            </w:pPr>
            <w:r>
              <w:rPr>
                <w:sz w:val="24"/>
              </w:rPr>
              <w:t>Оформить лицензию. На право пользования недрами с целью добычи подземных вод.</w:t>
            </w:r>
          </w:p>
          <w:p>
            <w:pPr>
              <w:pStyle w:val="Normal"/>
              <w:widowControl w:val="false"/>
              <w:spacing w:before="0" w:after="0"/>
              <w:ind w:hanging="0"/>
              <w:contextualSpacing/>
              <w:jc w:val="center"/>
              <w:rPr>
                <w:sz w:val="24"/>
              </w:rPr>
            </w:pPr>
            <w:r>
              <w:rPr>
                <w:sz w:val="24"/>
              </w:rPr>
              <w:t>Разработать проекты зон санитарной охраны источников водоснабжения.</w:t>
            </w:r>
          </w:p>
          <w:p>
            <w:pPr>
              <w:pStyle w:val="Normal"/>
              <w:widowControl w:val="false"/>
              <w:spacing w:before="0" w:after="0"/>
              <w:ind w:hanging="0"/>
              <w:contextualSpacing/>
              <w:jc w:val="center"/>
              <w:rPr>
                <w:sz w:val="24"/>
              </w:rPr>
            </w:pPr>
            <w:r>
              <w:rPr>
                <w:sz w:val="24"/>
              </w:rPr>
              <w:t>Согласовать проекты зон санитарной охраны скважины с Управлением Роспотребнадзора по РТ.</w:t>
            </w:r>
          </w:p>
          <w:p>
            <w:pPr>
              <w:pStyle w:val="Normal"/>
              <w:widowControl w:val="false"/>
              <w:spacing w:before="0" w:after="0"/>
              <w:ind w:hanging="0"/>
              <w:contextualSpacing/>
              <w:jc w:val="center"/>
              <w:rPr>
                <w:sz w:val="24"/>
              </w:rPr>
            </w:pPr>
            <w:r>
              <w:rPr>
                <w:sz w:val="24"/>
              </w:rPr>
              <w:t>Установить зоны санитарной охраны в составе 3х поясов.</w:t>
            </w:r>
          </w:p>
          <w:p>
            <w:pPr>
              <w:pStyle w:val="Normal"/>
              <w:widowControl w:val="false"/>
              <w:spacing w:before="0" w:after="0"/>
              <w:ind w:hanging="0"/>
              <w:contextualSpacing/>
              <w:jc w:val="center"/>
              <w:rPr>
                <w:sz w:val="24"/>
              </w:rPr>
            </w:pPr>
            <w:r>
              <w:rPr>
                <w:sz w:val="24"/>
              </w:rPr>
              <w:t>Построить сплошное ограждение первого пояса. Соблюдать режим ЗСО.</w:t>
            </w:r>
          </w:p>
          <w:p>
            <w:pPr>
              <w:pStyle w:val="Normal"/>
              <w:widowControl w:val="false"/>
              <w:spacing w:before="0" w:after="0"/>
              <w:ind w:hanging="0"/>
              <w:contextualSpacing/>
              <w:jc w:val="center"/>
              <w:rPr>
                <w:sz w:val="24"/>
              </w:rPr>
            </w:pPr>
            <w:r>
              <w:rPr>
                <w:sz w:val="24"/>
              </w:rPr>
              <w:t>Спланировать территорию для отвода поверхностных вод от устья скважины.</w:t>
            </w:r>
          </w:p>
          <w:p>
            <w:pPr>
              <w:pStyle w:val="Normal"/>
              <w:widowControl w:val="false"/>
              <w:spacing w:before="0" w:after="0"/>
              <w:ind w:hanging="0"/>
              <w:contextualSpacing/>
              <w:jc w:val="center"/>
              <w:rPr>
                <w:sz w:val="24"/>
              </w:rPr>
            </w:pPr>
            <w:r>
              <w:rPr>
                <w:sz w:val="24"/>
              </w:rPr>
              <w:t>При планировании в границах II, III поясов строительства, связанного с нарушением почвенного покрова, получить обязательное согласование с Управлением Роспотребнадзора по РТ</w:t>
            </w:r>
          </w:p>
          <w:p>
            <w:pPr>
              <w:pStyle w:val="Normal"/>
              <w:widowControl w:val="false"/>
              <w:ind w:hanging="0"/>
              <w:jc w:val="center"/>
              <w:rPr>
                <w:sz w:val="24"/>
              </w:rPr>
            </w:pPr>
            <w:r>
              <w:rPr>
                <w:sz w:val="24"/>
              </w:rPr>
              <w:t>Обеспечить производственный контроль качества питьевой воды.</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w:t>
            </w:r>
          </w:p>
        </w:tc>
        <w:tc>
          <w:tcPr>
            <w:tcW w:w="1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r>
          </w:p>
        </w:tc>
        <w:tc>
          <w:tcPr>
            <w:tcW w:w="27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Генеральный план,</w:t>
            </w:r>
          </w:p>
          <w:p>
            <w:pPr>
              <w:pStyle w:val="Normal"/>
              <w:widowControl w:val="false"/>
              <w:ind w:hanging="0"/>
              <w:jc w:val="center"/>
              <w:rPr>
                <w:sz w:val="24"/>
              </w:rPr>
            </w:pPr>
            <w:r>
              <w:rPr>
                <w:bCs/>
                <w:sz w:val="24"/>
              </w:rPr>
              <w:t xml:space="preserve">СанПиН 2.1.4.1110-02 «Зоны санитарной охраны источников водоснабжения и водопроводов питьевого назначения», </w:t>
            </w:r>
            <w:r>
              <w:rPr>
                <w:sz w:val="24"/>
              </w:rPr>
              <w:t>проект ЗСО</w:t>
            </w:r>
          </w:p>
        </w:tc>
      </w:tr>
    </w:tbl>
    <w:p>
      <w:pPr>
        <w:pStyle w:val="Normal"/>
        <w:jc w:val="right"/>
        <w:rPr>
          <w:color w:val="FF0000"/>
          <w:szCs w:val="28"/>
        </w:rPr>
      </w:pPr>
      <w:r>
        <w:rPr>
          <w:color w:val="FF0000"/>
          <w:szCs w:val="28"/>
        </w:rPr>
      </w:r>
    </w:p>
    <w:p>
      <w:pPr>
        <w:pStyle w:val="Normal"/>
        <w:jc w:val="right"/>
        <w:rPr>
          <w:color w:val="000000"/>
          <w:szCs w:val="28"/>
        </w:rPr>
      </w:pPr>
      <w:r>
        <w:rPr>
          <w:color w:val="000000"/>
          <w:szCs w:val="28"/>
        </w:rPr>
        <w:t>Таблица 3.11.4</w:t>
      </w:r>
    </w:p>
    <w:p>
      <w:pPr>
        <w:pStyle w:val="Normal"/>
        <w:jc w:val="center"/>
        <w:rPr>
          <w:color w:val="000000"/>
          <w:szCs w:val="28"/>
        </w:rPr>
      </w:pPr>
      <w:r>
        <w:rPr>
          <w:color w:val="000000"/>
          <w:szCs w:val="28"/>
        </w:rPr>
        <w:t>Перечень мероприятий по охране земельных ресурсов</w:t>
      </w:r>
    </w:p>
    <w:tbl>
      <w:tblPr>
        <w:tblW w:w="5000" w:type="pct"/>
        <w:jc w:val="center"/>
        <w:tblInd w:w="0" w:type="dxa"/>
        <w:tblLayout w:type="fixed"/>
        <w:tblCellMar>
          <w:top w:w="0" w:type="dxa"/>
          <w:left w:w="108" w:type="dxa"/>
          <w:bottom w:w="0" w:type="dxa"/>
          <w:right w:w="108" w:type="dxa"/>
        </w:tblCellMar>
        <w:tblLook w:noVBand="0" w:val="0000" w:noHBand="0" w:lastColumn="0" w:firstColumn="0" w:lastRow="0" w:firstRow="0"/>
      </w:tblPr>
      <w:tblGrid>
        <w:gridCol w:w="588"/>
        <w:gridCol w:w="2938"/>
        <w:gridCol w:w="5525"/>
        <w:gridCol w:w="1096"/>
        <w:gridCol w:w="1455"/>
        <w:gridCol w:w="3250"/>
      </w:tblGrid>
      <w:tr>
        <w:trPr>
          <w:tblHeader w:val="true"/>
          <w:trHeight w:val="20" w:hRule="atLeast"/>
          <w:cantSplit w:val="true"/>
        </w:trPr>
        <w:tc>
          <w:tcPr>
            <w:tcW w:w="58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 xml:space="preserve">№ </w:t>
            </w:r>
            <w:r>
              <w:rPr>
                <w:sz w:val="24"/>
              </w:rPr>
              <w:t>п/п</w:t>
            </w:r>
          </w:p>
        </w:tc>
        <w:tc>
          <w:tcPr>
            <w:tcW w:w="293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Наименование объекта</w:t>
            </w:r>
          </w:p>
        </w:tc>
        <w:tc>
          <w:tcPr>
            <w:tcW w:w="552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Вид мероприятия</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Сроки реализации</w:t>
            </w:r>
          </w:p>
        </w:tc>
        <w:tc>
          <w:tcPr>
            <w:tcW w:w="325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Источник мероприятия (наименование документа)</w:t>
            </w:r>
          </w:p>
        </w:tc>
      </w:tr>
      <w:tr>
        <w:trPr>
          <w:tblHeader w:val="true"/>
          <w:trHeight w:val="70" w:hRule="atLeast"/>
          <w:cantSplit w:val="true"/>
        </w:trPr>
        <w:tc>
          <w:tcPr>
            <w:tcW w:w="5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r>
          </w:p>
        </w:tc>
        <w:tc>
          <w:tcPr>
            <w:tcW w:w="293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r>
          </w:p>
        </w:tc>
        <w:tc>
          <w:tcPr>
            <w:tcW w:w="55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r>
          </w:p>
        </w:tc>
        <w:tc>
          <w:tcPr>
            <w:tcW w:w="10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Первая очередь</w:t>
            </w:r>
          </w:p>
        </w:tc>
        <w:tc>
          <w:tcPr>
            <w:tcW w:w="1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Расчетный период</w:t>
            </w:r>
          </w:p>
        </w:tc>
        <w:tc>
          <w:tcPr>
            <w:tcW w:w="32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r>
          </w:p>
        </w:tc>
      </w:tr>
      <w:tr>
        <w:trPr>
          <w:trHeight w:val="20" w:hRule="atLeast"/>
        </w:trPr>
        <w:tc>
          <w:tcPr>
            <w:tcW w:w="5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1</w:t>
            </w:r>
          </w:p>
        </w:tc>
        <w:tc>
          <w:tcPr>
            <w:tcW w:w="2938"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spacing w:before="0" w:after="0"/>
              <w:ind w:left="0" w:hanging="0"/>
              <w:jc w:val="center"/>
              <w:rPr>
                <w:sz w:val="24"/>
              </w:rPr>
            </w:pPr>
            <w:r>
              <w:rPr>
                <w:sz w:val="24"/>
              </w:rPr>
              <w:t>Биотермическая яма</w:t>
            </w:r>
          </w:p>
          <w:p>
            <w:pPr>
              <w:pStyle w:val="Style38"/>
              <w:widowControl w:val="false"/>
              <w:suppressAutoHyphens w:val="true"/>
              <w:spacing w:before="0" w:after="0"/>
              <w:ind w:left="0" w:hanging="0"/>
              <w:jc w:val="center"/>
              <w:rPr>
                <w:sz w:val="24"/>
              </w:rPr>
            </w:pPr>
            <w:r>
              <w:rPr>
                <w:sz w:val="24"/>
              </w:rPr>
              <w:t>(вне границы территории)</w:t>
            </w:r>
          </w:p>
        </w:tc>
        <w:tc>
          <w:tcPr>
            <w:tcW w:w="55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Микробиологический мониторинг его СЗЗ. Установление СЗЗ.</w:t>
            </w:r>
          </w:p>
        </w:tc>
        <w:tc>
          <w:tcPr>
            <w:tcW w:w="10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w:t>
            </w:r>
          </w:p>
        </w:tc>
        <w:tc>
          <w:tcPr>
            <w:tcW w:w="1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r>
          </w:p>
        </w:tc>
        <w:tc>
          <w:tcPr>
            <w:tcW w:w="3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Правила установления санитарно-защитных зон, утв. Постановлением РФ от 03.03.2018 №222</w:t>
            </w:r>
          </w:p>
        </w:tc>
      </w:tr>
      <w:tr>
        <w:trPr>
          <w:trHeight w:val="20" w:hRule="atLeast"/>
        </w:trPr>
        <w:tc>
          <w:tcPr>
            <w:tcW w:w="5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2</w:t>
            </w:r>
          </w:p>
        </w:tc>
        <w:tc>
          <w:tcPr>
            <w:tcW w:w="2938"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spacing w:before="0" w:after="0"/>
              <w:ind w:left="0" w:hanging="0"/>
              <w:jc w:val="center"/>
              <w:rPr>
                <w:sz w:val="24"/>
              </w:rPr>
            </w:pPr>
            <w:r>
              <w:rPr>
                <w:sz w:val="24"/>
              </w:rPr>
              <w:t>ООО «Матюшинский карьер»</w:t>
            </w:r>
          </w:p>
        </w:tc>
        <w:tc>
          <w:tcPr>
            <w:tcW w:w="55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Организация своевременной рекультивации выработанных пространств карьеров</w:t>
            </w:r>
          </w:p>
          <w:p>
            <w:pPr>
              <w:pStyle w:val="Normal"/>
              <w:widowControl w:val="false"/>
              <w:ind w:hanging="0"/>
              <w:jc w:val="center"/>
              <w:rPr>
                <w:sz w:val="24"/>
              </w:rPr>
            </w:pPr>
            <w:r>
              <w:rPr>
                <w:sz w:val="24"/>
              </w:rPr>
              <w:t>нерудных полезных ископаемых</w:t>
            </w:r>
          </w:p>
        </w:tc>
        <w:tc>
          <w:tcPr>
            <w:tcW w:w="10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r>
          </w:p>
        </w:tc>
        <w:tc>
          <w:tcPr>
            <w:tcW w:w="1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w:t>
            </w:r>
          </w:p>
        </w:tc>
        <w:tc>
          <w:tcPr>
            <w:tcW w:w="3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ст. 22 Закон РФ от 21.02.1992 N 2395-1 "О недрах"</w:t>
            </w:r>
          </w:p>
        </w:tc>
      </w:tr>
      <w:tr>
        <w:trPr>
          <w:trHeight w:val="20" w:hRule="atLeast"/>
        </w:trPr>
        <w:tc>
          <w:tcPr>
            <w:tcW w:w="5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3</w:t>
            </w:r>
          </w:p>
        </w:tc>
        <w:tc>
          <w:tcPr>
            <w:tcW w:w="2938"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spacing w:before="0" w:after="0"/>
              <w:ind w:left="0" w:hanging="0"/>
              <w:jc w:val="center"/>
              <w:rPr>
                <w:sz w:val="24"/>
              </w:rPr>
            </w:pPr>
            <w:r>
              <w:rPr>
                <w:sz w:val="24"/>
              </w:rPr>
              <w:t>Строительство федеральной дороги «М12 Казань-Москва»</w:t>
            </w:r>
          </w:p>
        </w:tc>
        <w:tc>
          <w:tcPr>
            <w:tcW w:w="55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Обеспечить рекультивацию земель, временно используемых для размещения применяемых при строительстве оборудования, материалов, подъездных путей, территории карьеров и других зон деятельности</w:t>
            </w:r>
          </w:p>
        </w:tc>
        <w:tc>
          <w:tcPr>
            <w:tcW w:w="10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r>
          </w:p>
        </w:tc>
        <w:tc>
          <w:tcPr>
            <w:tcW w:w="1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w:t>
            </w:r>
          </w:p>
        </w:tc>
        <w:tc>
          <w:tcPr>
            <w:tcW w:w="3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ГОСТ Р 59205-2021. Национальный стандарт Российской Федерации. Дороги автомобильные общего пользования. Охрана окружающей среды. Технические требования" (утв. и введен в действие Приказом Росстандарта от 23.06.2021 N 578-ст)</w:t>
            </w:r>
          </w:p>
        </w:tc>
      </w:tr>
      <w:tr>
        <w:trPr>
          <w:trHeight w:val="20" w:hRule="atLeast"/>
        </w:trPr>
        <w:tc>
          <w:tcPr>
            <w:tcW w:w="5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4</w:t>
            </w:r>
          </w:p>
        </w:tc>
        <w:tc>
          <w:tcPr>
            <w:tcW w:w="2938"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spacing w:before="0" w:after="0"/>
              <w:ind w:left="0" w:hanging="0"/>
              <w:jc w:val="center"/>
              <w:rPr>
                <w:sz w:val="24"/>
              </w:rPr>
            </w:pPr>
            <w:r>
              <w:rPr>
                <w:sz w:val="24"/>
              </w:rPr>
              <w:t>Иные зоны населенных пунктов в границах санитарно-защитных зон скотомогильников и кладбищ</w:t>
            </w:r>
          </w:p>
        </w:tc>
        <w:tc>
          <w:tcPr>
            <w:tcW w:w="55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Озеленение специального назначения (естественная растительность)</w:t>
            </w:r>
          </w:p>
        </w:tc>
        <w:tc>
          <w:tcPr>
            <w:tcW w:w="10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w:t>
            </w:r>
          </w:p>
        </w:tc>
        <w:tc>
          <w:tcPr>
            <w:tcW w:w="1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r>
          </w:p>
        </w:tc>
        <w:tc>
          <w:tcPr>
            <w:tcW w:w="3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Генеральный план Вахитовского с.п.</w:t>
            </w:r>
          </w:p>
        </w:tc>
      </w:tr>
    </w:tbl>
    <w:p>
      <w:pPr>
        <w:pStyle w:val="Normal"/>
        <w:jc w:val="center"/>
        <w:rPr>
          <w:color w:val="FF0000"/>
          <w:szCs w:val="28"/>
        </w:rPr>
      </w:pPr>
      <w:r>
        <w:rPr>
          <w:color w:val="FF0000"/>
          <w:szCs w:val="28"/>
        </w:rPr>
      </w:r>
    </w:p>
    <w:p>
      <w:pPr>
        <w:pStyle w:val="Normal"/>
        <w:jc w:val="right"/>
        <w:rPr>
          <w:color w:val="000000"/>
          <w:szCs w:val="28"/>
        </w:rPr>
      </w:pPr>
      <w:r>
        <w:rPr>
          <w:color w:val="000000"/>
          <w:szCs w:val="28"/>
        </w:rPr>
        <w:t>Таблица 3.11.5</w:t>
      </w:r>
    </w:p>
    <w:p>
      <w:pPr>
        <w:pStyle w:val="Normal"/>
        <w:jc w:val="center"/>
        <w:rPr>
          <w:color w:val="000000"/>
          <w:szCs w:val="28"/>
        </w:rPr>
      </w:pPr>
      <w:r>
        <w:rPr>
          <w:color w:val="000000"/>
          <w:szCs w:val="28"/>
        </w:rPr>
        <w:t>Перечень мероприятий по оптимизации системы обращения с отходами производства и потребления</w:t>
      </w:r>
    </w:p>
    <w:p>
      <w:pPr>
        <w:pStyle w:val="Style79"/>
        <w:rPr>
          <w:color w:val="FF0000"/>
          <w:lang w:val="ru-RU"/>
        </w:rPr>
      </w:pPr>
      <w:r>
        <w:rPr>
          <w:color w:val="FF0000"/>
          <w:lang w:val="ru-RU"/>
        </w:rPr>
      </w:r>
    </w:p>
    <w:tbl>
      <w:tblPr>
        <w:tblW w:w="5000" w:type="pct"/>
        <w:jc w:val="center"/>
        <w:tblInd w:w="0" w:type="dxa"/>
        <w:tblLayout w:type="fixed"/>
        <w:tblCellMar>
          <w:top w:w="0" w:type="dxa"/>
          <w:left w:w="108" w:type="dxa"/>
          <w:bottom w:w="0" w:type="dxa"/>
          <w:right w:w="108" w:type="dxa"/>
        </w:tblCellMar>
        <w:tblLook w:noVBand="0" w:val="0000" w:noHBand="0" w:lastColumn="0" w:firstColumn="0" w:lastRow="0" w:firstRow="0"/>
      </w:tblPr>
      <w:tblGrid>
        <w:gridCol w:w="588"/>
        <w:gridCol w:w="2635"/>
        <w:gridCol w:w="5427"/>
        <w:gridCol w:w="1304"/>
        <w:gridCol w:w="1455"/>
        <w:gridCol w:w="3443"/>
      </w:tblGrid>
      <w:tr>
        <w:trPr>
          <w:tblHeader w:val="true"/>
          <w:trHeight w:val="20" w:hRule="atLeast"/>
        </w:trPr>
        <w:tc>
          <w:tcPr>
            <w:tcW w:w="58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t xml:space="preserve">№ </w:t>
            </w:r>
            <w:r>
              <w:rPr>
                <w:sz w:val="24"/>
              </w:rPr>
              <w:t>п/п</w:t>
            </w:r>
          </w:p>
        </w:tc>
        <w:tc>
          <w:tcPr>
            <w:tcW w:w="263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t>Наименование объекта</w:t>
            </w:r>
          </w:p>
        </w:tc>
        <w:tc>
          <w:tcPr>
            <w:tcW w:w="542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t>Вид мероприятия</w:t>
            </w:r>
          </w:p>
        </w:tc>
        <w:tc>
          <w:tcPr>
            <w:tcW w:w="275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t>Сроки реализации</w:t>
            </w:r>
          </w:p>
        </w:tc>
        <w:tc>
          <w:tcPr>
            <w:tcW w:w="344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t>Источник мероприятия (наименование документа)</w:t>
            </w:r>
          </w:p>
        </w:tc>
      </w:tr>
      <w:tr>
        <w:trPr>
          <w:tblHeader w:val="true"/>
          <w:trHeight w:val="70" w:hRule="atLeast"/>
        </w:trPr>
        <w:tc>
          <w:tcPr>
            <w:tcW w:w="5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r>
          </w:p>
        </w:tc>
        <w:tc>
          <w:tcPr>
            <w:tcW w:w="26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r>
          </w:p>
        </w:tc>
        <w:tc>
          <w:tcPr>
            <w:tcW w:w="542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r>
          </w:p>
        </w:tc>
        <w:tc>
          <w:tcPr>
            <w:tcW w:w="13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t>Первая очередь</w:t>
            </w:r>
          </w:p>
        </w:tc>
        <w:tc>
          <w:tcPr>
            <w:tcW w:w="1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t>Расчетный период</w:t>
            </w:r>
          </w:p>
        </w:tc>
        <w:tc>
          <w:tcPr>
            <w:tcW w:w="34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r>
          </w:p>
        </w:tc>
      </w:tr>
      <w:tr>
        <w:trPr>
          <w:trHeight w:val="70" w:hRule="atLeast"/>
        </w:trPr>
        <w:tc>
          <w:tcPr>
            <w:tcW w:w="5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t>1</w:t>
            </w:r>
          </w:p>
        </w:tc>
        <w:tc>
          <w:tcPr>
            <w:tcW w:w="26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4"/>
              <w:jc w:val="center"/>
              <w:rPr>
                <w:sz w:val="24"/>
              </w:rPr>
            </w:pPr>
            <w:r>
              <w:rPr>
                <w:sz w:val="24"/>
              </w:rPr>
              <w:t>Территория поселения</w:t>
            </w:r>
          </w:p>
        </w:tc>
        <w:tc>
          <w:tcPr>
            <w:tcW w:w="54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t>Проведение регулярной очистки от отходов в соответствии с экологическими, санитарными и иными требованиями</w:t>
            </w:r>
          </w:p>
          <w:p>
            <w:pPr>
              <w:pStyle w:val="Normal"/>
              <w:widowControl w:val="false"/>
              <w:ind w:firstLine="142"/>
              <w:jc w:val="center"/>
              <w:rPr>
                <w:sz w:val="24"/>
              </w:rPr>
            </w:pPr>
            <w:r>
              <w:rPr>
                <w:sz w:val="24"/>
              </w:rPr>
              <w:t>Установить контейнерные площадки для сбора ТКО, в т.ч. раздельного сбора ТКО</w:t>
            </w:r>
          </w:p>
          <w:p>
            <w:pPr>
              <w:pStyle w:val="Normal"/>
              <w:widowControl w:val="false"/>
              <w:ind w:firstLine="142"/>
              <w:jc w:val="center"/>
              <w:rPr>
                <w:sz w:val="24"/>
              </w:rPr>
            </w:pPr>
            <w:r>
              <w:rPr>
                <w:sz w:val="24"/>
              </w:rPr>
              <w:t>Организовать пункт приёма утильсырья (вторичных материальных ресурсов)</w:t>
            </w:r>
          </w:p>
        </w:tc>
        <w:tc>
          <w:tcPr>
            <w:tcW w:w="13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t>+</w:t>
            </w:r>
          </w:p>
        </w:tc>
        <w:tc>
          <w:tcPr>
            <w:tcW w:w="1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r>
          </w:p>
        </w:tc>
        <w:tc>
          <w:tcPr>
            <w:tcW w:w="34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t>Ст. 13 ФЗ от 24.06.1998 №89-ФЗ «Об отходах производства и потребления»</w:t>
            </w:r>
          </w:p>
        </w:tc>
      </w:tr>
      <w:tr>
        <w:trPr>
          <w:trHeight w:val="70" w:hRule="atLeast"/>
        </w:trPr>
        <w:tc>
          <w:tcPr>
            <w:tcW w:w="5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t>2</w:t>
            </w:r>
          </w:p>
        </w:tc>
        <w:tc>
          <w:tcPr>
            <w:tcW w:w="26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Площадка перспективного развития АПК до V класса опасности (з/у с КН 16:15:030701:402)</w:t>
            </w:r>
          </w:p>
          <w:p>
            <w:pPr>
              <w:pStyle w:val="Normal"/>
              <w:widowControl w:val="false"/>
              <w:ind w:hanging="0"/>
              <w:jc w:val="center"/>
              <w:rPr>
                <w:sz w:val="24"/>
              </w:rPr>
            </w:pPr>
            <w:r>
              <w:rPr>
                <w:sz w:val="24"/>
              </w:rPr>
              <w:t>Площадка перспективного развития АПК до V класса опасности (з/у с КН 16:15:030701:402)</w:t>
            </w:r>
          </w:p>
        </w:tc>
        <w:tc>
          <w:tcPr>
            <w:tcW w:w="54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t>Накопление отходов осуществлять на площадках, имеющих твердое покрытие и оборудованных ливневой канализацией.</w:t>
            </w:r>
          </w:p>
        </w:tc>
        <w:tc>
          <w:tcPr>
            <w:tcW w:w="13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t>+</w:t>
            </w:r>
          </w:p>
        </w:tc>
        <w:tc>
          <w:tcPr>
            <w:tcW w:w="1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r>
          </w:p>
        </w:tc>
        <w:tc>
          <w:tcPr>
            <w:tcW w:w="34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t>СанПиН 2.1.3684-21</w:t>
            </w:r>
          </w:p>
        </w:tc>
      </w:tr>
      <w:tr>
        <w:trPr>
          <w:trHeight w:val="70" w:hRule="atLeast"/>
        </w:trPr>
        <w:tc>
          <w:tcPr>
            <w:tcW w:w="5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t>3</w:t>
            </w:r>
          </w:p>
        </w:tc>
        <w:tc>
          <w:tcPr>
            <w:tcW w:w="26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t>Территории производственных объектов</w:t>
            </w:r>
          </w:p>
        </w:tc>
        <w:tc>
          <w:tcPr>
            <w:tcW w:w="54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t>Накопление отходов осуществлять на площадках, имеющих твердое покрытие и оборудованных ливневой канализацией.</w:t>
            </w:r>
          </w:p>
        </w:tc>
        <w:tc>
          <w:tcPr>
            <w:tcW w:w="13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t>+</w:t>
            </w:r>
          </w:p>
        </w:tc>
        <w:tc>
          <w:tcPr>
            <w:tcW w:w="1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r>
          </w:p>
        </w:tc>
        <w:tc>
          <w:tcPr>
            <w:tcW w:w="34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t>СанПиН 2.1.3684-21</w:t>
            </w:r>
          </w:p>
        </w:tc>
      </w:tr>
      <w:tr>
        <w:trPr>
          <w:trHeight w:val="70" w:hRule="atLeast"/>
        </w:trPr>
        <w:tc>
          <w:tcPr>
            <w:tcW w:w="5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t>4</w:t>
            </w:r>
          </w:p>
        </w:tc>
        <w:tc>
          <w:tcPr>
            <w:tcW w:w="26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t>Объекты с/х производства</w:t>
            </w:r>
          </w:p>
        </w:tc>
        <w:tc>
          <w:tcPr>
            <w:tcW w:w="54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t>Обустройство водонепроницаемых площадок с твердым покрытием для накопления твердой фракции навоза (помета).</w:t>
            </w:r>
          </w:p>
        </w:tc>
        <w:tc>
          <w:tcPr>
            <w:tcW w:w="13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t>+</w:t>
            </w:r>
          </w:p>
        </w:tc>
        <w:tc>
          <w:tcPr>
            <w:tcW w:w="1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r>
          </w:p>
        </w:tc>
        <w:tc>
          <w:tcPr>
            <w:tcW w:w="34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t>СанПиН 2.1.3684-21</w:t>
            </w:r>
          </w:p>
        </w:tc>
      </w:tr>
      <w:tr>
        <w:trPr>
          <w:trHeight w:val="20" w:hRule="atLeast"/>
        </w:trPr>
        <w:tc>
          <w:tcPr>
            <w:tcW w:w="5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t>5</w:t>
            </w:r>
          </w:p>
        </w:tc>
        <w:tc>
          <w:tcPr>
            <w:tcW w:w="2635"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ind w:left="283" w:firstLine="142"/>
              <w:jc w:val="center"/>
              <w:rPr>
                <w:sz w:val="24"/>
              </w:rPr>
            </w:pPr>
            <w:r>
              <w:rPr>
                <w:sz w:val="24"/>
              </w:rPr>
              <w:t>Планируемое строительство и реконструкция автомобильной</w:t>
            </w:r>
          </w:p>
        </w:tc>
        <w:tc>
          <w:tcPr>
            <w:tcW w:w="542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t>Организовать специально оборудованные в границах полосы отвода места временного хранения отходов строительства, обеспечить уборку бытового мусора.</w:t>
            </w:r>
          </w:p>
        </w:tc>
        <w:tc>
          <w:tcPr>
            <w:tcW w:w="13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r>
          </w:p>
        </w:tc>
        <w:tc>
          <w:tcPr>
            <w:tcW w:w="1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sz w:val="24"/>
              </w:rPr>
            </w:pPr>
            <w:r>
              <w:rPr>
                <w:sz w:val="24"/>
              </w:rPr>
              <w:t>+</w:t>
            </w:r>
          </w:p>
        </w:tc>
        <w:tc>
          <w:tcPr>
            <w:tcW w:w="3443" w:type="dxa"/>
            <w:tcBorders>
              <w:top w:val="single" w:sz="4" w:space="0" w:color="000000"/>
              <w:left w:val="single" w:sz="4" w:space="0" w:color="000000"/>
              <w:bottom w:val="single" w:sz="4" w:space="0" w:color="000000"/>
              <w:right w:val="single" w:sz="4" w:space="0" w:color="000000"/>
            </w:tcBorders>
          </w:tcPr>
          <w:p>
            <w:pPr>
              <w:pStyle w:val="Normal"/>
              <w:widowControl w:val="false"/>
              <w:ind w:firstLine="142"/>
              <w:jc w:val="center"/>
              <w:rPr>
                <w:sz w:val="24"/>
              </w:rPr>
            </w:pPr>
            <w:r>
              <w:rPr>
                <w:sz w:val="24"/>
              </w:rPr>
              <w:t>ОДМ 218.3.031-2013 «Отраслевой дорожный методический документ. Методические рекомендации по охране окружающей среды при строительстве, ремонте и содержании автомобильных дорог»</w:t>
            </w:r>
          </w:p>
          <w:p>
            <w:pPr>
              <w:pStyle w:val="Normal"/>
              <w:widowControl w:val="false"/>
              <w:ind w:firstLine="142"/>
              <w:jc w:val="center"/>
              <w:rPr>
                <w:sz w:val="24"/>
              </w:rPr>
            </w:pPr>
            <w:r>
              <w:rPr>
                <w:sz w:val="24"/>
              </w:rPr>
              <w:t>Генеральный план Сахаровского сельского поселения</w:t>
            </w:r>
          </w:p>
        </w:tc>
      </w:tr>
    </w:tbl>
    <w:p>
      <w:pPr>
        <w:pStyle w:val="Style79"/>
        <w:rPr>
          <w:color w:val="FF0000"/>
          <w:lang w:val="ru-RU"/>
        </w:rPr>
      </w:pPr>
      <w:r>
        <w:rPr>
          <w:color w:val="FF0000"/>
          <w:lang w:val="ru-RU"/>
        </w:rPr>
      </w:r>
    </w:p>
    <w:p>
      <w:pPr>
        <w:pStyle w:val="Style79"/>
        <w:rPr>
          <w:color w:val="FF0000"/>
        </w:rPr>
      </w:pPr>
      <w:r>
        <w:rPr>
          <w:color w:val="FF0000"/>
        </w:rPr>
      </w:r>
    </w:p>
    <w:p>
      <w:pPr>
        <w:pStyle w:val="Style79"/>
        <w:rPr>
          <w:color w:val="FF0000"/>
        </w:rPr>
      </w:pPr>
      <w:r>
        <w:rPr>
          <w:color w:val="FF0000"/>
        </w:rPr>
      </w:r>
    </w:p>
    <w:p>
      <w:pPr>
        <w:pStyle w:val="Style79"/>
        <w:rPr>
          <w:color w:val="FF0000"/>
        </w:rPr>
      </w:pPr>
      <w:r>
        <w:rPr>
          <w:color w:val="FF0000"/>
        </w:rPr>
      </w:r>
    </w:p>
    <w:p>
      <w:pPr>
        <w:pStyle w:val="Style79"/>
        <w:rPr>
          <w:color w:val="FF0000"/>
        </w:rPr>
      </w:pPr>
      <w:r>
        <w:rPr>
          <w:color w:val="FF0000"/>
        </w:rPr>
      </w:r>
    </w:p>
    <w:p>
      <w:pPr>
        <w:pStyle w:val="Style79"/>
        <w:rPr>
          <w:color w:val="FF0000"/>
        </w:rPr>
      </w:pPr>
      <w:r>
        <w:rPr>
          <w:color w:val="FF0000"/>
        </w:rPr>
      </w:r>
    </w:p>
    <w:p>
      <w:pPr>
        <w:pStyle w:val="Style79"/>
        <w:rPr>
          <w:color w:val="000000"/>
        </w:rPr>
      </w:pPr>
      <w:r>
        <w:rPr>
          <w:color w:val="000000"/>
        </w:rPr>
        <w:t>Таблица 3.11.6</w:t>
      </w:r>
    </w:p>
    <w:p>
      <w:pPr>
        <w:pStyle w:val="Normal"/>
        <w:jc w:val="right"/>
        <w:rPr>
          <w:color w:val="000000"/>
          <w:szCs w:val="28"/>
        </w:rPr>
      </w:pPr>
      <w:r>
        <w:rPr>
          <w:color w:val="000000"/>
          <w:szCs w:val="28"/>
        </w:rPr>
      </w:r>
    </w:p>
    <w:p>
      <w:pPr>
        <w:pStyle w:val="Normal"/>
        <w:jc w:val="center"/>
        <w:rPr>
          <w:color w:val="000000"/>
          <w:szCs w:val="28"/>
        </w:rPr>
      </w:pPr>
      <w:r>
        <w:rPr>
          <w:color w:val="000000"/>
          <w:szCs w:val="28"/>
        </w:rPr>
        <w:t>Перечень мероприятий по организации зон с особыми условиями использования территории</w:t>
      </w:r>
    </w:p>
    <w:tbl>
      <w:tblPr>
        <w:tblpPr w:bottomFromText="0" w:horzAnchor="margin" w:leftFromText="180" w:rightFromText="180" w:tblpX="0" w:tblpXSpec="center" w:tblpY="1575" w:topFromText="0" w:vertAnchor="margin"/>
        <w:tblW w:w="5000" w:type="pct"/>
        <w:jc w:val="center"/>
        <w:tblInd w:w="0" w:type="dxa"/>
        <w:tblLayout w:type="fixed"/>
        <w:tblCellMar>
          <w:top w:w="0" w:type="dxa"/>
          <w:left w:w="108" w:type="dxa"/>
          <w:bottom w:w="0" w:type="dxa"/>
          <w:right w:w="108" w:type="dxa"/>
        </w:tblCellMar>
        <w:tblLook w:noVBand="0" w:val="0000" w:noHBand="0" w:lastColumn="0" w:firstColumn="0" w:lastRow="0" w:firstRow="0"/>
      </w:tblPr>
      <w:tblGrid>
        <w:gridCol w:w="721"/>
        <w:gridCol w:w="2911"/>
        <w:gridCol w:w="4774"/>
        <w:gridCol w:w="1735"/>
        <w:gridCol w:w="1788"/>
        <w:gridCol w:w="2923"/>
      </w:tblGrid>
      <w:tr>
        <w:trPr>
          <w:tblHeader w:val="true"/>
          <w:trHeight w:val="20" w:hRule="atLeast"/>
          <w:cantSplit w:val="true"/>
        </w:trPr>
        <w:tc>
          <w:tcPr>
            <w:tcW w:w="72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 xml:space="preserve">№ </w:t>
            </w:r>
            <w:r>
              <w:rPr>
                <w:sz w:val="24"/>
              </w:rPr>
              <w:t>п/п</w:t>
            </w:r>
          </w:p>
        </w:tc>
        <w:tc>
          <w:tcPr>
            <w:tcW w:w="291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Наименование объекта</w:t>
            </w:r>
          </w:p>
        </w:tc>
        <w:tc>
          <w:tcPr>
            <w:tcW w:w="477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Вид мероприятия по организации ЗОУИТ</w:t>
            </w:r>
          </w:p>
        </w:tc>
        <w:tc>
          <w:tcPr>
            <w:tcW w:w="352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Сроки реализации</w:t>
            </w:r>
          </w:p>
        </w:tc>
        <w:tc>
          <w:tcPr>
            <w:tcW w:w="292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Источник мероприятия (наименование документа)</w:t>
            </w:r>
          </w:p>
        </w:tc>
      </w:tr>
      <w:tr>
        <w:trPr>
          <w:tblHeader w:val="true"/>
          <w:trHeight w:val="70" w:hRule="atLeast"/>
          <w:cantSplit w:val="true"/>
        </w:trPr>
        <w:tc>
          <w:tcPr>
            <w:tcW w:w="7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r>
          </w:p>
        </w:tc>
        <w:tc>
          <w:tcPr>
            <w:tcW w:w="29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r>
          </w:p>
        </w:tc>
        <w:tc>
          <w:tcPr>
            <w:tcW w:w="477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r>
          </w:p>
        </w:tc>
        <w:tc>
          <w:tcPr>
            <w:tcW w:w="17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Первая очередь</w:t>
            </w:r>
          </w:p>
        </w:tc>
        <w:tc>
          <w:tcPr>
            <w:tcW w:w="17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Расчетный период</w:t>
            </w:r>
          </w:p>
        </w:tc>
        <w:tc>
          <w:tcPr>
            <w:tcW w:w="29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r>
          </w:p>
        </w:tc>
      </w:tr>
      <w:tr>
        <w:trPr>
          <w:trHeight w:val="180" w:hRule="atLeast"/>
          <w:cantSplit w:val="true"/>
        </w:trPr>
        <w:tc>
          <w:tcPr>
            <w:tcW w:w="7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1</w:t>
            </w:r>
          </w:p>
        </w:tc>
        <w:tc>
          <w:tcPr>
            <w:tcW w:w="2911"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spacing w:before="0" w:after="0"/>
              <w:ind w:left="0" w:hanging="0"/>
              <w:jc w:val="center"/>
              <w:rPr>
                <w:sz w:val="24"/>
              </w:rPr>
            </w:pPr>
            <w:r>
              <w:rPr>
                <w:sz w:val="24"/>
              </w:rPr>
              <w:t>Кладбище д. М.Вахитова</w:t>
            </w:r>
          </w:p>
          <w:p>
            <w:pPr>
              <w:pStyle w:val="Style38"/>
              <w:widowControl w:val="false"/>
              <w:suppressAutoHyphens w:val="true"/>
              <w:spacing w:before="0" w:after="0"/>
              <w:ind w:left="0" w:hanging="0"/>
              <w:jc w:val="center"/>
              <w:rPr>
                <w:sz w:val="24"/>
              </w:rPr>
            </w:pPr>
            <w:r>
              <w:rPr>
                <w:sz w:val="24"/>
              </w:rPr>
              <w:t>Кладбище с. Ташевка</w:t>
            </w:r>
          </w:p>
          <w:p>
            <w:pPr>
              <w:pStyle w:val="Style38"/>
              <w:widowControl w:val="false"/>
              <w:suppressAutoHyphens w:val="true"/>
              <w:spacing w:before="0" w:after="0"/>
              <w:ind w:left="0" w:hanging="0"/>
              <w:jc w:val="center"/>
              <w:rPr>
                <w:sz w:val="24"/>
              </w:rPr>
            </w:pPr>
            <w:r>
              <w:rPr>
                <w:sz w:val="24"/>
              </w:rPr>
              <w:t>Дробильно-сортировочное оборудование по переработке карбонатных пород</w:t>
            </w:r>
          </w:p>
          <w:p>
            <w:pPr>
              <w:pStyle w:val="Style38"/>
              <w:widowControl w:val="false"/>
              <w:suppressAutoHyphens w:val="true"/>
              <w:spacing w:before="0" w:after="0"/>
              <w:ind w:left="0" w:hanging="0"/>
              <w:jc w:val="center"/>
              <w:rPr>
                <w:sz w:val="24"/>
              </w:rPr>
            </w:pPr>
            <w:r>
              <w:rPr>
                <w:sz w:val="24"/>
              </w:rPr>
              <w:t>Кладбище с. Ташевка</w:t>
            </w:r>
          </w:p>
          <w:p>
            <w:pPr>
              <w:pStyle w:val="Style38"/>
              <w:widowControl w:val="false"/>
              <w:suppressAutoHyphens w:val="true"/>
              <w:spacing w:before="0" w:after="0"/>
              <w:ind w:left="0" w:hanging="0"/>
              <w:jc w:val="center"/>
              <w:rPr>
                <w:sz w:val="24"/>
              </w:rPr>
            </w:pPr>
            <w:r>
              <w:rPr>
                <w:sz w:val="24"/>
              </w:rPr>
              <w:t>Кладбище п. Бакча Сарай</w:t>
            </w:r>
          </w:p>
        </w:tc>
        <w:tc>
          <w:tcPr>
            <w:tcW w:w="47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Установить СЗЗ и внести сведения в ЕГРН</w:t>
            </w:r>
          </w:p>
        </w:tc>
        <w:tc>
          <w:tcPr>
            <w:tcW w:w="17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w:t>
            </w:r>
          </w:p>
        </w:tc>
        <w:tc>
          <w:tcPr>
            <w:tcW w:w="17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r>
          </w:p>
        </w:tc>
        <w:tc>
          <w:tcPr>
            <w:tcW w:w="29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Правила установления санитарно-защитных зон, утв. Постановлением РФ от 03.03.2018 №222</w:t>
            </w:r>
          </w:p>
        </w:tc>
      </w:tr>
      <w:tr>
        <w:trPr>
          <w:trHeight w:val="180" w:hRule="atLeast"/>
          <w:cantSplit w:val="true"/>
        </w:trPr>
        <w:tc>
          <w:tcPr>
            <w:tcW w:w="7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2</w:t>
            </w:r>
          </w:p>
        </w:tc>
        <w:tc>
          <w:tcPr>
            <w:tcW w:w="2911"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spacing w:before="0" w:after="0"/>
              <w:ind w:left="0" w:hanging="0"/>
              <w:jc w:val="center"/>
              <w:rPr>
                <w:sz w:val="24"/>
              </w:rPr>
            </w:pPr>
            <w:r>
              <w:rPr>
                <w:sz w:val="24"/>
              </w:rPr>
              <w:t xml:space="preserve">Планируемая федеральная дорога </w:t>
            </w:r>
            <w:r>
              <w:rPr>
                <w:sz w:val="24"/>
                <w:lang w:val="en-US"/>
              </w:rPr>
              <w:t>I</w:t>
            </w:r>
            <w:r>
              <w:rPr>
                <w:sz w:val="24"/>
              </w:rPr>
              <w:t>Б категории: М12 Москва-Казань</w:t>
            </w:r>
          </w:p>
        </w:tc>
        <w:tc>
          <w:tcPr>
            <w:tcW w:w="47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Установление придорожной полосы и внесение сведений в ЕГРН</w:t>
            </w:r>
          </w:p>
        </w:tc>
        <w:tc>
          <w:tcPr>
            <w:tcW w:w="17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r>
          </w:p>
        </w:tc>
        <w:tc>
          <w:tcPr>
            <w:tcW w:w="17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w:t>
            </w:r>
          </w:p>
        </w:tc>
        <w:tc>
          <w:tcPr>
            <w:tcW w:w="29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ФЗ от 08.11.2007 №257-ФЗ</w:t>
            </w:r>
          </w:p>
        </w:tc>
      </w:tr>
      <w:tr>
        <w:trPr>
          <w:trHeight w:val="180" w:hRule="atLeast"/>
          <w:cantSplit w:val="true"/>
        </w:trPr>
        <w:tc>
          <w:tcPr>
            <w:tcW w:w="7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3</w:t>
            </w:r>
          </w:p>
        </w:tc>
        <w:tc>
          <w:tcPr>
            <w:tcW w:w="2911"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spacing w:before="0" w:after="0"/>
              <w:ind w:left="0" w:hanging="0"/>
              <w:jc w:val="center"/>
              <w:rPr>
                <w:sz w:val="24"/>
              </w:rPr>
            </w:pPr>
            <w:r>
              <w:rPr>
                <w:sz w:val="24"/>
              </w:rPr>
              <w:t xml:space="preserve">Региональные дороги существующие и планируемые </w:t>
            </w:r>
            <w:r>
              <w:rPr>
                <w:sz w:val="24"/>
                <w:lang w:val="en-US"/>
              </w:rPr>
              <w:t>IV</w:t>
            </w:r>
            <w:r>
              <w:rPr>
                <w:sz w:val="24"/>
              </w:rPr>
              <w:t xml:space="preserve">. </w:t>
            </w:r>
            <w:r>
              <w:rPr>
                <w:sz w:val="24"/>
                <w:lang w:val="en-US"/>
              </w:rPr>
              <w:t>V</w:t>
            </w:r>
            <w:r>
              <w:rPr>
                <w:sz w:val="24"/>
              </w:rPr>
              <w:t xml:space="preserve"> категории: Вахитово – Ташевка, Подъезд к д. Ватан, Янга-Болгар - Матюшино - Бакча-Сарай, Казань - Ульяновск - Камское Устье – Гребени, Янга-Болгар - Матюшино - Бакча-Сарай</w:t>
            </w:r>
          </w:p>
        </w:tc>
        <w:tc>
          <w:tcPr>
            <w:tcW w:w="47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Установить полосу отвода и придорожную полосу</w:t>
            </w:r>
          </w:p>
        </w:tc>
        <w:tc>
          <w:tcPr>
            <w:tcW w:w="17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w:t>
            </w:r>
          </w:p>
        </w:tc>
        <w:tc>
          <w:tcPr>
            <w:tcW w:w="17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r>
          </w:p>
        </w:tc>
        <w:tc>
          <w:tcPr>
            <w:tcW w:w="29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ФЗ от 08.11.2007 №257-ФЗ</w:t>
            </w:r>
          </w:p>
        </w:tc>
      </w:tr>
      <w:tr>
        <w:trPr>
          <w:trHeight w:val="70" w:hRule="atLeast"/>
          <w:cantSplit w:val="true"/>
        </w:trPr>
        <w:tc>
          <w:tcPr>
            <w:tcW w:w="7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4</w:t>
            </w:r>
          </w:p>
        </w:tc>
        <w:tc>
          <w:tcPr>
            <w:tcW w:w="2911"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spacing w:before="0" w:after="0"/>
              <w:ind w:left="0" w:hanging="0"/>
              <w:jc w:val="center"/>
              <w:rPr>
                <w:sz w:val="24"/>
              </w:rPr>
            </w:pPr>
            <w:r>
              <w:rPr>
                <w:sz w:val="24"/>
              </w:rPr>
              <w:t>Куйбышевское водохранилище с притоками р. Малая Меша</w:t>
            </w:r>
          </w:p>
        </w:tc>
        <w:tc>
          <w:tcPr>
            <w:tcW w:w="4774"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spacing w:before="0" w:after="0"/>
              <w:ind w:left="0" w:hanging="0"/>
              <w:jc w:val="center"/>
              <w:rPr>
                <w:sz w:val="24"/>
              </w:rPr>
            </w:pPr>
            <w:r>
              <w:rPr>
                <w:sz w:val="24"/>
              </w:rPr>
              <w:t>Обозначить на местности информационными знаками границы прибрежных защитных полос и водоохранных зон</w:t>
            </w:r>
          </w:p>
        </w:tc>
        <w:tc>
          <w:tcPr>
            <w:tcW w:w="17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w:t>
            </w:r>
          </w:p>
        </w:tc>
        <w:tc>
          <w:tcPr>
            <w:tcW w:w="17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w:t>
            </w:r>
          </w:p>
        </w:tc>
        <w:tc>
          <w:tcPr>
            <w:tcW w:w="29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9"/>
                <w:tab w:val="left" w:pos="2431" w:leader="none"/>
              </w:tabs>
              <w:suppressAutoHyphens w:val="true"/>
              <w:ind w:hanging="0"/>
              <w:jc w:val="center"/>
              <w:rPr>
                <w:sz w:val="24"/>
              </w:rPr>
            </w:pPr>
            <w:r>
              <w:rPr>
                <w:sz w:val="24"/>
              </w:rPr>
              <w:t>Водный кодекс РФ</w:t>
            </w:r>
          </w:p>
        </w:tc>
      </w:tr>
      <w:tr>
        <w:trPr>
          <w:trHeight w:val="70" w:hRule="atLeast"/>
          <w:cantSplit w:val="true"/>
        </w:trPr>
        <w:tc>
          <w:tcPr>
            <w:tcW w:w="7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5</w:t>
            </w:r>
          </w:p>
        </w:tc>
        <w:tc>
          <w:tcPr>
            <w:tcW w:w="2911"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spacing w:before="0" w:after="0"/>
              <w:ind w:left="0" w:hanging="0"/>
              <w:jc w:val="center"/>
              <w:rPr>
                <w:sz w:val="24"/>
              </w:rPr>
            </w:pPr>
            <w:r>
              <w:rPr>
                <w:sz w:val="24"/>
              </w:rPr>
              <w:t>Водозаборные скважины</w:t>
            </w:r>
          </w:p>
        </w:tc>
        <w:tc>
          <w:tcPr>
            <w:tcW w:w="4774"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rPr>
            </w:pPr>
            <w:r>
              <w:rPr>
                <w:color w:val="auto"/>
              </w:rPr>
              <w:t>Установить и внести в ЕГРН границы зоны санитарной охраны</w:t>
            </w:r>
          </w:p>
        </w:tc>
        <w:tc>
          <w:tcPr>
            <w:tcW w:w="17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w:t>
            </w:r>
          </w:p>
        </w:tc>
        <w:tc>
          <w:tcPr>
            <w:tcW w:w="17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r>
          </w:p>
        </w:tc>
        <w:tc>
          <w:tcPr>
            <w:tcW w:w="29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9"/>
                <w:tab w:val="left" w:pos="2431" w:leader="none"/>
              </w:tabs>
              <w:suppressAutoHyphens w:val="true"/>
              <w:ind w:hanging="0"/>
              <w:jc w:val="center"/>
              <w:rPr>
                <w:sz w:val="24"/>
              </w:rPr>
            </w:pPr>
            <w:r>
              <w:rPr>
                <w:bCs/>
                <w:sz w:val="24"/>
              </w:rPr>
              <w:t>СанПиН 2.1.4.1110-02 «Зоны санитарной охраны источников водоснабжения и водопроводов питьевого назначения»</w:t>
            </w:r>
          </w:p>
        </w:tc>
      </w:tr>
      <w:tr>
        <w:trPr>
          <w:trHeight w:val="70" w:hRule="atLeast"/>
          <w:cantSplit w:val="true"/>
        </w:trPr>
        <w:tc>
          <w:tcPr>
            <w:tcW w:w="7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6</w:t>
            </w:r>
          </w:p>
        </w:tc>
        <w:tc>
          <w:tcPr>
            <w:tcW w:w="2911"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spacing w:before="0" w:after="0"/>
              <w:ind w:left="0" w:hanging="0"/>
              <w:jc w:val="center"/>
              <w:rPr>
                <w:sz w:val="24"/>
              </w:rPr>
            </w:pPr>
            <w:r>
              <w:rPr>
                <w:sz w:val="24"/>
              </w:rPr>
              <w:t>Территории планируемые для развития жилищного строительства</w:t>
            </w:r>
          </w:p>
        </w:tc>
        <w:tc>
          <w:tcPr>
            <w:tcW w:w="4774"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rPr>
            </w:pPr>
            <w:r>
              <w:rPr>
                <w:color w:val="auto"/>
              </w:rPr>
              <w:t>До начала их освоения необходимо обеспечить подготовку проектов планировки и проектов межевания территорий с проработкой вопросов, обеспечивающих выполнение требований экологического законодательства, а также комплексного обеспечения данных участков сетями инженерной инфраструктуры.</w:t>
            </w:r>
          </w:p>
        </w:tc>
        <w:tc>
          <w:tcPr>
            <w:tcW w:w="17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w:t>
            </w:r>
          </w:p>
        </w:tc>
        <w:tc>
          <w:tcPr>
            <w:tcW w:w="17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r>
          </w:p>
        </w:tc>
        <w:tc>
          <w:tcPr>
            <w:tcW w:w="29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9"/>
                <w:tab w:val="left" w:pos="2431" w:leader="none"/>
              </w:tabs>
              <w:suppressAutoHyphens w:val="true"/>
              <w:ind w:hanging="0"/>
              <w:jc w:val="center"/>
              <w:rPr>
                <w:sz w:val="24"/>
              </w:rPr>
            </w:pPr>
            <w:r>
              <w:rPr>
                <w:sz w:val="24"/>
              </w:rPr>
              <w:t>Генеральный план Вахитовского с.п.</w:t>
            </w:r>
          </w:p>
        </w:tc>
      </w:tr>
      <w:tr>
        <w:trPr>
          <w:trHeight w:val="70" w:hRule="atLeast"/>
          <w:cantSplit w:val="true"/>
        </w:trPr>
        <w:tc>
          <w:tcPr>
            <w:tcW w:w="7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7</w:t>
            </w:r>
          </w:p>
        </w:tc>
        <w:tc>
          <w:tcPr>
            <w:tcW w:w="2911"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spacing w:before="0" w:after="0"/>
              <w:ind w:left="0" w:hanging="0"/>
              <w:jc w:val="center"/>
              <w:rPr>
                <w:sz w:val="24"/>
              </w:rPr>
            </w:pPr>
            <w:r>
              <w:rPr>
                <w:sz w:val="24"/>
              </w:rPr>
              <w:t xml:space="preserve">Площадка перспективного развития АПК до </w:t>
            </w:r>
            <w:r>
              <w:rPr>
                <w:sz w:val="24"/>
                <w:lang w:val="en-US"/>
              </w:rPr>
              <w:t>V</w:t>
            </w:r>
            <w:r>
              <w:rPr>
                <w:sz w:val="24"/>
              </w:rPr>
              <w:t xml:space="preserve"> класса опасности</w:t>
            </w:r>
          </w:p>
          <w:p>
            <w:pPr>
              <w:pStyle w:val="Style38"/>
              <w:widowControl w:val="false"/>
              <w:suppressAutoHyphens w:val="true"/>
              <w:spacing w:before="0" w:after="0"/>
              <w:ind w:left="0" w:hanging="0"/>
              <w:jc w:val="center"/>
              <w:rPr>
                <w:sz w:val="24"/>
              </w:rPr>
            </w:pPr>
            <w:r>
              <w:rPr>
                <w:sz w:val="24"/>
              </w:rPr>
              <w:t xml:space="preserve">Площадка перспективного развития АПК до </w:t>
            </w:r>
            <w:r>
              <w:rPr>
                <w:sz w:val="24"/>
                <w:lang w:val="en-US"/>
              </w:rPr>
              <w:t>V</w:t>
            </w:r>
            <w:r>
              <w:rPr>
                <w:sz w:val="24"/>
              </w:rPr>
              <w:t xml:space="preserve"> класса опасности</w:t>
            </w:r>
          </w:p>
        </w:tc>
        <w:tc>
          <w:tcPr>
            <w:tcW w:w="4774"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rPr>
            </w:pPr>
            <w:r>
              <w:rPr>
                <w:color w:val="auto"/>
              </w:rPr>
              <w:t>Обеспечение инженерными сетями с внедрением наилучших доступных технологий в вопросах организации водоснабжения, водоотведения с очисткой производственных, хозяйственно-бытовых и ливневых стоков, повторного использования очищенных стоков, очистки выбросов загрязняющих веществ в атмосферный воздух, а также в вопросах обращения с отходами производства и потребления.</w:t>
            </w:r>
          </w:p>
        </w:tc>
        <w:tc>
          <w:tcPr>
            <w:tcW w:w="17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w:t>
            </w:r>
          </w:p>
        </w:tc>
        <w:tc>
          <w:tcPr>
            <w:tcW w:w="17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r>
          </w:p>
        </w:tc>
        <w:tc>
          <w:tcPr>
            <w:tcW w:w="29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9"/>
                <w:tab w:val="left" w:pos="2431" w:leader="none"/>
              </w:tabs>
              <w:suppressAutoHyphens w:val="true"/>
              <w:ind w:hanging="0"/>
              <w:jc w:val="center"/>
              <w:rPr>
                <w:sz w:val="24"/>
              </w:rPr>
            </w:pPr>
            <w:r>
              <w:rPr>
                <w:sz w:val="24"/>
              </w:rPr>
              <w:t>Генеральный план Вахитовского с.п.</w:t>
            </w:r>
          </w:p>
        </w:tc>
      </w:tr>
      <w:tr>
        <w:trPr>
          <w:trHeight w:val="70" w:hRule="atLeast"/>
          <w:cantSplit w:val="true"/>
        </w:trPr>
        <w:tc>
          <w:tcPr>
            <w:tcW w:w="7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8</w:t>
            </w:r>
          </w:p>
        </w:tc>
        <w:tc>
          <w:tcPr>
            <w:tcW w:w="2911"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spacing w:before="0" w:after="0"/>
              <w:ind w:left="0" w:hanging="0"/>
              <w:jc w:val="center"/>
              <w:rPr>
                <w:sz w:val="24"/>
              </w:rPr>
            </w:pPr>
            <w:r>
              <w:rPr>
                <w:sz w:val="24"/>
              </w:rPr>
              <w:t>Грузовой причал АО "Татагрохимсервис"</w:t>
            </w:r>
          </w:p>
        </w:tc>
        <w:tc>
          <w:tcPr>
            <w:tcW w:w="4774"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rPr>
            </w:pPr>
            <w:r>
              <w:rPr>
                <w:color w:val="auto"/>
              </w:rPr>
              <w:t>Требуется сокращение СЗЗ при размещении рекреационной зоны</w:t>
            </w:r>
          </w:p>
        </w:tc>
        <w:tc>
          <w:tcPr>
            <w:tcW w:w="17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t>+</w:t>
            </w:r>
          </w:p>
        </w:tc>
        <w:tc>
          <w:tcPr>
            <w:tcW w:w="17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4"/>
              </w:rPr>
            </w:pPr>
            <w:r>
              <w:rPr>
                <w:sz w:val="24"/>
              </w:rPr>
            </w:r>
          </w:p>
        </w:tc>
        <w:tc>
          <w:tcPr>
            <w:tcW w:w="29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9"/>
                <w:tab w:val="left" w:pos="2431" w:leader="none"/>
              </w:tabs>
              <w:suppressAutoHyphens w:val="true"/>
              <w:ind w:hanging="0"/>
              <w:jc w:val="center"/>
              <w:rPr>
                <w:sz w:val="24"/>
              </w:rPr>
            </w:pPr>
            <w:r>
              <w:rPr>
                <w:sz w:val="24"/>
              </w:rPr>
              <w:t>Правила установления санитарно-защитных зон, утв. Постановлением РФ от 03.03.2018 №222</w:t>
            </w:r>
          </w:p>
        </w:tc>
      </w:tr>
    </w:tbl>
    <w:p>
      <w:pPr>
        <w:pStyle w:val="Normal"/>
        <w:jc w:val="center"/>
        <w:rPr>
          <w:color w:val="FF0000"/>
          <w:szCs w:val="28"/>
        </w:rPr>
      </w:pPr>
      <w:r>
        <w:rPr>
          <w:color w:val="FF0000"/>
          <w:szCs w:val="28"/>
        </w:rPr>
      </w:r>
    </w:p>
    <w:p>
      <w:pPr>
        <w:sectPr>
          <w:footerReference w:type="even" r:id="rId24"/>
          <w:footerReference w:type="default" r:id="rId25"/>
          <w:footerReference w:type="first" r:id="rId26"/>
          <w:type w:val="nextPage"/>
          <w:pgSz w:orient="landscape" w:w="16838" w:h="11906"/>
          <w:pgMar w:left="1134" w:right="851" w:gutter="0" w:header="0" w:top="851" w:footer="709" w:bottom="851"/>
          <w:pgNumType w:fmt="decimal"/>
          <w:formProt w:val="false"/>
          <w:textDirection w:val="lrTb"/>
          <w:docGrid w:type="default" w:linePitch="360" w:charSpace="0"/>
        </w:sectPr>
        <w:pStyle w:val="Normal"/>
        <w:rPr/>
      </w:pPr>
      <w:r>
        <w:rPr/>
      </w:r>
    </w:p>
    <w:p>
      <w:pPr>
        <w:pStyle w:val="2"/>
        <w:numPr>
          <w:ilvl w:val="0"/>
          <w:numId w:val="0"/>
        </w:numPr>
        <w:ind w:left="0" w:hanging="0"/>
        <w:rPr/>
      </w:pPr>
      <w:bookmarkStart w:id="79" w:name="_Toc156489388"/>
      <w:r>
        <w:rPr/>
        <w:t>3.12. Мероприятия по развитию инженерной инфраструктуры</w:t>
      </w:r>
      <w:bookmarkEnd w:id="79"/>
    </w:p>
    <w:p>
      <w:pPr>
        <w:pStyle w:val="Normal"/>
        <w:rPr/>
      </w:pPr>
      <w:r>
        <w:rPr/>
      </w:r>
    </w:p>
    <w:p>
      <w:pPr>
        <w:pStyle w:val="NormalWeb"/>
        <w:spacing w:before="0" w:after="0"/>
        <w:jc w:val="right"/>
        <w:rPr>
          <w:rFonts w:ascii="Times New Roman" w:hAnsi="Times New Roman"/>
          <w:sz w:val="28"/>
          <w:szCs w:val="28"/>
        </w:rPr>
      </w:pPr>
      <w:bookmarkStart w:id="80" w:name="_Toc383615872"/>
      <w:bookmarkEnd w:id="80"/>
      <w:r>
        <w:rPr>
          <w:rFonts w:ascii="Times New Roman" w:hAnsi="Times New Roman"/>
          <w:sz w:val="28"/>
          <w:szCs w:val="28"/>
        </w:rPr>
        <w:t xml:space="preserve">Таблица </w:t>
      </w:r>
      <w:r>
        <w:rPr>
          <w:rFonts w:ascii="Times New Roman" w:hAnsi="Times New Roman"/>
          <w:sz w:val="28"/>
          <w:szCs w:val="28"/>
          <w:lang w:eastAsia="en-US"/>
        </w:rPr>
        <w:t>3.12</w:t>
      </w:r>
      <w:r>
        <w:rPr>
          <w:rFonts w:ascii="Times New Roman" w:hAnsi="Times New Roman"/>
          <w:sz w:val="28"/>
          <w:szCs w:val="28"/>
        </w:rPr>
        <w:t>.1</w:t>
      </w:r>
    </w:p>
    <w:p>
      <w:pPr>
        <w:pStyle w:val="Normal"/>
        <w:ind w:hanging="0"/>
        <w:jc w:val="center"/>
        <w:rPr>
          <w:rFonts w:eastAsia="Calibri"/>
          <w:szCs w:val="28"/>
        </w:rPr>
      </w:pPr>
      <w:r>
        <w:rPr>
          <w:rFonts w:eastAsia="Calibri"/>
          <w:szCs w:val="28"/>
        </w:rPr>
        <w:t xml:space="preserve">Перечень мероприятий по развитию системы водоснабжения населенных пунктов, входящих в состав </w:t>
      </w:r>
    </w:p>
    <w:p>
      <w:pPr>
        <w:pStyle w:val="Normal"/>
        <w:ind w:hanging="0"/>
        <w:jc w:val="center"/>
        <w:rPr>
          <w:rFonts w:eastAsia="Calibri"/>
          <w:szCs w:val="28"/>
        </w:rPr>
      </w:pPr>
      <w:r>
        <w:rPr>
          <w:rFonts w:eastAsia="Calibri"/>
          <w:szCs w:val="28"/>
        </w:rPr>
        <w:t>Вахитовского сельского поселения Верхнеуслонского муниципального района Республики Татарстан</w:t>
      </w:r>
    </w:p>
    <w:tbl>
      <w:tblPr>
        <w:tblW w:w="5000" w:type="pct"/>
        <w:jc w:val="left"/>
        <w:tblInd w:w="-113" w:type="dxa"/>
        <w:tblLayout w:type="fixed"/>
        <w:tblCellMar>
          <w:top w:w="0" w:type="dxa"/>
          <w:left w:w="108" w:type="dxa"/>
          <w:bottom w:w="0" w:type="dxa"/>
          <w:right w:w="108" w:type="dxa"/>
        </w:tblCellMar>
        <w:tblLook w:noVBand="1" w:val="04a0" w:noHBand="0" w:lastColumn="0" w:firstColumn="1" w:lastRow="0" w:firstRow="1"/>
      </w:tblPr>
      <w:tblGrid>
        <w:gridCol w:w="498"/>
        <w:gridCol w:w="3188"/>
        <w:gridCol w:w="1693"/>
        <w:gridCol w:w="2490"/>
        <w:gridCol w:w="1113"/>
        <w:gridCol w:w="1123"/>
        <w:gridCol w:w="1159"/>
        <w:gridCol w:w="1464"/>
        <w:gridCol w:w="2123"/>
      </w:tblGrid>
      <w:tr>
        <w:trPr>
          <w:tblHeader w:val="true"/>
          <w:cantSplit w:val="true"/>
        </w:trPr>
        <w:tc>
          <w:tcPr>
            <w:tcW w:w="49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 xml:space="preserve">№ </w:t>
            </w:r>
            <w:r>
              <w:rPr>
                <w:color w:val="000000"/>
                <w:sz w:val="20"/>
                <w:szCs w:val="20"/>
              </w:rPr>
              <w:t>п/п</w:t>
            </w:r>
          </w:p>
        </w:tc>
        <w:tc>
          <w:tcPr>
            <w:tcW w:w="318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Местоположение</w:t>
            </w:r>
          </w:p>
        </w:tc>
        <w:tc>
          <w:tcPr>
            <w:tcW w:w="169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Наименование объекта</w:t>
            </w:r>
          </w:p>
        </w:tc>
        <w:tc>
          <w:tcPr>
            <w:tcW w:w="249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Вид мероприятия</w:t>
            </w:r>
          </w:p>
        </w:tc>
        <w:tc>
          <w:tcPr>
            <w:tcW w:w="111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Ед. измерения</w:t>
            </w:r>
          </w:p>
        </w:tc>
        <w:tc>
          <w:tcPr>
            <w:tcW w:w="112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Мощность</w:t>
            </w:r>
          </w:p>
        </w:tc>
        <w:tc>
          <w:tcPr>
            <w:tcW w:w="262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Сроки реализации</w:t>
            </w:r>
          </w:p>
        </w:tc>
        <w:tc>
          <w:tcPr>
            <w:tcW w:w="212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Источник мероприятия</w:t>
            </w:r>
          </w:p>
        </w:tc>
      </w:tr>
      <w:tr>
        <w:trPr>
          <w:tblHeader w:val="true"/>
          <w:cantSplit w:val="true"/>
        </w:trPr>
        <w:tc>
          <w:tcPr>
            <w:tcW w:w="4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left"/>
              <w:rPr>
                <w:color w:val="000000"/>
                <w:sz w:val="20"/>
                <w:szCs w:val="20"/>
              </w:rPr>
            </w:pPr>
            <w:r>
              <w:rPr>
                <w:color w:val="000000"/>
                <w:sz w:val="20"/>
                <w:szCs w:val="20"/>
              </w:rPr>
            </w:r>
          </w:p>
        </w:tc>
        <w:tc>
          <w:tcPr>
            <w:tcW w:w="31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left"/>
              <w:rPr>
                <w:color w:val="000000"/>
                <w:sz w:val="20"/>
                <w:szCs w:val="20"/>
              </w:rPr>
            </w:pPr>
            <w:r>
              <w:rPr>
                <w:color w:val="000000"/>
                <w:sz w:val="20"/>
                <w:szCs w:val="20"/>
              </w:rPr>
            </w:r>
          </w:p>
        </w:tc>
        <w:tc>
          <w:tcPr>
            <w:tcW w:w="169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left"/>
              <w:rPr>
                <w:color w:val="000000"/>
                <w:sz w:val="20"/>
                <w:szCs w:val="20"/>
              </w:rPr>
            </w:pPr>
            <w:r>
              <w:rPr>
                <w:color w:val="000000"/>
                <w:sz w:val="20"/>
                <w:szCs w:val="20"/>
              </w:rPr>
            </w:r>
          </w:p>
        </w:tc>
        <w:tc>
          <w:tcPr>
            <w:tcW w:w="249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left"/>
              <w:rPr>
                <w:color w:val="000000"/>
                <w:sz w:val="20"/>
                <w:szCs w:val="20"/>
              </w:rPr>
            </w:pPr>
            <w:r>
              <w:rPr>
                <w:color w:val="000000"/>
                <w:sz w:val="20"/>
                <w:szCs w:val="20"/>
              </w:rPr>
            </w:r>
          </w:p>
        </w:tc>
        <w:tc>
          <w:tcPr>
            <w:tcW w:w="111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left"/>
              <w:rPr>
                <w:color w:val="000000"/>
                <w:sz w:val="20"/>
                <w:szCs w:val="20"/>
              </w:rPr>
            </w:pPr>
            <w:r>
              <w:rPr>
                <w:color w:val="000000"/>
                <w:sz w:val="20"/>
                <w:szCs w:val="20"/>
              </w:rPr>
            </w:r>
          </w:p>
        </w:tc>
        <w:tc>
          <w:tcPr>
            <w:tcW w:w="11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left"/>
              <w:rPr>
                <w:color w:val="000000"/>
                <w:sz w:val="20"/>
                <w:szCs w:val="20"/>
              </w:rPr>
            </w:pPr>
            <w:r>
              <w:rPr>
                <w:color w:val="000000"/>
                <w:sz w:val="20"/>
                <w:szCs w:val="20"/>
              </w:rPr>
            </w:r>
          </w:p>
        </w:tc>
        <w:tc>
          <w:tcPr>
            <w:tcW w:w="11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Первая очередь (до 2032 г.)</w:t>
            </w:r>
          </w:p>
        </w:tc>
        <w:tc>
          <w:tcPr>
            <w:tcW w:w="14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Расчетный срок</w:t>
            </w:r>
          </w:p>
          <w:p>
            <w:pPr>
              <w:pStyle w:val="Normal"/>
              <w:widowControl w:val="false"/>
              <w:ind w:hanging="0"/>
              <w:jc w:val="center"/>
              <w:rPr>
                <w:color w:val="000000"/>
                <w:sz w:val="20"/>
                <w:szCs w:val="20"/>
              </w:rPr>
            </w:pPr>
            <w:r>
              <w:rPr>
                <w:color w:val="000000"/>
                <w:sz w:val="20"/>
                <w:szCs w:val="20"/>
              </w:rPr>
              <w:t xml:space="preserve"> </w:t>
            </w:r>
            <w:r>
              <w:rPr>
                <w:color w:val="000000"/>
                <w:sz w:val="20"/>
                <w:szCs w:val="20"/>
              </w:rPr>
              <w:t>(2033-2047 гг.)</w:t>
            </w:r>
          </w:p>
        </w:tc>
        <w:tc>
          <w:tcPr>
            <w:tcW w:w="21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left"/>
              <w:rPr>
                <w:color w:val="000000"/>
                <w:sz w:val="20"/>
                <w:szCs w:val="20"/>
              </w:rPr>
            </w:pPr>
            <w:r>
              <w:rPr>
                <w:color w:val="000000"/>
                <w:sz w:val="20"/>
                <w:szCs w:val="20"/>
              </w:rPr>
            </w:r>
          </w:p>
        </w:tc>
      </w:tr>
      <w:tr>
        <w:trPr>
          <w:cantSplit w:val="true"/>
        </w:trPr>
        <w:tc>
          <w:tcPr>
            <w:tcW w:w="14851" w:type="dxa"/>
            <w:gridSpan w:val="9"/>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b/>
                <w:color w:val="000000"/>
                <w:sz w:val="20"/>
                <w:szCs w:val="20"/>
              </w:rPr>
            </w:pPr>
            <w:r>
              <w:rPr>
                <w:caps/>
                <w:color w:val="000000"/>
                <w:sz w:val="20"/>
                <w:szCs w:val="20"/>
              </w:rPr>
              <w:t>МЕРОПРИЯТИЯ Местного (районного) значения</w:t>
            </w:r>
          </w:p>
        </w:tc>
      </w:tr>
      <w:tr>
        <w:trPr>
          <w:cantSplit w:val="true"/>
        </w:trPr>
        <w:tc>
          <w:tcPr>
            <w:tcW w:w="4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1</w:t>
            </w:r>
          </w:p>
        </w:tc>
        <w:tc>
          <w:tcPr>
            <w:tcW w:w="31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д.Гребени</w:t>
            </w:r>
          </w:p>
        </w:tc>
        <w:tc>
          <w:tcPr>
            <w:tcW w:w="16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Водонапорная башня, скважина</w:t>
            </w:r>
          </w:p>
        </w:tc>
        <w:tc>
          <w:tcPr>
            <w:tcW w:w="24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Новое строительство</w:t>
            </w:r>
          </w:p>
          <w:p>
            <w:pPr>
              <w:pStyle w:val="Normal"/>
              <w:widowControl w:val="false"/>
              <w:ind w:hanging="0"/>
              <w:jc w:val="center"/>
              <w:rPr>
                <w:color w:val="000000"/>
                <w:sz w:val="20"/>
                <w:szCs w:val="20"/>
              </w:rPr>
            </w:pPr>
            <w:r>
              <w:rPr>
                <w:color w:val="000000"/>
                <w:sz w:val="20"/>
                <w:szCs w:val="20"/>
              </w:rPr>
              <w:t>(бурение скважин в соответствии с потребностями населения)</w:t>
            </w:r>
          </w:p>
        </w:tc>
        <w:tc>
          <w:tcPr>
            <w:tcW w:w="11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шт.</w:t>
            </w:r>
          </w:p>
        </w:tc>
        <w:tc>
          <w:tcPr>
            <w:tcW w:w="11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w:t>
            </w:r>
          </w:p>
        </w:tc>
        <w:tc>
          <w:tcPr>
            <w:tcW w:w="11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w:t>
            </w:r>
          </w:p>
        </w:tc>
        <w:tc>
          <w:tcPr>
            <w:tcW w:w="14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w:t>
            </w:r>
          </w:p>
        </w:tc>
        <w:tc>
          <w:tcPr>
            <w:tcW w:w="21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Генеральный план Вахитовского СП</w:t>
            </w:r>
          </w:p>
        </w:tc>
      </w:tr>
      <w:tr>
        <w:trPr>
          <w:cantSplit w:val="true"/>
        </w:trPr>
        <w:tc>
          <w:tcPr>
            <w:tcW w:w="4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2</w:t>
            </w:r>
          </w:p>
        </w:tc>
        <w:tc>
          <w:tcPr>
            <w:tcW w:w="31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д.Гребени</w:t>
            </w:r>
          </w:p>
        </w:tc>
        <w:tc>
          <w:tcPr>
            <w:tcW w:w="16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Сети водоснабжения</w:t>
            </w:r>
          </w:p>
        </w:tc>
        <w:tc>
          <w:tcPr>
            <w:tcW w:w="24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Новое строительство</w:t>
            </w:r>
          </w:p>
        </w:tc>
        <w:tc>
          <w:tcPr>
            <w:tcW w:w="11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км</w:t>
            </w:r>
          </w:p>
        </w:tc>
        <w:tc>
          <w:tcPr>
            <w:tcW w:w="11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w:t>
            </w:r>
          </w:p>
        </w:tc>
        <w:tc>
          <w:tcPr>
            <w:tcW w:w="11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w:t>
            </w:r>
          </w:p>
        </w:tc>
        <w:tc>
          <w:tcPr>
            <w:tcW w:w="14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w:t>
            </w:r>
          </w:p>
        </w:tc>
        <w:tc>
          <w:tcPr>
            <w:tcW w:w="2123" w:type="dxa"/>
            <w:tcBorders>
              <w:top w:val="single" w:sz="4" w:space="0" w:color="000000"/>
              <w:left w:val="single" w:sz="4" w:space="0" w:color="000000"/>
              <w:bottom w:val="single" w:sz="4" w:space="0" w:color="000000"/>
              <w:right w:val="single" w:sz="4" w:space="0" w:color="000000"/>
            </w:tcBorders>
          </w:tcPr>
          <w:p>
            <w:pPr>
              <w:pStyle w:val="Normal"/>
              <w:widowControl w:val="false"/>
              <w:ind w:hanging="0"/>
              <w:jc w:val="center"/>
              <w:rPr>
                <w:color w:val="000000"/>
              </w:rPr>
            </w:pPr>
            <w:r>
              <w:rPr>
                <w:color w:val="000000"/>
                <w:sz w:val="20"/>
                <w:szCs w:val="20"/>
              </w:rPr>
              <w:t>Генеральный план Вахитовского СП</w:t>
            </w:r>
          </w:p>
        </w:tc>
      </w:tr>
    </w:tbl>
    <w:p>
      <w:pPr>
        <w:pStyle w:val="Normal"/>
        <w:jc w:val="right"/>
        <w:rPr/>
      </w:pPr>
      <w:r>
        <w:rPr/>
      </w:r>
    </w:p>
    <w:p>
      <w:pPr>
        <w:pStyle w:val="Normal"/>
        <w:jc w:val="right"/>
        <w:rPr/>
      </w:pPr>
      <w:r>
        <w:rPr/>
        <w:t>Таблица 3.12.2</w:t>
      </w:r>
    </w:p>
    <w:p>
      <w:pPr>
        <w:pStyle w:val="Normal"/>
        <w:ind w:hanging="0"/>
        <w:jc w:val="center"/>
        <w:rPr>
          <w:rFonts w:eastAsia="Calibri"/>
          <w:szCs w:val="28"/>
        </w:rPr>
      </w:pPr>
      <w:r>
        <w:rPr>
          <w:rFonts w:eastAsia="Calibri"/>
          <w:szCs w:val="28"/>
        </w:rPr>
        <w:t xml:space="preserve">Перечень мероприятий по развитию системы водоотведения населенных пунктов, входящих в состав </w:t>
      </w:r>
    </w:p>
    <w:p>
      <w:pPr>
        <w:pStyle w:val="Normal"/>
        <w:ind w:hanging="0"/>
        <w:jc w:val="center"/>
        <w:rPr>
          <w:rFonts w:eastAsia="Calibri"/>
          <w:szCs w:val="28"/>
        </w:rPr>
      </w:pPr>
      <w:r>
        <w:rPr>
          <w:rFonts w:eastAsia="Calibri"/>
          <w:szCs w:val="28"/>
        </w:rPr>
        <w:t>Вахитовского сельского поселения Верхнеуслонского муниципального района Республики Татарстан</w:t>
      </w:r>
    </w:p>
    <w:tbl>
      <w:tblPr>
        <w:tblW w:w="5000" w:type="pct"/>
        <w:jc w:val="left"/>
        <w:tblInd w:w="-113" w:type="dxa"/>
        <w:tblLayout w:type="fixed"/>
        <w:tblCellMar>
          <w:top w:w="0" w:type="dxa"/>
          <w:left w:w="108" w:type="dxa"/>
          <w:bottom w:w="0" w:type="dxa"/>
          <w:right w:w="108" w:type="dxa"/>
        </w:tblCellMar>
        <w:tblLook w:noVBand="1" w:val="04a0" w:noHBand="0" w:lastColumn="0" w:firstColumn="1" w:lastRow="0" w:firstRow="1"/>
      </w:tblPr>
      <w:tblGrid>
        <w:gridCol w:w="487"/>
        <w:gridCol w:w="3151"/>
        <w:gridCol w:w="1798"/>
        <w:gridCol w:w="2376"/>
        <w:gridCol w:w="1200"/>
        <w:gridCol w:w="1168"/>
        <w:gridCol w:w="1292"/>
        <w:gridCol w:w="1265"/>
        <w:gridCol w:w="2114"/>
      </w:tblGrid>
      <w:tr>
        <w:trPr>
          <w:tblHeader w:val="true"/>
          <w:cantSplit w:val="true"/>
        </w:trPr>
        <w:tc>
          <w:tcPr>
            <w:tcW w:w="48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 xml:space="preserve">№ </w:t>
            </w:r>
            <w:r>
              <w:rPr>
                <w:color w:val="000000"/>
                <w:sz w:val="20"/>
                <w:szCs w:val="20"/>
              </w:rPr>
              <w:t>п/п</w:t>
            </w:r>
          </w:p>
        </w:tc>
        <w:tc>
          <w:tcPr>
            <w:tcW w:w="315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Местоположение</w:t>
            </w:r>
          </w:p>
        </w:tc>
        <w:tc>
          <w:tcPr>
            <w:tcW w:w="179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Наименование объекта</w:t>
            </w:r>
          </w:p>
        </w:tc>
        <w:tc>
          <w:tcPr>
            <w:tcW w:w="237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Вид мероприятия</w:t>
            </w:r>
          </w:p>
        </w:tc>
        <w:tc>
          <w:tcPr>
            <w:tcW w:w="120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Ед. измерения</w:t>
            </w:r>
          </w:p>
        </w:tc>
        <w:tc>
          <w:tcPr>
            <w:tcW w:w="116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Мощность</w:t>
            </w:r>
          </w:p>
        </w:tc>
        <w:tc>
          <w:tcPr>
            <w:tcW w:w="255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Сроки реализации</w:t>
            </w:r>
          </w:p>
        </w:tc>
        <w:tc>
          <w:tcPr>
            <w:tcW w:w="211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Источник мероприятия</w:t>
            </w:r>
          </w:p>
        </w:tc>
      </w:tr>
      <w:tr>
        <w:trPr>
          <w:tblHeader w:val="true"/>
          <w:cantSplit w:val="true"/>
        </w:trPr>
        <w:tc>
          <w:tcPr>
            <w:tcW w:w="48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left"/>
              <w:rPr>
                <w:color w:val="000000"/>
                <w:sz w:val="20"/>
                <w:szCs w:val="20"/>
              </w:rPr>
            </w:pPr>
            <w:r>
              <w:rPr>
                <w:color w:val="000000"/>
                <w:sz w:val="20"/>
                <w:szCs w:val="20"/>
              </w:rPr>
            </w:r>
          </w:p>
        </w:tc>
        <w:tc>
          <w:tcPr>
            <w:tcW w:w="315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left"/>
              <w:rPr>
                <w:color w:val="000000"/>
                <w:sz w:val="20"/>
                <w:szCs w:val="20"/>
              </w:rPr>
            </w:pPr>
            <w:r>
              <w:rPr>
                <w:color w:val="000000"/>
                <w:sz w:val="20"/>
                <w:szCs w:val="20"/>
              </w:rPr>
            </w:r>
          </w:p>
        </w:tc>
        <w:tc>
          <w:tcPr>
            <w:tcW w:w="17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left"/>
              <w:rPr>
                <w:color w:val="000000"/>
                <w:sz w:val="20"/>
                <w:szCs w:val="20"/>
              </w:rPr>
            </w:pPr>
            <w:r>
              <w:rPr>
                <w:color w:val="000000"/>
                <w:sz w:val="20"/>
                <w:szCs w:val="20"/>
              </w:rPr>
            </w:r>
          </w:p>
        </w:tc>
        <w:tc>
          <w:tcPr>
            <w:tcW w:w="23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left"/>
              <w:rPr>
                <w:color w:val="000000"/>
                <w:sz w:val="20"/>
                <w:szCs w:val="20"/>
              </w:rPr>
            </w:pPr>
            <w:r>
              <w:rPr>
                <w:color w:val="000000"/>
                <w:sz w:val="20"/>
                <w:szCs w:val="20"/>
              </w:rPr>
            </w:r>
          </w:p>
        </w:tc>
        <w:tc>
          <w:tcPr>
            <w:tcW w:w="12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left"/>
              <w:rPr>
                <w:color w:val="000000"/>
                <w:sz w:val="20"/>
                <w:szCs w:val="20"/>
              </w:rPr>
            </w:pPr>
            <w:r>
              <w:rPr>
                <w:color w:val="000000"/>
                <w:sz w:val="20"/>
                <w:szCs w:val="20"/>
              </w:rPr>
            </w:r>
          </w:p>
        </w:tc>
        <w:tc>
          <w:tcPr>
            <w:tcW w:w="116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left"/>
              <w:rPr>
                <w:color w:val="000000"/>
                <w:sz w:val="20"/>
                <w:szCs w:val="20"/>
              </w:rPr>
            </w:pPr>
            <w:r>
              <w:rPr>
                <w:color w:val="000000"/>
                <w:sz w:val="20"/>
                <w:szCs w:val="20"/>
              </w:rPr>
            </w:r>
          </w:p>
        </w:tc>
        <w:tc>
          <w:tcPr>
            <w:tcW w:w="12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Первая очередь (до 2033 г.)</w:t>
            </w:r>
          </w:p>
        </w:tc>
        <w:tc>
          <w:tcPr>
            <w:tcW w:w="1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Расчетный срок</w:t>
            </w:r>
          </w:p>
          <w:p>
            <w:pPr>
              <w:pStyle w:val="Normal"/>
              <w:widowControl w:val="false"/>
              <w:ind w:hanging="0"/>
              <w:jc w:val="center"/>
              <w:rPr>
                <w:color w:val="000000"/>
                <w:sz w:val="20"/>
                <w:szCs w:val="20"/>
              </w:rPr>
            </w:pPr>
            <w:r>
              <w:rPr>
                <w:color w:val="000000"/>
                <w:sz w:val="20"/>
                <w:szCs w:val="20"/>
              </w:rPr>
              <w:t xml:space="preserve"> </w:t>
            </w:r>
            <w:r>
              <w:rPr>
                <w:color w:val="000000"/>
                <w:sz w:val="20"/>
                <w:szCs w:val="20"/>
              </w:rPr>
              <w:t>(2033-2047 гг.)</w:t>
            </w:r>
          </w:p>
        </w:tc>
        <w:tc>
          <w:tcPr>
            <w:tcW w:w="21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left"/>
              <w:rPr>
                <w:color w:val="000000"/>
                <w:sz w:val="20"/>
                <w:szCs w:val="20"/>
              </w:rPr>
            </w:pPr>
            <w:r>
              <w:rPr>
                <w:color w:val="000000"/>
                <w:sz w:val="20"/>
                <w:szCs w:val="20"/>
              </w:rPr>
            </w:r>
          </w:p>
        </w:tc>
      </w:tr>
      <w:tr>
        <w:trPr>
          <w:tblHeader w:val="true"/>
          <w:cantSplit w:val="true"/>
        </w:trPr>
        <w:tc>
          <w:tcPr>
            <w:tcW w:w="14851" w:type="dxa"/>
            <w:gridSpan w:val="9"/>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b/>
                <w:color w:val="000000"/>
                <w:sz w:val="20"/>
                <w:szCs w:val="20"/>
              </w:rPr>
            </w:pPr>
            <w:r>
              <w:rPr>
                <w:caps/>
                <w:color w:val="000000"/>
                <w:sz w:val="20"/>
                <w:szCs w:val="20"/>
              </w:rPr>
              <w:t>МЕРОПРИЯТИЯ МЕСТНОГО (РАЙОННОГО) ЗНАЧЕНИЯ)</w:t>
            </w:r>
          </w:p>
        </w:tc>
      </w:tr>
      <w:tr>
        <w:trPr>
          <w:cantSplit w:val="true"/>
        </w:trPr>
        <w:tc>
          <w:tcPr>
            <w:tcW w:w="4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58"/>
              </w:numPr>
              <w:tabs>
                <w:tab w:val="clear" w:pos="709"/>
                <w:tab w:val="left" w:pos="351" w:leader="none"/>
              </w:tabs>
              <w:jc w:val="center"/>
              <w:rPr>
                <w:color w:val="000000"/>
                <w:sz w:val="20"/>
                <w:szCs w:val="20"/>
              </w:rPr>
            </w:pPr>
            <w:r>
              <w:rPr>
                <w:color w:val="000000"/>
                <w:sz w:val="20"/>
                <w:szCs w:val="20"/>
              </w:rPr>
              <w:t>3</w:t>
            </w:r>
          </w:p>
        </w:tc>
        <w:tc>
          <w:tcPr>
            <w:tcW w:w="31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д.им. Мулланура Вахитова</w:t>
            </w:r>
          </w:p>
          <w:p>
            <w:pPr>
              <w:pStyle w:val="Normal"/>
              <w:widowControl w:val="false"/>
              <w:ind w:hanging="0"/>
              <w:jc w:val="center"/>
              <w:rPr>
                <w:color w:val="000000"/>
                <w:sz w:val="20"/>
                <w:szCs w:val="20"/>
              </w:rPr>
            </w:pPr>
            <w:r>
              <w:rPr>
                <w:color w:val="000000"/>
                <w:sz w:val="20"/>
                <w:szCs w:val="20"/>
              </w:rPr>
              <w:t>п.Бакча-Сарай</w:t>
            </w:r>
          </w:p>
          <w:p>
            <w:pPr>
              <w:pStyle w:val="Normal"/>
              <w:widowControl w:val="false"/>
              <w:ind w:hanging="0"/>
              <w:jc w:val="center"/>
              <w:rPr>
                <w:color w:val="000000"/>
                <w:sz w:val="20"/>
                <w:szCs w:val="20"/>
              </w:rPr>
            </w:pPr>
            <w:r>
              <w:rPr>
                <w:color w:val="000000"/>
                <w:sz w:val="20"/>
                <w:szCs w:val="20"/>
              </w:rPr>
              <w:t>с.Ташевка</w:t>
            </w:r>
          </w:p>
          <w:p>
            <w:pPr>
              <w:pStyle w:val="Normal"/>
              <w:widowControl w:val="false"/>
              <w:ind w:hanging="0"/>
              <w:jc w:val="center"/>
              <w:rPr>
                <w:color w:val="000000"/>
                <w:sz w:val="20"/>
                <w:szCs w:val="20"/>
              </w:rPr>
            </w:pPr>
            <w:r>
              <w:rPr>
                <w:color w:val="000000"/>
                <w:sz w:val="20"/>
                <w:szCs w:val="20"/>
              </w:rPr>
              <w:t>д.Ватан</w:t>
            </w:r>
          </w:p>
          <w:p>
            <w:pPr>
              <w:pStyle w:val="Normal"/>
              <w:widowControl w:val="false"/>
              <w:ind w:hanging="0"/>
              <w:jc w:val="center"/>
              <w:rPr>
                <w:color w:val="000000"/>
                <w:sz w:val="20"/>
                <w:szCs w:val="20"/>
              </w:rPr>
            </w:pPr>
            <w:r>
              <w:rPr>
                <w:color w:val="000000"/>
                <w:sz w:val="20"/>
                <w:szCs w:val="20"/>
              </w:rPr>
              <w:t>д.Гребени</w:t>
            </w:r>
          </w:p>
          <w:p>
            <w:pPr>
              <w:pStyle w:val="Normal"/>
              <w:widowControl w:val="false"/>
              <w:ind w:hanging="0"/>
              <w:jc w:val="center"/>
              <w:rPr>
                <w:color w:val="000000"/>
                <w:sz w:val="20"/>
                <w:szCs w:val="20"/>
              </w:rPr>
            </w:pPr>
            <w:r>
              <w:rPr>
                <w:color w:val="000000"/>
                <w:sz w:val="20"/>
                <w:szCs w:val="20"/>
              </w:rPr>
              <w:t>(индивидуальная застройка)</w:t>
            </w:r>
          </w:p>
        </w:tc>
        <w:tc>
          <w:tcPr>
            <w:tcW w:w="17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6"/>
              </w:numPr>
              <w:tabs>
                <w:tab w:val="clear" w:pos="709"/>
                <w:tab w:val="left" w:pos="351" w:leader="none"/>
              </w:tabs>
              <w:jc w:val="center"/>
              <w:rPr>
                <w:color w:val="000000"/>
                <w:sz w:val="20"/>
                <w:szCs w:val="20"/>
              </w:rPr>
            </w:pPr>
            <w:r>
              <w:rPr>
                <w:color w:val="000000"/>
                <w:sz w:val="20"/>
                <w:szCs w:val="20"/>
              </w:rPr>
              <w:t>Автономная система канализации</w:t>
            </w:r>
          </w:p>
        </w:tc>
        <w:tc>
          <w:tcPr>
            <w:tcW w:w="23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6"/>
              </w:numPr>
              <w:tabs>
                <w:tab w:val="clear" w:pos="709"/>
                <w:tab w:val="left" w:pos="351" w:leader="none"/>
              </w:tabs>
              <w:jc w:val="center"/>
              <w:rPr>
                <w:color w:val="000000"/>
                <w:sz w:val="20"/>
                <w:szCs w:val="20"/>
              </w:rPr>
            </w:pPr>
            <w:r>
              <w:rPr>
                <w:color w:val="000000"/>
                <w:sz w:val="20"/>
                <w:szCs w:val="20"/>
              </w:rPr>
              <w:t>Новое строительство</w:t>
            </w:r>
          </w:p>
        </w:tc>
        <w:tc>
          <w:tcPr>
            <w:tcW w:w="12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6"/>
              </w:numPr>
              <w:tabs>
                <w:tab w:val="clear" w:pos="709"/>
                <w:tab w:val="left" w:pos="351" w:leader="none"/>
              </w:tabs>
              <w:jc w:val="center"/>
              <w:rPr>
                <w:color w:val="000000"/>
                <w:sz w:val="20"/>
                <w:szCs w:val="20"/>
              </w:rPr>
            </w:pPr>
            <w:r>
              <w:rPr>
                <w:color w:val="000000"/>
                <w:sz w:val="20"/>
                <w:szCs w:val="20"/>
              </w:rPr>
              <w:t>шт.</w:t>
            </w:r>
          </w:p>
        </w:tc>
        <w:tc>
          <w:tcPr>
            <w:tcW w:w="11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6"/>
              </w:numPr>
              <w:tabs>
                <w:tab w:val="clear" w:pos="709"/>
                <w:tab w:val="left" w:pos="351" w:leader="none"/>
              </w:tabs>
              <w:jc w:val="center"/>
              <w:rPr>
                <w:color w:val="000000"/>
                <w:sz w:val="20"/>
                <w:szCs w:val="20"/>
              </w:rPr>
            </w:pPr>
            <w:r>
              <w:rPr>
                <w:color w:val="000000"/>
                <w:sz w:val="20"/>
                <w:szCs w:val="20"/>
              </w:rPr>
              <w:t>-</w:t>
            </w:r>
          </w:p>
        </w:tc>
        <w:tc>
          <w:tcPr>
            <w:tcW w:w="12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6"/>
              </w:numPr>
              <w:tabs>
                <w:tab w:val="clear" w:pos="709"/>
                <w:tab w:val="left" w:pos="351" w:leader="none"/>
              </w:tabs>
              <w:jc w:val="center"/>
              <w:rPr>
                <w:color w:val="000000"/>
                <w:sz w:val="20"/>
                <w:szCs w:val="20"/>
              </w:rPr>
            </w:pPr>
            <w:r>
              <w:rPr>
                <w:color w:val="000000"/>
                <w:sz w:val="20"/>
                <w:szCs w:val="20"/>
              </w:rPr>
              <w:t>+</w:t>
            </w:r>
          </w:p>
        </w:tc>
        <w:tc>
          <w:tcPr>
            <w:tcW w:w="1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6"/>
              </w:numPr>
              <w:tabs>
                <w:tab w:val="clear" w:pos="709"/>
                <w:tab w:val="left" w:pos="351" w:leader="none"/>
              </w:tabs>
              <w:jc w:val="center"/>
              <w:rPr>
                <w:color w:val="000000"/>
                <w:sz w:val="20"/>
                <w:szCs w:val="20"/>
              </w:rPr>
            </w:pPr>
            <w:r>
              <w:rPr>
                <w:color w:val="000000"/>
                <w:sz w:val="20"/>
                <w:szCs w:val="20"/>
              </w:rPr>
              <w:t>+</w:t>
            </w:r>
          </w:p>
        </w:tc>
        <w:tc>
          <w:tcPr>
            <w:tcW w:w="211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Генеральный план Вахитовского СП</w:t>
            </w:r>
          </w:p>
        </w:tc>
      </w:tr>
    </w:tbl>
    <w:p>
      <w:pPr>
        <w:pStyle w:val="Normal"/>
        <w:ind w:hanging="0"/>
        <w:rPr>
          <w:rFonts w:eastAsia="Calibri"/>
          <w:szCs w:val="28"/>
        </w:rPr>
      </w:pPr>
      <w:r>
        <w:rPr>
          <w:rFonts w:eastAsia="Calibri"/>
          <w:szCs w:val="28"/>
        </w:rPr>
      </w:r>
    </w:p>
    <w:p>
      <w:pPr>
        <w:pStyle w:val="Normal"/>
        <w:ind w:hanging="0"/>
        <w:rPr>
          <w:rFonts w:eastAsia="Calibri"/>
          <w:szCs w:val="28"/>
        </w:rPr>
      </w:pPr>
      <w:r>
        <w:rPr>
          <w:rFonts w:eastAsia="Calibri"/>
          <w:szCs w:val="28"/>
        </w:rPr>
      </w:r>
    </w:p>
    <w:p>
      <w:pPr>
        <w:pStyle w:val="Normal"/>
        <w:ind w:hanging="0"/>
        <w:rPr>
          <w:rFonts w:eastAsia="Calibri"/>
          <w:szCs w:val="28"/>
        </w:rPr>
      </w:pPr>
      <w:r>
        <w:rPr>
          <w:rFonts w:eastAsia="Calibri"/>
          <w:szCs w:val="28"/>
        </w:rPr>
      </w:r>
    </w:p>
    <w:p>
      <w:pPr>
        <w:pStyle w:val="Normal"/>
        <w:jc w:val="right"/>
        <w:rPr/>
      </w:pPr>
      <w:r>
        <w:rPr/>
        <w:t xml:space="preserve">Таблица </w:t>
      </w:r>
      <w:r>
        <w:rPr>
          <w:rFonts w:eastAsia="Calibri"/>
          <w:szCs w:val="28"/>
          <w:lang w:eastAsia="en-US"/>
        </w:rPr>
        <w:t>3.12</w:t>
      </w:r>
      <w:r>
        <w:rPr/>
        <w:t>.3</w:t>
      </w:r>
    </w:p>
    <w:p>
      <w:pPr>
        <w:pStyle w:val="Normal"/>
        <w:ind w:hanging="0"/>
        <w:jc w:val="center"/>
        <w:rPr>
          <w:rFonts w:eastAsia="Calibri"/>
          <w:szCs w:val="28"/>
        </w:rPr>
      </w:pPr>
      <w:r>
        <w:rPr>
          <w:rFonts w:eastAsia="Calibri"/>
          <w:szCs w:val="28"/>
        </w:rPr>
        <w:t xml:space="preserve">Перечень мероприятий по </w:t>
      </w:r>
      <w:r>
        <w:rPr/>
        <w:t xml:space="preserve">санитарной очистке территорий </w:t>
      </w:r>
      <w:r>
        <w:rPr>
          <w:rFonts w:eastAsia="Calibri"/>
          <w:szCs w:val="28"/>
        </w:rPr>
        <w:t xml:space="preserve">населенных пунктов, входящих в состав </w:t>
      </w:r>
    </w:p>
    <w:p>
      <w:pPr>
        <w:pStyle w:val="Normal"/>
        <w:ind w:hanging="0"/>
        <w:jc w:val="center"/>
        <w:rPr>
          <w:rFonts w:eastAsia="Calibri"/>
          <w:szCs w:val="28"/>
        </w:rPr>
      </w:pPr>
      <w:r>
        <w:rPr>
          <w:rFonts w:eastAsia="Calibri"/>
          <w:szCs w:val="28"/>
        </w:rPr>
        <w:t>Вахитовского сельского поселения Верхнеуслонского муниципального района Республики Татарстан</w:t>
      </w:r>
    </w:p>
    <w:tbl>
      <w:tblPr>
        <w:tblW w:w="5000" w:type="pct"/>
        <w:jc w:val="left"/>
        <w:tblInd w:w="-113" w:type="dxa"/>
        <w:tblLayout w:type="fixed"/>
        <w:tblCellMar>
          <w:top w:w="0" w:type="dxa"/>
          <w:left w:w="108" w:type="dxa"/>
          <w:bottom w:w="0" w:type="dxa"/>
          <w:right w:w="108" w:type="dxa"/>
        </w:tblCellMar>
        <w:tblLook w:noVBand="1" w:val="04a0" w:noHBand="0" w:lastColumn="0" w:firstColumn="1" w:lastRow="0" w:firstRow="1"/>
      </w:tblPr>
      <w:tblGrid>
        <w:gridCol w:w="579"/>
        <w:gridCol w:w="2385"/>
        <w:gridCol w:w="2071"/>
        <w:gridCol w:w="2230"/>
        <w:gridCol w:w="1548"/>
        <w:gridCol w:w="1310"/>
        <w:gridCol w:w="1263"/>
        <w:gridCol w:w="1319"/>
        <w:gridCol w:w="2146"/>
      </w:tblGrid>
      <w:tr>
        <w:trPr>
          <w:tblHeader w:val="true"/>
          <w:cantSplit w:val="true"/>
        </w:trPr>
        <w:tc>
          <w:tcPr>
            <w:tcW w:w="57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bookmarkStart w:id="81" w:name="_Toc383615872"/>
            <w:bookmarkEnd w:id="81"/>
            <w:r>
              <w:rPr>
                <w:sz w:val="20"/>
                <w:szCs w:val="20"/>
              </w:rPr>
              <w:t xml:space="preserve">№ </w:t>
            </w:r>
            <w:r>
              <w:rPr>
                <w:sz w:val="20"/>
                <w:szCs w:val="20"/>
              </w:rPr>
              <w:t>п/п</w:t>
            </w:r>
          </w:p>
        </w:tc>
        <w:tc>
          <w:tcPr>
            <w:tcW w:w="238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Местоположение</w:t>
            </w:r>
          </w:p>
        </w:tc>
        <w:tc>
          <w:tcPr>
            <w:tcW w:w="207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Наименование объекта</w:t>
            </w:r>
          </w:p>
        </w:tc>
        <w:tc>
          <w:tcPr>
            <w:tcW w:w="223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Вид мероприятия</w:t>
            </w:r>
          </w:p>
        </w:tc>
        <w:tc>
          <w:tcPr>
            <w:tcW w:w="154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Ед. измерения</w:t>
            </w:r>
          </w:p>
        </w:tc>
        <w:tc>
          <w:tcPr>
            <w:tcW w:w="131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Мощность</w:t>
            </w:r>
          </w:p>
        </w:tc>
        <w:tc>
          <w:tcPr>
            <w:tcW w:w="2582"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Сроки реализации</w:t>
            </w:r>
          </w:p>
        </w:tc>
        <w:tc>
          <w:tcPr>
            <w:tcW w:w="214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Источник мероприятия</w:t>
            </w:r>
          </w:p>
        </w:tc>
      </w:tr>
      <w:tr>
        <w:trPr>
          <w:tblHeader w:val="true"/>
          <w:cantSplit w:val="true"/>
        </w:trPr>
        <w:tc>
          <w:tcPr>
            <w:tcW w:w="5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left"/>
              <w:rPr>
                <w:sz w:val="20"/>
                <w:szCs w:val="20"/>
              </w:rPr>
            </w:pPr>
            <w:r>
              <w:rPr>
                <w:sz w:val="20"/>
                <w:szCs w:val="20"/>
              </w:rPr>
            </w:r>
          </w:p>
        </w:tc>
        <w:tc>
          <w:tcPr>
            <w:tcW w:w="238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left"/>
              <w:rPr>
                <w:sz w:val="20"/>
                <w:szCs w:val="20"/>
              </w:rPr>
            </w:pPr>
            <w:r>
              <w:rPr>
                <w:sz w:val="20"/>
                <w:szCs w:val="20"/>
              </w:rPr>
            </w:r>
          </w:p>
        </w:tc>
        <w:tc>
          <w:tcPr>
            <w:tcW w:w="207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left"/>
              <w:rPr>
                <w:sz w:val="20"/>
                <w:szCs w:val="20"/>
              </w:rPr>
            </w:pPr>
            <w:r>
              <w:rPr>
                <w:sz w:val="20"/>
                <w:szCs w:val="20"/>
              </w:rPr>
            </w:r>
          </w:p>
        </w:tc>
        <w:tc>
          <w:tcPr>
            <w:tcW w:w="223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left"/>
              <w:rPr>
                <w:sz w:val="20"/>
                <w:szCs w:val="20"/>
              </w:rPr>
            </w:pPr>
            <w:r>
              <w:rPr>
                <w:sz w:val="20"/>
                <w:szCs w:val="20"/>
              </w:rPr>
            </w:r>
          </w:p>
        </w:tc>
        <w:tc>
          <w:tcPr>
            <w:tcW w:w="15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left"/>
              <w:rPr>
                <w:sz w:val="20"/>
                <w:szCs w:val="20"/>
              </w:rPr>
            </w:pPr>
            <w:r>
              <w:rPr>
                <w:sz w:val="20"/>
                <w:szCs w:val="20"/>
              </w:rPr>
            </w:r>
          </w:p>
        </w:tc>
        <w:tc>
          <w:tcPr>
            <w:tcW w:w="131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left"/>
              <w:rPr>
                <w:sz w:val="20"/>
                <w:szCs w:val="20"/>
              </w:rPr>
            </w:pPr>
            <w:r>
              <w:rPr>
                <w:sz w:val="20"/>
                <w:szCs w:val="20"/>
              </w:rPr>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Первая очередь (до 2032 г.)</w:t>
            </w:r>
          </w:p>
        </w:tc>
        <w:tc>
          <w:tcPr>
            <w:tcW w:w="13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Расчетный срок</w:t>
            </w:r>
          </w:p>
          <w:p>
            <w:pPr>
              <w:pStyle w:val="Normal"/>
              <w:widowControl w:val="false"/>
              <w:ind w:hanging="0"/>
              <w:jc w:val="center"/>
              <w:rPr>
                <w:sz w:val="20"/>
                <w:szCs w:val="20"/>
              </w:rPr>
            </w:pPr>
            <w:r>
              <w:rPr>
                <w:sz w:val="20"/>
                <w:szCs w:val="20"/>
              </w:rPr>
              <w:t xml:space="preserve"> </w:t>
            </w:r>
            <w:r>
              <w:rPr>
                <w:sz w:val="20"/>
                <w:szCs w:val="20"/>
              </w:rPr>
              <w:t>(2033-2047 гг.)</w:t>
            </w:r>
          </w:p>
        </w:tc>
        <w:tc>
          <w:tcPr>
            <w:tcW w:w="21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left"/>
              <w:rPr>
                <w:sz w:val="20"/>
                <w:szCs w:val="20"/>
              </w:rPr>
            </w:pPr>
            <w:r>
              <w:rPr>
                <w:sz w:val="20"/>
                <w:szCs w:val="20"/>
              </w:rPr>
            </w:r>
          </w:p>
        </w:tc>
      </w:tr>
      <w:tr>
        <w:trPr>
          <w:tblHeader w:val="true"/>
          <w:cantSplit w:val="true"/>
        </w:trPr>
        <w:tc>
          <w:tcPr>
            <w:tcW w:w="14851" w:type="dxa"/>
            <w:gridSpan w:val="9"/>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b/>
                <w:sz w:val="20"/>
                <w:szCs w:val="20"/>
              </w:rPr>
            </w:pPr>
            <w:r>
              <w:rPr>
                <w:caps/>
                <w:sz w:val="20"/>
                <w:szCs w:val="20"/>
              </w:rPr>
              <w:t>МЕРОПРИЯТИЯ Местного (районного) значения</w:t>
            </w:r>
          </w:p>
        </w:tc>
      </w:tr>
      <w:tr>
        <w:trPr>
          <w:cantSplit w:val="true"/>
        </w:trPr>
        <w:tc>
          <w:tcPr>
            <w:tcW w:w="5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1</w:t>
            </w:r>
          </w:p>
        </w:tc>
        <w:tc>
          <w:tcPr>
            <w:tcW w:w="23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6"/>
              </w:numPr>
              <w:tabs>
                <w:tab w:val="clear" w:pos="709"/>
                <w:tab w:val="left" w:pos="351" w:leader="none"/>
              </w:tabs>
              <w:jc w:val="center"/>
              <w:rPr>
                <w:sz w:val="20"/>
                <w:szCs w:val="20"/>
              </w:rPr>
            </w:pPr>
            <w:r>
              <w:rPr>
                <w:sz w:val="20"/>
                <w:szCs w:val="20"/>
              </w:rPr>
              <w:t>Территория сельского поселения</w:t>
            </w:r>
          </w:p>
        </w:tc>
        <w:tc>
          <w:tcPr>
            <w:tcW w:w="20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Планово-регулярная санитарная очистка территории</w:t>
            </w:r>
          </w:p>
        </w:tc>
        <w:tc>
          <w:tcPr>
            <w:tcW w:w="22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Организационное</w:t>
            </w:r>
          </w:p>
        </w:tc>
        <w:tc>
          <w:tcPr>
            <w:tcW w:w="15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шт.</w:t>
            </w:r>
          </w:p>
        </w:tc>
        <w:tc>
          <w:tcPr>
            <w:tcW w:w="13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1</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b/>
                <w:sz w:val="20"/>
                <w:szCs w:val="20"/>
              </w:rPr>
              <w:t>+</w:t>
            </w:r>
          </w:p>
        </w:tc>
        <w:tc>
          <w:tcPr>
            <w:tcW w:w="13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b/>
                <w:sz w:val="20"/>
                <w:szCs w:val="20"/>
              </w:rPr>
            </w:pPr>
            <w:r>
              <w:rPr>
                <w:b/>
                <w:sz w:val="20"/>
                <w:szCs w:val="20"/>
              </w:rPr>
              <w:t>+</w:t>
            </w:r>
          </w:p>
        </w:tc>
        <w:tc>
          <w:tcPr>
            <w:tcW w:w="2146" w:type="dxa"/>
            <w:tcBorders>
              <w:top w:val="single" w:sz="4" w:space="0" w:color="000000"/>
              <w:left w:val="single" w:sz="4" w:space="0" w:color="000000"/>
              <w:bottom w:val="single" w:sz="4" w:space="0" w:color="000000"/>
              <w:right w:val="single" w:sz="4" w:space="0" w:color="000000"/>
            </w:tcBorders>
          </w:tcPr>
          <w:p>
            <w:pPr>
              <w:pStyle w:val="Normal"/>
              <w:widowControl w:val="false"/>
              <w:ind w:hanging="0"/>
              <w:jc w:val="center"/>
              <w:rPr>
                <w:sz w:val="20"/>
                <w:szCs w:val="20"/>
              </w:rPr>
            </w:pPr>
            <w:r>
              <w:rPr>
                <w:color w:val="000000"/>
                <w:sz w:val="20"/>
                <w:szCs w:val="20"/>
              </w:rPr>
              <w:t>Генеральный план Вахитовского СП</w:t>
            </w:r>
          </w:p>
        </w:tc>
      </w:tr>
      <w:tr>
        <w:trPr>
          <w:trHeight w:val="339" w:hRule="atLeast"/>
          <w:cantSplit w:val="true"/>
        </w:trPr>
        <w:tc>
          <w:tcPr>
            <w:tcW w:w="5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2</w:t>
            </w:r>
          </w:p>
        </w:tc>
        <w:tc>
          <w:tcPr>
            <w:tcW w:w="23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6"/>
              </w:numPr>
              <w:tabs>
                <w:tab w:val="clear" w:pos="709"/>
                <w:tab w:val="left" w:pos="351" w:leader="none"/>
              </w:tabs>
              <w:jc w:val="center"/>
              <w:rPr>
                <w:sz w:val="20"/>
                <w:szCs w:val="20"/>
              </w:rPr>
            </w:pPr>
            <w:r>
              <w:rPr>
                <w:sz w:val="20"/>
                <w:szCs w:val="20"/>
              </w:rPr>
              <w:t>Территория сельского поселения</w:t>
            </w:r>
          </w:p>
        </w:tc>
        <w:tc>
          <w:tcPr>
            <w:tcW w:w="20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Контейнеры</w:t>
            </w:r>
          </w:p>
        </w:tc>
        <w:tc>
          <w:tcPr>
            <w:tcW w:w="22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Организационное</w:t>
            </w:r>
          </w:p>
        </w:tc>
        <w:tc>
          <w:tcPr>
            <w:tcW w:w="15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6"/>
              <w:jc w:val="center"/>
              <w:rPr>
                <w:sz w:val="20"/>
                <w:szCs w:val="20"/>
              </w:rPr>
            </w:pPr>
            <w:r>
              <w:rPr>
                <w:sz w:val="20"/>
                <w:szCs w:val="20"/>
              </w:rPr>
              <w:t>шт.</w:t>
            </w:r>
          </w:p>
        </w:tc>
        <w:tc>
          <w:tcPr>
            <w:tcW w:w="13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24</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b/>
                <w:sz w:val="20"/>
                <w:szCs w:val="20"/>
              </w:rPr>
            </w:pPr>
            <w:r>
              <w:rPr>
                <w:b/>
                <w:sz w:val="20"/>
                <w:szCs w:val="20"/>
              </w:rPr>
              <w:t>+</w:t>
            </w:r>
          </w:p>
        </w:tc>
        <w:tc>
          <w:tcPr>
            <w:tcW w:w="13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b/>
                <w:sz w:val="20"/>
                <w:szCs w:val="20"/>
              </w:rPr>
            </w:pPr>
            <w:r>
              <w:rPr>
                <w:b/>
                <w:sz w:val="20"/>
                <w:szCs w:val="20"/>
              </w:rPr>
              <w:t>+</w:t>
            </w:r>
          </w:p>
        </w:tc>
        <w:tc>
          <w:tcPr>
            <w:tcW w:w="2146" w:type="dxa"/>
            <w:tcBorders>
              <w:top w:val="single" w:sz="4" w:space="0" w:color="000000"/>
              <w:left w:val="single" w:sz="4" w:space="0" w:color="000000"/>
              <w:bottom w:val="single" w:sz="4" w:space="0" w:color="000000"/>
              <w:right w:val="single" w:sz="4" w:space="0" w:color="000000"/>
            </w:tcBorders>
          </w:tcPr>
          <w:p>
            <w:pPr>
              <w:pStyle w:val="Normal"/>
              <w:widowControl w:val="false"/>
              <w:ind w:hanging="0"/>
              <w:jc w:val="center"/>
              <w:rPr>
                <w:sz w:val="20"/>
                <w:szCs w:val="20"/>
              </w:rPr>
            </w:pPr>
            <w:r>
              <w:rPr>
                <w:color w:val="000000"/>
                <w:sz w:val="20"/>
                <w:szCs w:val="20"/>
              </w:rPr>
              <w:t>Генеральный план Вахитовского СП</w:t>
            </w:r>
          </w:p>
        </w:tc>
      </w:tr>
    </w:tbl>
    <w:p>
      <w:pPr>
        <w:pStyle w:val="Normal"/>
        <w:ind w:hanging="0"/>
        <w:rPr>
          <w:szCs w:val="28"/>
        </w:rPr>
      </w:pPr>
      <w:r>
        <w:rPr>
          <w:szCs w:val="28"/>
        </w:rPr>
      </w:r>
      <w:bookmarkStart w:id="82" w:name="_Toc383615873"/>
      <w:bookmarkStart w:id="83" w:name="_Toc383615873"/>
      <w:bookmarkEnd w:id="83"/>
    </w:p>
    <w:p>
      <w:pPr>
        <w:pStyle w:val="Normal"/>
        <w:ind w:hanging="0"/>
        <w:rPr>
          <w:szCs w:val="28"/>
        </w:rPr>
      </w:pPr>
      <w:r>
        <w:rPr>
          <w:szCs w:val="28"/>
        </w:rPr>
      </w:r>
      <w:bookmarkStart w:id="84" w:name="_Toc383615873"/>
      <w:bookmarkStart w:id="85" w:name="_Toc383615873"/>
      <w:bookmarkEnd w:id="85"/>
    </w:p>
    <w:p>
      <w:pPr>
        <w:pStyle w:val="Normal"/>
        <w:jc w:val="right"/>
        <w:rPr>
          <w:szCs w:val="28"/>
        </w:rPr>
      </w:pPr>
      <w:r>
        <w:rPr>
          <w:szCs w:val="28"/>
        </w:rPr>
        <w:t>Таблица 3.12.4</w:t>
      </w:r>
    </w:p>
    <w:p>
      <w:pPr>
        <w:pStyle w:val="Normal"/>
        <w:jc w:val="center"/>
        <w:rPr>
          <w:rFonts w:eastAsia="Calibri"/>
          <w:szCs w:val="28"/>
        </w:rPr>
      </w:pPr>
      <w:r>
        <w:rPr>
          <w:rFonts w:eastAsia="Calibri"/>
          <w:szCs w:val="28"/>
        </w:rPr>
        <w:t xml:space="preserve">Перечень мероприятий </w:t>
      </w:r>
      <w:r>
        <w:rPr/>
        <w:t xml:space="preserve">по теплоснабжению </w:t>
      </w:r>
      <w:r>
        <w:rPr>
          <w:rFonts w:eastAsia="Calibri"/>
          <w:szCs w:val="28"/>
        </w:rPr>
        <w:t>населенных пунктов, входящих в состав Вахитовского сельского поселения Верхнеуслонского муниципального района Республики Татарстан</w:t>
      </w:r>
    </w:p>
    <w:tbl>
      <w:tblPr>
        <w:tblW w:w="5000" w:type="pct"/>
        <w:jc w:val="left"/>
        <w:tblInd w:w="-113" w:type="dxa"/>
        <w:tblLayout w:type="fixed"/>
        <w:tblCellMar>
          <w:top w:w="0" w:type="dxa"/>
          <w:left w:w="108" w:type="dxa"/>
          <w:bottom w:w="0" w:type="dxa"/>
          <w:right w:w="108" w:type="dxa"/>
        </w:tblCellMar>
        <w:tblLook w:noVBand="1" w:val="04a0" w:noHBand="0" w:lastColumn="0" w:firstColumn="1" w:lastRow="0" w:firstRow="1"/>
      </w:tblPr>
      <w:tblGrid>
        <w:gridCol w:w="558"/>
        <w:gridCol w:w="2365"/>
        <w:gridCol w:w="2224"/>
        <w:gridCol w:w="2211"/>
        <w:gridCol w:w="1530"/>
        <w:gridCol w:w="1292"/>
        <w:gridCol w:w="1244"/>
        <w:gridCol w:w="1301"/>
        <w:gridCol w:w="2126"/>
      </w:tblGrid>
      <w:tr>
        <w:trPr>
          <w:tblHeader w:val="true"/>
          <w:cantSplit w:val="true"/>
        </w:trPr>
        <w:tc>
          <w:tcPr>
            <w:tcW w:w="55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 xml:space="preserve">№ </w:t>
            </w:r>
            <w:r>
              <w:rPr>
                <w:sz w:val="20"/>
                <w:szCs w:val="20"/>
              </w:rPr>
              <w:t>п/п</w:t>
            </w:r>
          </w:p>
        </w:tc>
        <w:tc>
          <w:tcPr>
            <w:tcW w:w="236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Местоположение</w:t>
            </w:r>
          </w:p>
        </w:tc>
        <w:tc>
          <w:tcPr>
            <w:tcW w:w="222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Наименование объекта</w:t>
            </w:r>
          </w:p>
        </w:tc>
        <w:tc>
          <w:tcPr>
            <w:tcW w:w="221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Вид мероприятия</w:t>
            </w:r>
          </w:p>
        </w:tc>
        <w:tc>
          <w:tcPr>
            <w:tcW w:w="153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Ед. измерения</w:t>
            </w:r>
          </w:p>
        </w:tc>
        <w:tc>
          <w:tcPr>
            <w:tcW w:w="129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Мощность</w:t>
            </w:r>
          </w:p>
        </w:tc>
        <w:tc>
          <w:tcPr>
            <w:tcW w:w="2545"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Сроки реализации</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Источник мероприятия</w:t>
            </w:r>
          </w:p>
        </w:tc>
      </w:tr>
      <w:tr>
        <w:trPr>
          <w:tblHeader w:val="true"/>
          <w:cantSplit w:val="true"/>
        </w:trPr>
        <w:tc>
          <w:tcPr>
            <w:tcW w:w="55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left"/>
              <w:rPr>
                <w:sz w:val="20"/>
                <w:szCs w:val="20"/>
              </w:rPr>
            </w:pPr>
            <w:r>
              <w:rPr>
                <w:sz w:val="20"/>
                <w:szCs w:val="20"/>
              </w:rPr>
            </w:r>
          </w:p>
        </w:tc>
        <w:tc>
          <w:tcPr>
            <w:tcW w:w="23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left"/>
              <w:rPr>
                <w:sz w:val="20"/>
                <w:szCs w:val="20"/>
              </w:rPr>
            </w:pPr>
            <w:r>
              <w:rPr>
                <w:sz w:val="20"/>
                <w:szCs w:val="20"/>
              </w:rPr>
            </w:r>
          </w:p>
        </w:tc>
        <w:tc>
          <w:tcPr>
            <w:tcW w:w="222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left"/>
              <w:rPr>
                <w:sz w:val="20"/>
                <w:szCs w:val="20"/>
              </w:rPr>
            </w:pPr>
            <w:r>
              <w:rPr>
                <w:sz w:val="20"/>
                <w:szCs w:val="20"/>
              </w:rPr>
            </w:r>
          </w:p>
        </w:tc>
        <w:tc>
          <w:tcPr>
            <w:tcW w:w="22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left"/>
              <w:rPr>
                <w:sz w:val="20"/>
                <w:szCs w:val="20"/>
              </w:rPr>
            </w:pPr>
            <w:r>
              <w:rPr>
                <w:sz w:val="20"/>
                <w:szCs w:val="20"/>
              </w:rPr>
            </w:r>
          </w:p>
        </w:tc>
        <w:tc>
          <w:tcPr>
            <w:tcW w:w="153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left"/>
              <w:rPr>
                <w:sz w:val="20"/>
                <w:szCs w:val="20"/>
              </w:rPr>
            </w:pPr>
            <w:r>
              <w:rPr>
                <w:sz w:val="20"/>
                <w:szCs w:val="20"/>
              </w:rPr>
            </w:r>
          </w:p>
        </w:tc>
        <w:tc>
          <w:tcPr>
            <w:tcW w:w="12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left"/>
              <w:rPr>
                <w:sz w:val="20"/>
                <w:szCs w:val="20"/>
              </w:rPr>
            </w:pPr>
            <w:r>
              <w:rPr>
                <w:sz w:val="20"/>
                <w:szCs w:val="20"/>
              </w:rPr>
            </w:r>
          </w:p>
        </w:tc>
        <w:tc>
          <w:tcPr>
            <w:tcW w:w="1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Первая очередь (до 2030 г.)</w:t>
            </w:r>
          </w:p>
        </w:tc>
        <w:tc>
          <w:tcPr>
            <w:tcW w:w="13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Расчетный срок</w:t>
            </w:r>
          </w:p>
          <w:p>
            <w:pPr>
              <w:pStyle w:val="Normal"/>
              <w:widowControl w:val="false"/>
              <w:ind w:hanging="0"/>
              <w:jc w:val="center"/>
              <w:rPr>
                <w:sz w:val="20"/>
                <w:szCs w:val="20"/>
              </w:rPr>
            </w:pPr>
            <w:r>
              <w:rPr>
                <w:sz w:val="20"/>
                <w:szCs w:val="20"/>
              </w:rPr>
              <w:t xml:space="preserve"> </w:t>
            </w:r>
            <w:r>
              <w:rPr>
                <w:sz w:val="20"/>
                <w:szCs w:val="20"/>
              </w:rPr>
              <w:t>(2031-2045 гг.)</w:t>
            </w:r>
          </w:p>
        </w:tc>
        <w:tc>
          <w:tcPr>
            <w:tcW w:w="21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left"/>
              <w:rPr>
                <w:sz w:val="20"/>
                <w:szCs w:val="20"/>
              </w:rPr>
            </w:pPr>
            <w:r>
              <w:rPr>
                <w:sz w:val="20"/>
                <w:szCs w:val="20"/>
              </w:rPr>
            </w:r>
          </w:p>
        </w:tc>
      </w:tr>
      <w:tr>
        <w:trPr>
          <w:tblHeader w:val="true"/>
          <w:cantSplit w:val="true"/>
        </w:trPr>
        <w:tc>
          <w:tcPr>
            <w:tcW w:w="14851" w:type="dxa"/>
            <w:gridSpan w:val="9"/>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b/>
                <w:sz w:val="20"/>
                <w:szCs w:val="20"/>
              </w:rPr>
            </w:pPr>
            <w:r>
              <w:rPr>
                <w:caps/>
                <w:sz w:val="20"/>
                <w:szCs w:val="20"/>
              </w:rPr>
              <w:t>МЕРОПРИЯТИЯ Местного (районного) значения</w:t>
            </w:r>
          </w:p>
        </w:tc>
      </w:tr>
      <w:tr>
        <w:trPr>
          <w:cantSplit w:val="true"/>
        </w:trPr>
        <w:tc>
          <w:tcPr>
            <w:tcW w:w="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1</w:t>
            </w:r>
          </w:p>
        </w:tc>
        <w:tc>
          <w:tcPr>
            <w:tcW w:w="23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6"/>
              </w:numPr>
              <w:tabs>
                <w:tab w:val="clear" w:pos="709"/>
                <w:tab w:val="left" w:pos="351" w:leader="none"/>
              </w:tabs>
              <w:jc w:val="center"/>
              <w:rPr>
                <w:sz w:val="20"/>
                <w:szCs w:val="20"/>
              </w:rPr>
            </w:pPr>
            <w:r>
              <w:rPr>
                <w:sz w:val="20"/>
                <w:szCs w:val="20"/>
              </w:rPr>
              <w:t>п.Бакча-Сарай</w:t>
            </w:r>
          </w:p>
        </w:tc>
        <w:tc>
          <w:tcPr>
            <w:tcW w:w="22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rFonts w:eastAsia="Calibri"/>
                <w:sz w:val="20"/>
                <w:szCs w:val="20"/>
                <w:lang w:eastAsia="en-US"/>
              </w:rPr>
              <w:t>БМК для общественного центра</w:t>
            </w:r>
          </w:p>
        </w:tc>
        <w:tc>
          <w:tcPr>
            <w:tcW w:w="22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rFonts w:eastAsia="Calibri"/>
                <w:sz w:val="20"/>
                <w:szCs w:val="20"/>
                <w:lang w:eastAsia="en-US"/>
              </w:rPr>
              <w:t>Новое строительство</w:t>
            </w:r>
          </w:p>
        </w:tc>
        <w:tc>
          <w:tcPr>
            <w:tcW w:w="15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rFonts w:eastAsia="Calibri"/>
                <w:sz w:val="20"/>
                <w:szCs w:val="20"/>
                <w:lang w:eastAsia="en-US"/>
              </w:rPr>
              <w:t>объект</w:t>
            </w:r>
          </w:p>
        </w:tc>
        <w:tc>
          <w:tcPr>
            <w:tcW w:w="12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1</w:t>
            </w:r>
          </w:p>
        </w:tc>
        <w:tc>
          <w:tcPr>
            <w:tcW w:w="1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rFonts w:eastAsia="Calibri"/>
                <w:b/>
                <w:sz w:val="20"/>
                <w:szCs w:val="20"/>
                <w:lang w:eastAsia="en-US"/>
              </w:rPr>
              <w:t>+</w:t>
            </w:r>
          </w:p>
        </w:tc>
        <w:tc>
          <w:tcPr>
            <w:tcW w:w="13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b/>
                <w:sz w:val="20"/>
                <w:szCs w:val="20"/>
              </w:rPr>
            </w:pPr>
            <w:r>
              <w:rPr>
                <w:rFonts w:eastAsia="Calibri"/>
                <w:b/>
                <w:sz w:val="20"/>
                <w:szCs w:val="20"/>
                <w:lang w:eastAsia="en-US"/>
              </w:rPr>
              <w:t>+</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color w:val="000000"/>
                <w:sz w:val="20"/>
                <w:szCs w:val="20"/>
              </w:rPr>
              <w:t>Генеральный план Вахитовского СП</w:t>
            </w:r>
          </w:p>
        </w:tc>
      </w:tr>
    </w:tbl>
    <w:p>
      <w:pPr>
        <w:pStyle w:val="Normal"/>
        <w:ind w:hanging="0"/>
        <w:rPr>
          <w:szCs w:val="28"/>
        </w:rPr>
      </w:pPr>
      <w:r>
        <w:rPr>
          <w:szCs w:val="28"/>
        </w:rPr>
      </w:r>
    </w:p>
    <w:p>
      <w:pPr>
        <w:pStyle w:val="Normal"/>
        <w:ind w:hanging="0"/>
        <w:rPr>
          <w:szCs w:val="28"/>
        </w:rPr>
      </w:pPr>
      <w:r>
        <w:rPr>
          <w:szCs w:val="28"/>
        </w:rPr>
      </w:r>
    </w:p>
    <w:p>
      <w:pPr>
        <w:pStyle w:val="Normal"/>
        <w:ind w:hanging="0"/>
        <w:rPr>
          <w:szCs w:val="28"/>
        </w:rPr>
      </w:pPr>
      <w:r>
        <w:rPr>
          <w:szCs w:val="28"/>
        </w:rPr>
      </w:r>
    </w:p>
    <w:p>
      <w:pPr>
        <w:pStyle w:val="Normal"/>
        <w:ind w:hanging="0"/>
        <w:rPr>
          <w:szCs w:val="28"/>
        </w:rPr>
      </w:pPr>
      <w:r>
        <w:rPr>
          <w:szCs w:val="28"/>
        </w:rPr>
      </w:r>
    </w:p>
    <w:p>
      <w:pPr>
        <w:pStyle w:val="Normal"/>
        <w:ind w:hanging="0"/>
        <w:rPr>
          <w:szCs w:val="28"/>
        </w:rPr>
      </w:pPr>
      <w:r>
        <w:rPr>
          <w:szCs w:val="28"/>
        </w:rPr>
      </w:r>
    </w:p>
    <w:p>
      <w:pPr>
        <w:pStyle w:val="Normal"/>
        <w:ind w:hanging="0"/>
        <w:rPr>
          <w:szCs w:val="28"/>
        </w:rPr>
      </w:pPr>
      <w:r>
        <w:rPr>
          <w:szCs w:val="28"/>
        </w:rPr>
      </w:r>
    </w:p>
    <w:p>
      <w:pPr>
        <w:pStyle w:val="Normal"/>
        <w:ind w:hanging="0"/>
        <w:rPr>
          <w:szCs w:val="28"/>
        </w:rPr>
      </w:pPr>
      <w:r>
        <w:rPr>
          <w:szCs w:val="28"/>
        </w:rPr>
      </w:r>
    </w:p>
    <w:p>
      <w:pPr>
        <w:pStyle w:val="Normal"/>
        <w:ind w:hanging="0"/>
        <w:rPr>
          <w:szCs w:val="28"/>
        </w:rPr>
      </w:pPr>
      <w:r>
        <w:rPr>
          <w:szCs w:val="28"/>
        </w:rPr>
      </w:r>
    </w:p>
    <w:p>
      <w:pPr>
        <w:pStyle w:val="Normal"/>
        <w:jc w:val="right"/>
        <w:rPr>
          <w:szCs w:val="28"/>
        </w:rPr>
      </w:pPr>
      <w:r>
        <w:rPr>
          <w:szCs w:val="28"/>
        </w:rPr>
        <w:t>Таблица 3.12.5</w:t>
      </w:r>
    </w:p>
    <w:p>
      <w:pPr>
        <w:pStyle w:val="Normal"/>
        <w:jc w:val="center"/>
        <w:rPr>
          <w:rFonts w:eastAsia="Calibri"/>
          <w:szCs w:val="28"/>
        </w:rPr>
      </w:pPr>
      <w:r>
        <w:rPr>
          <w:rFonts w:eastAsia="Calibri"/>
          <w:szCs w:val="28"/>
        </w:rPr>
        <w:t xml:space="preserve">Перечень мероприятий </w:t>
      </w:r>
      <w:r>
        <w:rPr/>
        <w:t xml:space="preserve">по газоснабжению </w:t>
      </w:r>
      <w:r>
        <w:rPr>
          <w:rFonts w:eastAsia="Calibri"/>
          <w:szCs w:val="28"/>
        </w:rPr>
        <w:t>населенных пунктов, входящих в состав Вахитовского сельского поселения Верхнеуслонского муниципального района Республики Татарстан</w:t>
      </w:r>
    </w:p>
    <w:tbl>
      <w:tblPr>
        <w:tblW w:w="5000" w:type="pct"/>
        <w:jc w:val="left"/>
        <w:tblInd w:w="-113" w:type="dxa"/>
        <w:tblLayout w:type="fixed"/>
        <w:tblCellMar>
          <w:top w:w="0" w:type="dxa"/>
          <w:left w:w="108" w:type="dxa"/>
          <w:bottom w:w="0" w:type="dxa"/>
          <w:right w:w="108" w:type="dxa"/>
        </w:tblCellMar>
        <w:tblLook w:noVBand="1" w:val="04a0" w:noHBand="0" w:lastColumn="0" w:firstColumn="1" w:lastRow="0" w:firstRow="1"/>
      </w:tblPr>
      <w:tblGrid>
        <w:gridCol w:w="558"/>
        <w:gridCol w:w="2365"/>
        <w:gridCol w:w="2224"/>
        <w:gridCol w:w="2211"/>
        <w:gridCol w:w="1530"/>
        <w:gridCol w:w="1292"/>
        <w:gridCol w:w="1244"/>
        <w:gridCol w:w="1301"/>
        <w:gridCol w:w="2126"/>
      </w:tblGrid>
      <w:tr>
        <w:trPr>
          <w:tblHeader w:val="true"/>
          <w:cantSplit w:val="true"/>
        </w:trPr>
        <w:tc>
          <w:tcPr>
            <w:tcW w:w="55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 xml:space="preserve">№ </w:t>
            </w:r>
            <w:r>
              <w:rPr>
                <w:sz w:val="20"/>
                <w:szCs w:val="20"/>
              </w:rPr>
              <w:t>п/п</w:t>
            </w:r>
          </w:p>
        </w:tc>
        <w:tc>
          <w:tcPr>
            <w:tcW w:w="236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Местоположение</w:t>
            </w:r>
          </w:p>
        </w:tc>
        <w:tc>
          <w:tcPr>
            <w:tcW w:w="222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Наименование объекта</w:t>
            </w:r>
          </w:p>
        </w:tc>
        <w:tc>
          <w:tcPr>
            <w:tcW w:w="221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Вид мероприятия</w:t>
            </w:r>
          </w:p>
        </w:tc>
        <w:tc>
          <w:tcPr>
            <w:tcW w:w="153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Ед. измерения</w:t>
            </w:r>
          </w:p>
        </w:tc>
        <w:tc>
          <w:tcPr>
            <w:tcW w:w="129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Мощность</w:t>
            </w:r>
          </w:p>
        </w:tc>
        <w:tc>
          <w:tcPr>
            <w:tcW w:w="2545"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Сроки реализации</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Источник мероприятия</w:t>
            </w:r>
          </w:p>
        </w:tc>
      </w:tr>
      <w:tr>
        <w:trPr>
          <w:tblHeader w:val="true"/>
          <w:cantSplit w:val="true"/>
        </w:trPr>
        <w:tc>
          <w:tcPr>
            <w:tcW w:w="55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left"/>
              <w:rPr>
                <w:sz w:val="20"/>
                <w:szCs w:val="20"/>
              </w:rPr>
            </w:pPr>
            <w:r>
              <w:rPr>
                <w:sz w:val="20"/>
                <w:szCs w:val="20"/>
              </w:rPr>
            </w:r>
          </w:p>
        </w:tc>
        <w:tc>
          <w:tcPr>
            <w:tcW w:w="23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left"/>
              <w:rPr>
                <w:sz w:val="20"/>
                <w:szCs w:val="20"/>
              </w:rPr>
            </w:pPr>
            <w:r>
              <w:rPr>
                <w:sz w:val="20"/>
                <w:szCs w:val="20"/>
              </w:rPr>
            </w:r>
          </w:p>
        </w:tc>
        <w:tc>
          <w:tcPr>
            <w:tcW w:w="222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left"/>
              <w:rPr>
                <w:sz w:val="20"/>
                <w:szCs w:val="20"/>
              </w:rPr>
            </w:pPr>
            <w:r>
              <w:rPr>
                <w:sz w:val="20"/>
                <w:szCs w:val="20"/>
              </w:rPr>
            </w:r>
          </w:p>
        </w:tc>
        <w:tc>
          <w:tcPr>
            <w:tcW w:w="22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left"/>
              <w:rPr>
                <w:sz w:val="20"/>
                <w:szCs w:val="20"/>
              </w:rPr>
            </w:pPr>
            <w:r>
              <w:rPr>
                <w:sz w:val="20"/>
                <w:szCs w:val="20"/>
              </w:rPr>
            </w:r>
          </w:p>
        </w:tc>
        <w:tc>
          <w:tcPr>
            <w:tcW w:w="153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left"/>
              <w:rPr>
                <w:sz w:val="20"/>
                <w:szCs w:val="20"/>
              </w:rPr>
            </w:pPr>
            <w:r>
              <w:rPr>
                <w:sz w:val="20"/>
                <w:szCs w:val="20"/>
              </w:rPr>
            </w:r>
          </w:p>
        </w:tc>
        <w:tc>
          <w:tcPr>
            <w:tcW w:w="12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left"/>
              <w:rPr>
                <w:sz w:val="20"/>
                <w:szCs w:val="20"/>
              </w:rPr>
            </w:pPr>
            <w:r>
              <w:rPr>
                <w:sz w:val="20"/>
                <w:szCs w:val="20"/>
              </w:rPr>
            </w:r>
          </w:p>
        </w:tc>
        <w:tc>
          <w:tcPr>
            <w:tcW w:w="1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Первая очередь (до 2030 г.)</w:t>
            </w:r>
          </w:p>
        </w:tc>
        <w:tc>
          <w:tcPr>
            <w:tcW w:w="13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Расчетный срок</w:t>
            </w:r>
          </w:p>
          <w:p>
            <w:pPr>
              <w:pStyle w:val="Normal"/>
              <w:widowControl w:val="false"/>
              <w:ind w:hanging="0"/>
              <w:jc w:val="center"/>
              <w:rPr>
                <w:sz w:val="20"/>
                <w:szCs w:val="20"/>
              </w:rPr>
            </w:pPr>
            <w:r>
              <w:rPr>
                <w:sz w:val="20"/>
                <w:szCs w:val="20"/>
              </w:rPr>
              <w:t xml:space="preserve"> </w:t>
            </w:r>
            <w:r>
              <w:rPr>
                <w:sz w:val="20"/>
                <w:szCs w:val="20"/>
              </w:rPr>
              <w:t>(2031-2045 гг.)</w:t>
            </w:r>
          </w:p>
        </w:tc>
        <w:tc>
          <w:tcPr>
            <w:tcW w:w="21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left"/>
              <w:rPr>
                <w:sz w:val="20"/>
                <w:szCs w:val="20"/>
              </w:rPr>
            </w:pPr>
            <w:r>
              <w:rPr>
                <w:sz w:val="20"/>
                <w:szCs w:val="20"/>
              </w:rPr>
            </w:r>
          </w:p>
        </w:tc>
      </w:tr>
      <w:tr>
        <w:trPr>
          <w:tblHeader w:val="true"/>
          <w:cantSplit w:val="true"/>
        </w:trPr>
        <w:tc>
          <w:tcPr>
            <w:tcW w:w="14851" w:type="dxa"/>
            <w:gridSpan w:val="9"/>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b/>
                <w:sz w:val="20"/>
                <w:szCs w:val="20"/>
              </w:rPr>
            </w:pPr>
            <w:r>
              <w:rPr>
                <w:caps/>
                <w:sz w:val="20"/>
                <w:szCs w:val="20"/>
              </w:rPr>
              <w:t>МЕРОПРИЯТИЯ Местного (районного) значения</w:t>
            </w:r>
          </w:p>
        </w:tc>
      </w:tr>
      <w:tr>
        <w:trPr>
          <w:trHeight w:val="249" w:hRule="atLeast"/>
          <w:cantSplit w:val="true"/>
        </w:trPr>
        <w:tc>
          <w:tcPr>
            <w:tcW w:w="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hd w:val="clear" w:color="auto" w:fill="FFFFFF"/>
              <w:ind w:hanging="0"/>
              <w:jc w:val="center"/>
              <w:rPr>
                <w:color w:val="000000"/>
                <w:sz w:val="20"/>
                <w:szCs w:val="20"/>
              </w:rPr>
            </w:pPr>
            <w:r>
              <w:rPr>
                <w:color w:val="000000"/>
                <w:sz w:val="20"/>
                <w:szCs w:val="20"/>
              </w:rPr>
              <w:t>1</w:t>
            </w:r>
          </w:p>
        </w:tc>
        <w:tc>
          <w:tcPr>
            <w:tcW w:w="23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д.им. Мулланура Вахитова</w:t>
            </w:r>
          </w:p>
          <w:p>
            <w:pPr>
              <w:pStyle w:val="Normal"/>
              <w:widowControl w:val="false"/>
              <w:ind w:hanging="0"/>
              <w:jc w:val="center"/>
              <w:rPr>
                <w:color w:val="000000"/>
                <w:sz w:val="20"/>
                <w:szCs w:val="20"/>
              </w:rPr>
            </w:pPr>
            <w:r>
              <w:rPr>
                <w:color w:val="000000"/>
                <w:sz w:val="20"/>
                <w:szCs w:val="20"/>
              </w:rPr>
              <w:t>п.Бакча-Сарай</w:t>
            </w:r>
          </w:p>
          <w:p>
            <w:pPr>
              <w:pStyle w:val="Normal"/>
              <w:widowControl w:val="false"/>
              <w:ind w:hanging="0"/>
              <w:jc w:val="center"/>
              <w:rPr>
                <w:color w:val="000000"/>
                <w:sz w:val="20"/>
                <w:szCs w:val="20"/>
              </w:rPr>
            </w:pPr>
            <w:r>
              <w:rPr>
                <w:color w:val="000000"/>
                <w:sz w:val="20"/>
                <w:szCs w:val="20"/>
              </w:rPr>
              <w:t>с.Ташевка</w:t>
            </w:r>
          </w:p>
          <w:p>
            <w:pPr>
              <w:pStyle w:val="Normal"/>
              <w:widowControl w:val="false"/>
              <w:ind w:hanging="0"/>
              <w:jc w:val="center"/>
              <w:rPr>
                <w:color w:val="000000"/>
                <w:sz w:val="20"/>
                <w:szCs w:val="20"/>
              </w:rPr>
            </w:pPr>
            <w:r>
              <w:rPr>
                <w:color w:val="000000"/>
                <w:sz w:val="20"/>
                <w:szCs w:val="20"/>
              </w:rPr>
              <w:t>д.Ватан</w:t>
            </w:r>
          </w:p>
          <w:p>
            <w:pPr>
              <w:pStyle w:val="Normal"/>
              <w:widowControl w:val="false"/>
              <w:ind w:hanging="0"/>
              <w:jc w:val="center"/>
              <w:rPr>
                <w:color w:val="000000"/>
                <w:sz w:val="20"/>
                <w:szCs w:val="20"/>
              </w:rPr>
            </w:pPr>
            <w:r>
              <w:rPr>
                <w:color w:val="000000"/>
                <w:sz w:val="20"/>
                <w:szCs w:val="20"/>
              </w:rPr>
              <w:t>д.Гребени</w:t>
            </w:r>
          </w:p>
        </w:tc>
        <w:tc>
          <w:tcPr>
            <w:tcW w:w="22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hd w:val="clear" w:color="auto" w:fill="FFFFFF"/>
              <w:ind w:hanging="0"/>
              <w:jc w:val="center"/>
              <w:rPr>
                <w:color w:val="000000"/>
                <w:sz w:val="20"/>
                <w:szCs w:val="20"/>
              </w:rPr>
            </w:pPr>
            <w:r>
              <w:rPr>
                <w:color w:val="000000"/>
                <w:sz w:val="20"/>
                <w:szCs w:val="20"/>
              </w:rPr>
              <w:t>Сети газоснабжения низкого давления</w:t>
            </w:r>
          </w:p>
        </w:tc>
        <w:tc>
          <w:tcPr>
            <w:tcW w:w="22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hd w:val="clear" w:color="auto" w:fill="FFFFFF"/>
              <w:ind w:hanging="0"/>
              <w:jc w:val="center"/>
              <w:rPr>
                <w:color w:val="000000"/>
                <w:sz w:val="20"/>
                <w:szCs w:val="20"/>
              </w:rPr>
            </w:pPr>
            <w:r>
              <w:rPr>
                <w:color w:val="000000"/>
                <w:sz w:val="20"/>
                <w:szCs w:val="20"/>
              </w:rPr>
              <w:t>Новое строительство</w:t>
            </w:r>
          </w:p>
        </w:tc>
        <w:tc>
          <w:tcPr>
            <w:tcW w:w="15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hd w:val="clear" w:color="auto" w:fill="FFFFFF"/>
              <w:ind w:hanging="0"/>
              <w:jc w:val="center"/>
              <w:rPr>
                <w:color w:val="000000"/>
                <w:sz w:val="20"/>
                <w:szCs w:val="20"/>
              </w:rPr>
            </w:pPr>
            <w:r>
              <w:rPr>
                <w:color w:val="000000"/>
                <w:sz w:val="20"/>
                <w:szCs w:val="20"/>
              </w:rPr>
              <w:t>км</w:t>
            </w:r>
          </w:p>
        </w:tc>
        <w:tc>
          <w:tcPr>
            <w:tcW w:w="12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hd w:val="clear" w:color="auto" w:fill="FFFFFF"/>
              <w:ind w:hanging="0"/>
              <w:jc w:val="center"/>
              <w:rPr>
                <w:color w:val="000000"/>
                <w:sz w:val="20"/>
                <w:szCs w:val="20"/>
              </w:rPr>
            </w:pPr>
            <w:r>
              <w:rPr>
                <w:color w:val="000000"/>
                <w:sz w:val="20"/>
                <w:szCs w:val="20"/>
              </w:rPr>
              <w:t>-</w:t>
            </w:r>
          </w:p>
        </w:tc>
        <w:tc>
          <w:tcPr>
            <w:tcW w:w="1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hd w:val="clear" w:color="auto" w:fill="FFFFFF"/>
              <w:ind w:hanging="0"/>
              <w:jc w:val="center"/>
              <w:rPr>
                <w:b/>
                <w:color w:val="000000"/>
                <w:sz w:val="20"/>
                <w:szCs w:val="20"/>
              </w:rPr>
            </w:pPr>
            <w:r>
              <w:rPr>
                <w:b/>
                <w:color w:val="000000"/>
                <w:sz w:val="20"/>
                <w:szCs w:val="20"/>
              </w:rPr>
              <w:t>+</w:t>
            </w:r>
          </w:p>
        </w:tc>
        <w:tc>
          <w:tcPr>
            <w:tcW w:w="13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hd w:val="clear" w:color="auto" w:fill="FFFFFF"/>
              <w:ind w:hanging="0"/>
              <w:jc w:val="center"/>
              <w:rPr>
                <w:b/>
                <w:color w:val="000000"/>
                <w:sz w:val="20"/>
                <w:szCs w:val="20"/>
              </w:rPr>
            </w:pPr>
            <w:r>
              <w:rPr>
                <w:b/>
                <w:color w:val="000000"/>
                <w:sz w:val="20"/>
                <w:szCs w:val="20"/>
              </w:rPr>
              <w:t>-</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hd w:val="clear" w:color="auto" w:fill="FFFFFF"/>
              <w:ind w:hanging="0"/>
              <w:jc w:val="center"/>
              <w:rPr>
                <w:color w:val="000000"/>
              </w:rPr>
            </w:pPr>
            <w:r>
              <w:rPr>
                <w:color w:val="000000"/>
                <w:sz w:val="20"/>
                <w:szCs w:val="20"/>
              </w:rPr>
              <w:t>Генеральный план Вахитовского СП</w:t>
            </w:r>
          </w:p>
        </w:tc>
      </w:tr>
      <w:tr>
        <w:trPr>
          <w:trHeight w:val="249" w:hRule="atLeast"/>
          <w:cantSplit w:val="true"/>
        </w:trPr>
        <w:tc>
          <w:tcPr>
            <w:tcW w:w="5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hd w:val="clear" w:color="auto" w:fill="FFFFFF"/>
              <w:ind w:hanging="0"/>
              <w:jc w:val="center"/>
              <w:rPr>
                <w:color w:val="000000"/>
                <w:sz w:val="20"/>
                <w:szCs w:val="20"/>
              </w:rPr>
            </w:pPr>
            <w:r>
              <w:rPr>
                <w:color w:val="000000"/>
                <w:sz w:val="20"/>
                <w:szCs w:val="20"/>
              </w:rPr>
              <w:t>2</w:t>
            </w:r>
          </w:p>
        </w:tc>
        <w:tc>
          <w:tcPr>
            <w:tcW w:w="23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numPr>
                <w:ilvl w:val="0"/>
                <w:numId w:val="6"/>
              </w:numPr>
              <w:shd w:val="clear" w:color="auto" w:fill="FFFFFF"/>
              <w:tabs>
                <w:tab w:val="clear" w:pos="709"/>
                <w:tab w:val="left" w:pos="351" w:leader="none"/>
              </w:tabs>
              <w:jc w:val="center"/>
              <w:rPr>
                <w:color w:val="000000"/>
                <w:sz w:val="20"/>
                <w:szCs w:val="20"/>
              </w:rPr>
            </w:pPr>
            <w:r>
              <w:rPr>
                <w:color w:val="000000"/>
                <w:sz w:val="20"/>
                <w:szCs w:val="20"/>
              </w:rPr>
              <w:t>с.Ташевка</w:t>
            </w:r>
          </w:p>
        </w:tc>
        <w:tc>
          <w:tcPr>
            <w:tcW w:w="22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hd w:val="clear" w:color="auto" w:fill="FFFFFF"/>
              <w:ind w:hanging="0"/>
              <w:jc w:val="center"/>
              <w:rPr>
                <w:color w:val="000000"/>
                <w:sz w:val="20"/>
                <w:szCs w:val="20"/>
              </w:rPr>
            </w:pPr>
            <w:r>
              <w:rPr>
                <w:color w:val="000000"/>
                <w:sz w:val="20"/>
                <w:szCs w:val="20"/>
              </w:rPr>
              <w:t>Газорегуляторный пункт (ГРП)</w:t>
            </w:r>
          </w:p>
        </w:tc>
        <w:tc>
          <w:tcPr>
            <w:tcW w:w="22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hd w:val="clear" w:color="auto" w:fill="FFFFFF"/>
              <w:ind w:hanging="0"/>
              <w:jc w:val="center"/>
              <w:rPr>
                <w:color w:val="000000"/>
                <w:sz w:val="20"/>
                <w:szCs w:val="20"/>
              </w:rPr>
            </w:pPr>
            <w:r>
              <w:rPr>
                <w:color w:val="000000"/>
                <w:sz w:val="20"/>
                <w:szCs w:val="20"/>
              </w:rPr>
              <w:t>Новое строительство</w:t>
            </w:r>
          </w:p>
        </w:tc>
        <w:tc>
          <w:tcPr>
            <w:tcW w:w="15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hd w:val="clear" w:color="auto" w:fill="FFFFFF"/>
              <w:ind w:hanging="0"/>
              <w:jc w:val="center"/>
              <w:rPr>
                <w:color w:val="000000"/>
                <w:sz w:val="20"/>
                <w:szCs w:val="20"/>
              </w:rPr>
            </w:pPr>
            <w:r>
              <w:rPr>
                <w:color w:val="000000"/>
                <w:sz w:val="20"/>
                <w:szCs w:val="20"/>
              </w:rPr>
              <w:t>объект</w:t>
            </w:r>
          </w:p>
        </w:tc>
        <w:tc>
          <w:tcPr>
            <w:tcW w:w="12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hd w:val="clear" w:color="auto" w:fill="FFFFFF"/>
              <w:ind w:hanging="0"/>
              <w:jc w:val="center"/>
              <w:rPr>
                <w:color w:val="000000"/>
                <w:sz w:val="20"/>
                <w:szCs w:val="20"/>
              </w:rPr>
            </w:pPr>
            <w:r>
              <w:rPr>
                <w:color w:val="000000"/>
                <w:sz w:val="20"/>
                <w:szCs w:val="20"/>
              </w:rPr>
              <w:t>1</w:t>
            </w:r>
          </w:p>
        </w:tc>
        <w:tc>
          <w:tcPr>
            <w:tcW w:w="1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hd w:val="clear" w:color="auto" w:fill="FFFFFF"/>
              <w:ind w:hanging="0"/>
              <w:jc w:val="center"/>
              <w:rPr>
                <w:b/>
                <w:color w:val="000000"/>
                <w:sz w:val="20"/>
                <w:szCs w:val="20"/>
              </w:rPr>
            </w:pPr>
            <w:r>
              <w:rPr>
                <w:b/>
                <w:color w:val="000000"/>
                <w:sz w:val="20"/>
                <w:szCs w:val="20"/>
              </w:rPr>
              <w:t>+</w:t>
            </w:r>
          </w:p>
        </w:tc>
        <w:tc>
          <w:tcPr>
            <w:tcW w:w="13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hd w:val="clear" w:color="auto" w:fill="FFFFFF"/>
              <w:ind w:hanging="0"/>
              <w:jc w:val="center"/>
              <w:rPr>
                <w:b/>
                <w:color w:val="000000"/>
                <w:sz w:val="20"/>
                <w:szCs w:val="20"/>
              </w:rPr>
            </w:pPr>
            <w:r>
              <w:rPr>
                <w:b/>
                <w:color w:val="000000"/>
                <w:sz w:val="20"/>
                <w:szCs w:val="20"/>
              </w:rPr>
              <w:t>-</w:t>
            </w:r>
          </w:p>
        </w:tc>
        <w:tc>
          <w:tcPr>
            <w:tcW w:w="212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hd w:val="clear" w:color="auto" w:fill="FFFFFF"/>
              <w:ind w:hanging="0"/>
              <w:jc w:val="center"/>
              <w:rPr>
                <w:color w:val="000000"/>
              </w:rPr>
            </w:pPr>
            <w:r>
              <w:rPr>
                <w:color w:val="000000"/>
                <w:sz w:val="20"/>
                <w:szCs w:val="20"/>
              </w:rPr>
              <w:t>Генеральный план Вахитовского СП</w:t>
            </w:r>
          </w:p>
        </w:tc>
      </w:tr>
    </w:tbl>
    <w:p>
      <w:pPr>
        <w:pStyle w:val="Normal"/>
        <w:jc w:val="right"/>
        <w:rPr>
          <w:szCs w:val="28"/>
        </w:rPr>
      </w:pPr>
      <w:r>
        <w:rPr>
          <w:szCs w:val="28"/>
        </w:rPr>
      </w:r>
    </w:p>
    <w:p>
      <w:pPr>
        <w:pStyle w:val="Normal"/>
        <w:jc w:val="right"/>
        <w:rPr>
          <w:szCs w:val="28"/>
        </w:rPr>
      </w:pPr>
      <w:r>
        <w:rPr>
          <w:szCs w:val="28"/>
        </w:rPr>
        <w:t>Таблица 3.12.6</w:t>
      </w:r>
    </w:p>
    <w:p>
      <w:pPr>
        <w:pStyle w:val="Normal"/>
        <w:jc w:val="center"/>
        <w:rPr>
          <w:rFonts w:eastAsia="Calibri"/>
          <w:szCs w:val="28"/>
        </w:rPr>
      </w:pPr>
      <w:r>
        <w:rPr>
          <w:rFonts w:eastAsia="Calibri"/>
          <w:szCs w:val="28"/>
        </w:rPr>
        <w:t xml:space="preserve">Перечень мероприятий </w:t>
      </w:r>
      <w:r>
        <w:rPr>
          <w:szCs w:val="28"/>
        </w:rPr>
        <w:t>по электроснабжению</w:t>
      </w:r>
      <w:r>
        <w:rPr>
          <w:rFonts w:eastAsia="Calibri"/>
          <w:szCs w:val="28"/>
        </w:rPr>
        <w:t xml:space="preserve"> населенных пунктов, входящих в состав Вахитовского сельского поселения Верхнеуслонского муниципального района Республики Татарстан</w:t>
      </w:r>
    </w:p>
    <w:tbl>
      <w:tblPr>
        <w:tblW w:w="5000" w:type="pct"/>
        <w:jc w:val="left"/>
        <w:tblInd w:w="-113" w:type="dxa"/>
        <w:tblLayout w:type="fixed"/>
        <w:tblCellMar>
          <w:top w:w="0" w:type="dxa"/>
          <w:left w:w="108" w:type="dxa"/>
          <w:bottom w:w="0" w:type="dxa"/>
          <w:right w:w="108" w:type="dxa"/>
        </w:tblCellMar>
        <w:tblLook w:noVBand="1" w:val="04a0" w:noHBand="0" w:lastColumn="0" w:firstColumn="1" w:lastRow="0" w:firstRow="1"/>
      </w:tblPr>
      <w:tblGrid>
        <w:gridCol w:w="479"/>
        <w:gridCol w:w="3311"/>
        <w:gridCol w:w="1444"/>
        <w:gridCol w:w="2248"/>
        <w:gridCol w:w="1147"/>
        <w:gridCol w:w="1117"/>
        <w:gridCol w:w="1259"/>
        <w:gridCol w:w="1664"/>
        <w:gridCol w:w="2182"/>
      </w:tblGrid>
      <w:tr>
        <w:trPr>
          <w:tblHeader w:val="true"/>
        </w:trPr>
        <w:tc>
          <w:tcPr>
            <w:tcW w:w="47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0"/>
                <w:szCs w:val="20"/>
              </w:rPr>
            </w:pPr>
            <w:r>
              <w:rPr>
                <w:sz w:val="20"/>
                <w:szCs w:val="20"/>
              </w:rPr>
              <w:t xml:space="preserve">№ </w:t>
            </w:r>
            <w:r>
              <w:rPr>
                <w:sz w:val="20"/>
                <w:szCs w:val="20"/>
              </w:rPr>
              <w:t>п/п</w:t>
            </w:r>
          </w:p>
        </w:tc>
        <w:tc>
          <w:tcPr>
            <w:tcW w:w="331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Местоположение</w:t>
            </w:r>
          </w:p>
        </w:tc>
        <w:tc>
          <w:tcPr>
            <w:tcW w:w="144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Наименование объекта</w:t>
            </w:r>
          </w:p>
        </w:tc>
        <w:tc>
          <w:tcPr>
            <w:tcW w:w="224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Вид мероприятия</w:t>
            </w:r>
          </w:p>
        </w:tc>
        <w:tc>
          <w:tcPr>
            <w:tcW w:w="114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Ед. измерения</w:t>
            </w:r>
          </w:p>
        </w:tc>
        <w:tc>
          <w:tcPr>
            <w:tcW w:w="111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Мощность</w:t>
            </w:r>
          </w:p>
        </w:tc>
        <w:tc>
          <w:tcPr>
            <w:tcW w:w="292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Сроки реализации</w:t>
            </w:r>
          </w:p>
        </w:tc>
        <w:tc>
          <w:tcPr>
            <w:tcW w:w="218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Источник мероприятия</w:t>
            </w:r>
          </w:p>
        </w:tc>
      </w:tr>
      <w:tr>
        <w:trPr>
          <w:tblHeader w:val="true"/>
          <w:trHeight w:val="506" w:hRule="atLeast"/>
        </w:trPr>
        <w:tc>
          <w:tcPr>
            <w:tcW w:w="47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0"/>
                <w:szCs w:val="20"/>
              </w:rPr>
            </w:pPr>
            <w:r>
              <w:rPr>
                <w:sz w:val="20"/>
                <w:szCs w:val="20"/>
              </w:rPr>
            </w:r>
          </w:p>
        </w:tc>
        <w:tc>
          <w:tcPr>
            <w:tcW w:w="33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0"/>
                <w:szCs w:val="20"/>
              </w:rPr>
            </w:pPr>
            <w:r>
              <w:rPr>
                <w:sz w:val="20"/>
                <w:szCs w:val="20"/>
              </w:rPr>
            </w:r>
          </w:p>
        </w:tc>
        <w:tc>
          <w:tcPr>
            <w:tcW w:w="14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0"/>
                <w:szCs w:val="20"/>
              </w:rPr>
            </w:pPr>
            <w:r>
              <w:rPr>
                <w:sz w:val="20"/>
                <w:szCs w:val="20"/>
              </w:rPr>
            </w:r>
          </w:p>
        </w:tc>
        <w:tc>
          <w:tcPr>
            <w:tcW w:w="22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0"/>
                <w:szCs w:val="20"/>
              </w:rPr>
            </w:pPr>
            <w:r>
              <w:rPr>
                <w:sz w:val="20"/>
                <w:szCs w:val="20"/>
              </w:rPr>
            </w:r>
          </w:p>
        </w:tc>
        <w:tc>
          <w:tcPr>
            <w:tcW w:w="114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0"/>
                <w:szCs w:val="20"/>
              </w:rPr>
            </w:pPr>
            <w:r>
              <w:rPr>
                <w:sz w:val="20"/>
                <w:szCs w:val="20"/>
              </w:rPr>
            </w:r>
          </w:p>
        </w:tc>
        <w:tc>
          <w:tcPr>
            <w:tcW w:w="111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0"/>
                <w:szCs w:val="20"/>
              </w:rPr>
            </w:pPr>
            <w:r>
              <w:rPr>
                <w:sz w:val="20"/>
                <w:szCs w:val="20"/>
              </w:rPr>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Первая очередь (до 2030 г.)</w:t>
            </w:r>
          </w:p>
        </w:tc>
        <w:tc>
          <w:tcPr>
            <w:tcW w:w="16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Расчетный срок</w:t>
            </w:r>
          </w:p>
          <w:p>
            <w:pPr>
              <w:pStyle w:val="Normal"/>
              <w:widowControl w:val="false"/>
              <w:ind w:hanging="0"/>
              <w:jc w:val="center"/>
              <w:rPr>
                <w:sz w:val="20"/>
                <w:szCs w:val="20"/>
              </w:rPr>
            </w:pPr>
            <w:r>
              <w:rPr>
                <w:sz w:val="20"/>
                <w:szCs w:val="20"/>
              </w:rPr>
              <w:t>(2031-2045 гг.)</w:t>
            </w:r>
          </w:p>
        </w:tc>
        <w:tc>
          <w:tcPr>
            <w:tcW w:w="218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0"/>
                <w:szCs w:val="20"/>
              </w:rPr>
            </w:pPr>
            <w:r>
              <w:rPr>
                <w:sz w:val="20"/>
                <w:szCs w:val="20"/>
              </w:rPr>
            </w:r>
          </w:p>
        </w:tc>
      </w:tr>
      <w:tr>
        <w:trPr>
          <w:tblHeader w:val="true"/>
        </w:trPr>
        <w:tc>
          <w:tcPr>
            <w:tcW w:w="14851" w:type="dxa"/>
            <w:gridSpan w:val="9"/>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sz w:val="20"/>
                <w:szCs w:val="20"/>
              </w:rPr>
            </w:pPr>
            <w:r>
              <w:rPr>
                <w:caps/>
                <w:sz w:val="20"/>
                <w:szCs w:val="20"/>
              </w:rPr>
              <w:t>МЕРОПРИЯТИЯ Местного (районного) значения</w:t>
            </w:r>
          </w:p>
        </w:tc>
      </w:tr>
      <w:tr>
        <w:trPr>
          <w:tblHeader w:val="true"/>
        </w:trPr>
        <w:tc>
          <w:tcPr>
            <w:tcW w:w="4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1</w:t>
            </w:r>
          </w:p>
        </w:tc>
        <w:tc>
          <w:tcPr>
            <w:tcW w:w="3311"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с.Ташевка</w:t>
            </w:r>
          </w:p>
        </w:tc>
        <w:tc>
          <w:tcPr>
            <w:tcW w:w="14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ТП 10/0,4 кВ</w:t>
            </w:r>
          </w:p>
        </w:tc>
        <w:tc>
          <w:tcPr>
            <w:tcW w:w="2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Новое строительство</w:t>
            </w:r>
          </w:p>
        </w:tc>
        <w:tc>
          <w:tcPr>
            <w:tcW w:w="11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w:t>
            </w:r>
          </w:p>
        </w:tc>
        <w:tc>
          <w:tcPr>
            <w:tcW w:w="11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w:t>
            </w:r>
          </w:p>
        </w:tc>
        <w:tc>
          <w:tcPr>
            <w:tcW w:w="16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w:t>
            </w:r>
          </w:p>
        </w:tc>
        <w:tc>
          <w:tcPr>
            <w:tcW w:w="21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Генеральный план Вахитовского СП</w:t>
            </w:r>
          </w:p>
        </w:tc>
      </w:tr>
      <w:tr>
        <w:trPr>
          <w:tblHeader w:val="true"/>
        </w:trPr>
        <w:tc>
          <w:tcPr>
            <w:tcW w:w="4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2</w:t>
            </w:r>
          </w:p>
        </w:tc>
        <w:tc>
          <w:tcPr>
            <w:tcW w:w="3311"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rPr>
                <w:color w:val="000000"/>
                <w:sz w:val="20"/>
                <w:szCs w:val="20"/>
              </w:rPr>
            </w:pPr>
            <w:r>
              <w:rPr>
                <w:color w:val="000000"/>
                <w:sz w:val="20"/>
                <w:szCs w:val="20"/>
              </w:rPr>
              <w:t>Вахитовское СП</w:t>
            </w:r>
          </w:p>
        </w:tc>
        <w:tc>
          <w:tcPr>
            <w:tcW w:w="14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ВЛ 0,4 кВ</w:t>
            </w:r>
          </w:p>
        </w:tc>
        <w:tc>
          <w:tcPr>
            <w:tcW w:w="2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Новое строительство</w:t>
            </w:r>
          </w:p>
        </w:tc>
        <w:tc>
          <w:tcPr>
            <w:tcW w:w="11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км</w:t>
            </w:r>
          </w:p>
        </w:tc>
        <w:tc>
          <w:tcPr>
            <w:tcW w:w="11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w:t>
            </w:r>
          </w:p>
        </w:tc>
        <w:tc>
          <w:tcPr>
            <w:tcW w:w="16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w:t>
            </w:r>
          </w:p>
        </w:tc>
        <w:tc>
          <w:tcPr>
            <w:tcW w:w="21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Генеральный план Вахитовского СП</w:t>
            </w:r>
          </w:p>
        </w:tc>
      </w:tr>
      <w:tr>
        <w:trPr>
          <w:tblHeader w:val="true"/>
        </w:trPr>
        <w:tc>
          <w:tcPr>
            <w:tcW w:w="4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3</w:t>
            </w:r>
          </w:p>
        </w:tc>
        <w:tc>
          <w:tcPr>
            <w:tcW w:w="33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Вахитовское СП</w:t>
            </w:r>
          </w:p>
        </w:tc>
        <w:tc>
          <w:tcPr>
            <w:tcW w:w="14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Линии уличного освещения</w:t>
            </w:r>
          </w:p>
        </w:tc>
        <w:tc>
          <w:tcPr>
            <w:tcW w:w="22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Новое строительство, реконструкция</w:t>
            </w:r>
          </w:p>
        </w:tc>
        <w:tc>
          <w:tcPr>
            <w:tcW w:w="114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км</w:t>
            </w:r>
          </w:p>
        </w:tc>
        <w:tc>
          <w:tcPr>
            <w:tcW w:w="11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w:t>
            </w:r>
          </w:p>
        </w:tc>
        <w:tc>
          <w:tcPr>
            <w:tcW w:w="16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w:t>
            </w:r>
          </w:p>
        </w:tc>
        <w:tc>
          <w:tcPr>
            <w:tcW w:w="21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Генеральный план Вахитовского СП</w:t>
            </w:r>
          </w:p>
        </w:tc>
      </w:tr>
    </w:tbl>
    <w:p>
      <w:pPr>
        <w:pStyle w:val="Normal"/>
        <w:ind w:hanging="0"/>
        <w:rPr>
          <w:szCs w:val="28"/>
        </w:rPr>
      </w:pPr>
      <w:r>
        <w:rPr>
          <w:szCs w:val="28"/>
        </w:rPr>
      </w:r>
      <w:r>
        <w:br w:type="page"/>
      </w:r>
    </w:p>
    <w:p>
      <w:pPr>
        <w:pStyle w:val="Normal"/>
        <w:rPr/>
      </w:pPr>
      <w:r>
        <w:rPr/>
      </w:r>
    </w:p>
    <w:p>
      <w:pPr>
        <w:pStyle w:val="2"/>
        <w:numPr>
          <w:ilvl w:val="0"/>
          <w:numId w:val="0"/>
        </w:numPr>
        <w:ind w:left="0" w:hanging="0"/>
        <w:rPr>
          <w:color w:val="000000"/>
        </w:rPr>
      </w:pPr>
      <w:bookmarkStart w:id="86" w:name="_Toc156489389"/>
      <w:r>
        <w:rPr>
          <w:color w:val="000000"/>
        </w:rPr>
        <w:t>3.13.</w:t>
      </w:r>
      <w:r>
        <w:rPr>
          <w:color w:val="FF0000"/>
        </w:rPr>
        <w:t xml:space="preserve"> </w:t>
      </w:r>
      <w:r>
        <w:rPr>
          <w:color w:val="000000"/>
        </w:rPr>
        <w:t>Мероприятия по развитию инженерной подготовки территории</w:t>
      </w:r>
      <w:bookmarkEnd w:id="86"/>
    </w:p>
    <w:p>
      <w:pPr>
        <w:pStyle w:val="Normal"/>
        <w:rPr>
          <w:color w:val="000000"/>
        </w:rPr>
      </w:pPr>
      <w:r>
        <w:rPr>
          <w:color w:val="000000"/>
        </w:rPr>
      </w:r>
    </w:p>
    <w:p>
      <w:pPr>
        <w:pStyle w:val="ListParagraph"/>
        <w:spacing w:lineRule="auto" w:line="240"/>
        <w:ind w:left="0" w:hanging="0"/>
        <w:jc w:val="right"/>
        <w:rPr>
          <w:color w:val="000000"/>
          <w:sz w:val="28"/>
          <w:szCs w:val="28"/>
        </w:rPr>
      </w:pPr>
      <w:r>
        <w:rPr>
          <w:color w:val="000000"/>
          <w:sz w:val="28"/>
          <w:szCs w:val="28"/>
        </w:rPr>
        <w:t>Таблица 3.13.1</w:t>
      </w:r>
    </w:p>
    <w:p>
      <w:pPr>
        <w:pStyle w:val="Normal"/>
        <w:jc w:val="center"/>
        <w:rPr>
          <w:color w:val="000000"/>
        </w:rPr>
      </w:pPr>
      <w:r>
        <w:rPr>
          <w:color w:val="000000"/>
        </w:rPr>
        <w:t xml:space="preserve">Перечень мероприятий инженерной защиты территории Вахитовского сельского поселения </w:t>
      </w:r>
    </w:p>
    <w:p>
      <w:pPr>
        <w:pStyle w:val="Normal"/>
        <w:jc w:val="center"/>
        <w:rPr>
          <w:color w:val="000000"/>
        </w:rPr>
      </w:pPr>
      <w:r>
        <w:rPr>
          <w:rFonts w:eastAsia="Calibri"/>
          <w:color w:val="000000"/>
          <w:szCs w:val="28"/>
        </w:rPr>
        <w:t>Верхнеуслонского</w:t>
      </w:r>
      <w:r>
        <w:rPr>
          <w:color w:val="000000"/>
        </w:rPr>
        <w:t xml:space="preserve"> муниципального района Республики Татарстан</w:t>
      </w:r>
    </w:p>
    <w:tbl>
      <w:tblPr>
        <w:tblW w:w="5000" w:type="pct"/>
        <w:jc w:val="center"/>
        <w:tblInd w:w="0" w:type="dxa"/>
        <w:tblLayout w:type="fixed"/>
        <w:tblCellMar>
          <w:top w:w="0" w:type="dxa"/>
          <w:left w:w="108" w:type="dxa"/>
          <w:bottom w:w="0" w:type="dxa"/>
          <w:right w:w="108" w:type="dxa"/>
        </w:tblCellMar>
        <w:tblLook w:noVBand="1" w:val="04a0" w:noHBand="0" w:lastColumn="0" w:firstColumn="1" w:lastRow="0" w:firstRow="1"/>
      </w:tblPr>
      <w:tblGrid>
        <w:gridCol w:w="582"/>
        <w:gridCol w:w="2738"/>
        <w:gridCol w:w="3901"/>
        <w:gridCol w:w="7631"/>
      </w:tblGrid>
      <w:tr>
        <w:trPr>
          <w:tblHeader w:val="true"/>
        </w:trPr>
        <w:tc>
          <w:tcPr>
            <w:tcW w:w="5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4"/>
              <w:ind w:hanging="0"/>
              <w:jc w:val="center"/>
              <w:rPr>
                <w:sz w:val="20"/>
                <w:szCs w:val="20"/>
                <w:lang w:eastAsia="en-US"/>
              </w:rPr>
            </w:pPr>
            <w:r>
              <w:rPr>
                <w:sz w:val="20"/>
                <w:szCs w:val="20"/>
                <w:lang w:eastAsia="en-US"/>
              </w:rPr>
              <w:t>№</w:t>
            </w:r>
          </w:p>
          <w:p>
            <w:pPr>
              <w:pStyle w:val="Normal"/>
              <w:widowControl w:val="false"/>
              <w:spacing w:lineRule="auto" w:line="254"/>
              <w:ind w:hanging="0"/>
              <w:jc w:val="center"/>
              <w:rPr>
                <w:sz w:val="20"/>
                <w:szCs w:val="20"/>
                <w:lang w:eastAsia="en-US"/>
              </w:rPr>
            </w:pPr>
            <w:r>
              <w:rPr>
                <w:sz w:val="20"/>
                <w:szCs w:val="20"/>
                <w:lang w:eastAsia="en-US"/>
              </w:rPr>
              <w:t>п/п</w:t>
            </w:r>
          </w:p>
        </w:tc>
        <w:tc>
          <w:tcPr>
            <w:tcW w:w="27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4"/>
              <w:ind w:hanging="0"/>
              <w:jc w:val="center"/>
              <w:rPr>
                <w:sz w:val="20"/>
                <w:szCs w:val="20"/>
                <w:lang w:eastAsia="en-US"/>
              </w:rPr>
            </w:pPr>
            <w:r>
              <w:rPr>
                <w:sz w:val="20"/>
                <w:szCs w:val="20"/>
                <w:lang w:eastAsia="en-US"/>
              </w:rPr>
              <w:t>Местоположение</w:t>
            </w:r>
          </w:p>
        </w:tc>
        <w:tc>
          <w:tcPr>
            <w:tcW w:w="39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4"/>
              <w:ind w:hanging="0"/>
              <w:jc w:val="center"/>
              <w:rPr>
                <w:sz w:val="20"/>
                <w:szCs w:val="20"/>
                <w:lang w:eastAsia="en-US"/>
              </w:rPr>
            </w:pPr>
            <w:r>
              <w:rPr>
                <w:sz w:val="20"/>
                <w:szCs w:val="20"/>
                <w:lang w:eastAsia="en-US"/>
              </w:rPr>
              <w:t>Опасные природные процессы</w:t>
            </w:r>
          </w:p>
        </w:tc>
        <w:tc>
          <w:tcPr>
            <w:tcW w:w="76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4"/>
              <w:ind w:hanging="0"/>
              <w:jc w:val="center"/>
              <w:rPr>
                <w:sz w:val="20"/>
                <w:szCs w:val="20"/>
                <w:lang w:eastAsia="en-US"/>
              </w:rPr>
            </w:pPr>
            <w:r>
              <w:rPr>
                <w:sz w:val="20"/>
                <w:szCs w:val="20"/>
                <w:lang w:eastAsia="en-US"/>
              </w:rPr>
              <w:t>Описание мероприятия</w:t>
            </w:r>
          </w:p>
        </w:tc>
      </w:tr>
      <w:tr>
        <w:trPr>
          <w:trHeight w:val="278" w:hRule="atLeast"/>
        </w:trPr>
        <w:tc>
          <w:tcPr>
            <w:tcW w:w="5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4"/>
              <w:ind w:hanging="0"/>
              <w:jc w:val="center"/>
              <w:rPr>
                <w:sz w:val="20"/>
                <w:szCs w:val="20"/>
                <w:lang w:eastAsia="en-US"/>
              </w:rPr>
            </w:pPr>
            <w:r>
              <w:rPr>
                <w:sz w:val="20"/>
                <w:szCs w:val="20"/>
                <w:lang w:eastAsia="en-US"/>
              </w:rPr>
              <w:t>1</w:t>
            </w:r>
          </w:p>
        </w:tc>
        <w:tc>
          <w:tcPr>
            <w:tcW w:w="27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4"/>
              <w:ind w:hanging="0"/>
              <w:jc w:val="center"/>
              <w:rPr>
                <w:sz w:val="20"/>
                <w:szCs w:val="20"/>
                <w:highlight w:val="yellow"/>
                <w:lang w:eastAsia="en-US"/>
              </w:rPr>
            </w:pPr>
            <w:r>
              <w:rPr>
                <w:sz w:val="20"/>
                <w:szCs w:val="20"/>
                <w:lang w:eastAsia="en-US"/>
              </w:rPr>
              <w:t>Реки</w:t>
            </w:r>
          </w:p>
        </w:tc>
        <w:tc>
          <w:tcPr>
            <w:tcW w:w="39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4"/>
              <w:ind w:hanging="0"/>
              <w:jc w:val="center"/>
              <w:rPr>
                <w:sz w:val="20"/>
                <w:szCs w:val="20"/>
                <w:lang w:eastAsia="en-US"/>
              </w:rPr>
            </w:pPr>
            <w:r>
              <w:rPr>
                <w:sz w:val="20"/>
                <w:szCs w:val="20"/>
              </w:rPr>
              <w:t>Склоновая линейная эрозия, овраги, оползневая эрозия</w:t>
            </w:r>
          </w:p>
        </w:tc>
        <w:tc>
          <w:tcPr>
            <w:tcW w:w="76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4"/>
              <w:ind w:hanging="0"/>
              <w:jc w:val="center"/>
              <w:rPr>
                <w:sz w:val="20"/>
                <w:szCs w:val="20"/>
                <w:lang w:eastAsia="en-US"/>
              </w:rPr>
            </w:pPr>
            <w:r>
              <w:rPr>
                <w:sz w:val="20"/>
                <w:szCs w:val="20"/>
                <w:lang w:eastAsia="en-US"/>
              </w:rPr>
              <w:t>Укрепление склонов террас речных долин и овражных склонов путем агролесомелиорации, озеленение прибрежной защитной полосы</w:t>
            </w:r>
          </w:p>
        </w:tc>
      </w:tr>
      <w:tr>
        <w:trPr>
          <w:trHeight w:val="278" w:hRule="atLeast"/>
        </w:trPr>
        <w:tc>
          <w:tcPr>
            <w:tcW w:w="5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4"/>
              <w:ind w:hanging="0"/>
              <w:jc w:val="center"/>
              <w:rPr>
                <w:sz w:val="20"/>
                <w:szCs w:val="20"/>
                <w:lang w:eastAsia="en-US"/>
              </w:rPr>
            </w:pPr>
            <w:r>
              <w:rPr>
                <w:sz w:val="20"/>
                <w:szCs w:val="20"/>
                <w:lang w:eastAsia="en-US"/>
              </w:rPr>
              <w:t>2</w:t>
            </w:r>
          </w:p>
        </w:tc>
        <w:tc>
          <w:tcPr>
            <w:tcW w:w="27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4"/>
              <w:ind w:hanging="0"/>
              <w:jc w:val="center"/>
              <w:rPr>
                <w:sz w:val="20"/>
                <w:szCs w:val="20"/>
                <w:lang w:eastAsia="en-US"/>
              </w:rPr>
            </w:pPr>
            <w:r>
              <w:rPr>
                <w:sz w:val="20"/>
                <w:szCs w:val="20"/>
                <w:lang w:eastAsia="en-US"/>
              </w:rPr>
              <w:t>Куйбышевское водохранилище</w:t>
            </w:r>
          </w:p>
        </w:tc>
        <w:tc>
          <w:tcPr>
            <w:tcW w:w="39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4"/>
              <w:ind w:hanging="0"/>
              <w:jc w:val="center"/>
              <w:rPr>
                <w:sz w:val="20"/>
                <w:szCs w:val="20"/>
              </w:rPr>
            </w:pPr>
            <w:r>
              <w:rPr>
                <w:sz w:val="20"/>
                <w:szCs w:val="20"/>
              </w:rPr>
              <w:t>Переработка берегов</w:t>
            </w:r>
          </w:p>
        </w:tc>
        <w:tc>
          <w:tcPr>
            <w:tcW w:w="76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4"/>
              <w:ind w:hanging="0"/>
              <w:jc w:val="center"/>
              <w:rPr>
                <w:sz w:val="20"/>
                <w:szCs w:val="20"/>
                <w:lang w:eastAsia="en-US"/>
              </w:rPr>
            </w:pPr>
            <w:r>
              <w:rPr>
                <w:sz w:val="20"/>
                <w:szCs w:val="20"/>
                <w:lang w:eastAsia="en-US"/>
              </w:rPr>
              <w:t>Установить берегозащитные сооружения</w:t>
            </w:r>
          </w:p>
        </w:tc>
      </w:tr>
      <w:tr>
        <w:trPr>
          <w:trHeight w:val="278" w:hRule="atLeast"/>
        </w:trPr>
        <w:tc>
          <w:tcPr>
            <w:tcW w:w="5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4"/>
              <w:ind w:hanging="0"/>
              <w:jc w:val="center"/>
              <w:rPr>
                <w:sz w:val="20"/>
                <w:szCs w:val="20"/>
                <w:lang w:eastAsia="en-US"/>
              </w:rPr>
            </w:pPr>
            <w:r>
              <w:rPr>
                <w:sz w:val="20"/>
                <w:szCs w:val="20"/>
                <w:lang w:eastAsia="en-US"/>
              </w:rPr>
              <w:t>3</w:t>
            </w:r>
          </w:p>
        </w:tc>
        <w:tc>
          <w:tcPr>
            <w:tcW w:w="27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4"/>
              <w:ind w:hanging="0"/>
              <w:jc w:val="center"/>
              <w:rPr>
                <w:sz w:val="20"/>
                <w:szCs w:val="20"/>
                <w:lang w:eastAsia="en-US"/>
              </w:rPr>
            </w:pPr>
            <w:r>
              <w:rPr>
                <w:sz w:val="20"/>
                <w:szCs w:val="20"/>
              </w:rPr>
              <w:t>Территория поселения</w:t>
            </w:r>
          </w:p>
        </w:tc>
        <w:tc>
          <w:tcPr>
            <w:tcW w:w="39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4"/>
              <w:ind w:hanging="0"/>
              <w:jc w:val="center"/>
              <w:rPr>
                <w:sz w:val="20"/>
                <w:szCs w:val="20"/>
                <w:lang w:eastAsia="en-US"/>
              </w:rPr>
            </w:pPr>
            <w:r>
              <w:rPr>
                <w:sz w:val="20"/>
                <w:szCs w:val="20"/>
              </w:rPr>
              <w:t>Землетрясение интенсивностью 5 баллов</w:t>
            </w:r>
          </w:p>
        </w:tc>
        <w:tc>
          <w:tcPr>
            <w:tcW w:w="76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ind w:hanging="0"/>
              <w:jc w:val="center"/>
              <w:rPr>
                <w:sz w:val="20"/>
                <w:szCs w:val="20"/>
                <w:lang w:eastAsia="en-US"/>
              </w:rPr>
            </w:pPr>
            <w:r>
              <w:rPr>
                <w:sz w:val="20"/>
                <w:szCs w:val="20"/>
              </w:rPr>
              <w:t xml:space="preserve">При возведении зданий и сооружений следует учитывать степень сейсмической опасности, </w:t>
            </w:r>
            <w:r>
              <w:rPr>
                <w:spacing w:val="2"/>
                <w:sz w:val="20"/>
                <w:szCs w:val="20"/>
                <w:shd w:fill="FFFFFF" w:val="clear"/>
              </w:rPr>
              <w:t>расчет конструкций и оснований зданий и сооружений</w:t>
            </w:r>
            <w:r>
              <w:rPr>
                <w:sz w:val="20"/>
                <w:szCs w:val="20"/>
              </w:rPr>
              <w:t xml:space="preserve"> должен быть выполнен в соответствии с требованиями СП 14.13330.2018, СП 20.13330.2016</w:t>
            </w:r>
          </w:p>
        </w:tc>
      </w:tr>
      <w:tr>
        <w:trPr>
          <w:trHeight w:val="278" w:hRule="atLeast"/>
        </w:trPr>
        <w:tc>
          <w:tcPr>
            <w:tcW w:w="5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4"/>
              <w:ind w:hanging="0"/>
              <w:jc w:val="center"/>
              <w:rPr>
                <w:sz w:val="20"/>
                <w:szCs w:val="20"/>
                <w:lang w:eastAsia="en-US"/>
              </w:rPr>
            </w:pPr>
            <w:r>
              <w:rPr>
                <w:sz w:val="20"/>
                <w:szCs w:val="20"/>
                <w:lang w:eastAsia="en-US"/>
              </w:rPr>
              <w:t>4</w:t>
            </w:r>
          </w:p>
        </w:tc>
        <w:tc>
          <w:tcPr>
            <w:tcW w:w="27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4"/>
              <w:ind w:hanging="0"/>
              <w:jc w:val="center"/>
              <w:rPr>
                <w:sz w:val="20"/>
                <w:szCs w:val="20"/>
              </w:rPr>
            </w:pPr>
            <w:r>
              <w:rPr>
                <w:sz w:val="20"/>
                <w:szCs w:val="20"/>
                <w:lang w:eastAsia="en-US"/>
              </w:rPr>
              <w:t>Территория</w:t>
            </w:r>
            <w:r>
              <w:rPr>
                <w:rFonts w:eastAsia="Calibri" w:ascii="Calibri" w:hAnsi="Calibri"/>
                <w:sz w:val="20"/>
                <w:szCs w:val="20"/>
                <w:lang w:eastAsia="en-US"/>
              </w:rPr>
              <w:t xml:space="preserve"> </w:t>
            </w:r>
            <w:r>
              <w:rPr>
                <w:sz w:val="20"/>
                <w:szCs w:val="20"/>
                <w:lang w:eastAsia="en-US"/>
              </w:rPr>
              <w:t>поселения</w:t>
            </w:r>
          </w:p>
        </w:tc>
        <w:tc>
          <w:tcPr>
            <w:tcW w:w="39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4"/>
              <w:ind w:hanging="0"/>
              <w:jc w:val="center"/>
              <w:rPr>
                <w:sz w:val="20"/>
                <w:szCs w:val="20"/>
              </w:rPr>
            </w:pPr>
            <w:r>
              <w:rPr>
                <w:sz w:val="20"/>
                <w:szCs w:val="20"/>
              </w:rPr>
              <w:t>Склоновые процессы</w:t>
            </w:r>
          </w:p>
        </w:tc>
        <w:tc>
          <w:tcPr>
            <w:tcW w:w="76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ind w:hanging="0"/>
              <w:jc w:val="center"/>
              <w:rPr>
                <w:sz w:val="20"/>
                <w:szCs w:val="20"/>
              </w:rPr>
            </w:pPr>
            <w:r>
              <w:rPr>
                <w:sz w:val="20"/>
                <w:szCs w:val="20"/>
              </w:rPr>
              <w:t>Отвод вод, террасирование склона, посадка древесной и кустарниковой растительности в комплексе с посевом многолетних дернообразующих трав, намыв береговой полосы</w:t>
            </w:r>
          </w:p>
        </w:tc>
      </w:tr>
    </w:tbl>
    <w:p>
      <w:pPr>
        <w:pStyle w:val="Normal"/>
        <w:ind w:hanging="0"/>
        <w:rPr>
          <w:color w:val="FF0000"/>
        </w:rPr>
      </w:pPr>
      <w:r>
        <w:rPr>
          <w:color w:val="FF0000"/>
        </w:rPr>
      </w:r>
    </w:p>
    <w:p>
      <w:pPr>
        <w:pStyle w:val="2"/>
        <w:numPr>
          <w:ilvl w:val="0"/>
          <w:numId w:val="0"/>
        </w:numPr>
        <w:ind w:left="0" w:hanging="0"/>
        <w:rPr>
          <w:color w:val="000000"/>
        </w:rPr>
      </w:pPr>
      <w:bookmarkStart w:id="87" w:name="_Toc156489390"/>
      <w:r>
        <w:rPr>
          <w:color w:val="000000"/>
        </w:rPr>
        <w:t>3.14. Мероприятия по гражданской обороне, предупреждению чрезвычайных ситуаций природного и техногенного характера</w:t>
      </w:r>
      <w:bookmarkEnd w:id="87"/>
    </w:p>
    <w:p>
      <w:pPr>
        <w:pStyle w:val="Normal"/>
        <w:spacing w:before="0" w:after="0"/>
        <w:ind w:hanging="0"/>
        <w:contextualSpacing/>
        <w:jc w:val="right"/>
        <w:rPr>
          <w:rFonts w:eastAsia="Calibri"/>
          <w:color w:val="000000"/>
          <w:szCs w:val="28"/>
          <w:lang w:eastAsia="en-US"/>
        </w:rPr>
      </w:pPr>
      <w:r>
        <w:rPr>
          <w:rFonts w:eastAsia="Calibri"/>
          <w:color w:val="000000"/>
          <w:szCs w:val="28"/>
          <w:lang w:eastAsia="en-US"/>
        </w:rPr>
        <w:t>Таблица 3.14.1</w:t>
      </w:r>
    </w:p>
    <w:p>
      <w:pPr>
        <w:pStyle w:val="Normal"/>
        <w:spacing w:before="0" w:after="0"/>
        <w:ind w:hanging="0"/>
        <w:contextualSpacing/>
        <w:jc w:val="center"/>
        <w:rPr>
          <w:rFonts w:eastAsia="Calibri"/>
          <w:color w:val="000000"/>
          <w:szCs w:val="28"/>
          <w:lang w:eastAsia="en-US"/>
        </w:rPr>
      </w:pPr>
      <w:r>
        <w:rPr>
          <w:rFonts w:eastAsia="Calibri"/>
          <w:color w:val="000000"/>
          <w:szCs w:val="28"/>
          <w:lang w:eastAsia="en-US"/>
        </w:rPr>
        <w:t>Перечень мероприятий по гражданской обороне, предупреждению чрезвычайных ситуаций природного и техногенного характера Вахитовского сельского поселения Верхнеуслонского муниципального района Республики Татарстан</w:t>
      </w:r>
    </w:p>
    <w:tbl>
      <w:tblPr>
        <w:tblW w:w="5000" w:type="pct"/>
        <w:jc w:val="center"/>
        <w:tblInd w:w="0" w:type="dxa"/>
        <w:tblLayout w:type="fixed"/>
        <w:tblCellMar>
          <w:top w:w="0" w:type="dxa"/>
          <w:left w:w="108" w:type="dxa"/>
          <w:bottom w:w="0" w:type="dxa"/>
          <w:right w:w="108" w:type="dxa"/>
        </w:tblCellMar>
        <w:tblLook w:noVBand="0" w:val="0000" w:noHBand="0" w:lastColumn="0" w:firstColumn="0" w:lastRow="0" w:firstRow="0"/>
      </w:tblPr>
      <w:tblGrid>
        <w:gridCol w:w="784"/>
        <w:gridCol w:w="2774"/>
        <w:gridCol w:w="3170"/>
        <w:gridCol w:w="1342"/>
        <w:gridCol w:w="1117"/>
        <w:gridCol w:w="1257"/>
        <w:gridCol w:w="4408"/>
      </w:tblGrid>
      <w:tr>
        <w:trPr>
          <w:tblHeader w:val="true"/>
          <w:trHeight w:val="20" w:hRule="atLeast"/>
          <w:cantSplit w:val="true"/>
        </w:trPr>
        <w:tc>
          <w:tcPr>
            <w:tcW w:w="78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bookmarkStart w:id="88" w:name="_Hlk137024018"/>
            <w:bookmarkEnd w:id="88"/>
            <w:r>
              <w:rPr>
                <w:sz w:val="20"/>
                <w:szCs w:val="20"/>
              </w:rPr>
              <w:t xml:space="preserve">№ </w:t>
            </w:r>
            <w:r>
              <w:rPr>
                <w:sz w:val="20"/>
                <w:szCs w:val="20"/>
              </w:rPr>
              <w:t>п/п</w:t>
            </w:r>
          </w:p>
        </w:tc>
        <w:tc>
          <w:tcPr>
            <w:tcW w:w="277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Наименование объекта</w:t>
            </w:r>
          </w:p>
        </w:tc>
        <w:tc>
          <w:tcPr>
            <w:tcW w:w="317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Вид мероприятия</w:t>
            </w:r>
          </w:p>
        </w:tc>
        <w:tc>
          <w:tcPr>
            <w:tcW w:w="134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Количество</w:t>
            </w:r>
          </w:p>
        </w:tc>
        <w:tc>
          <w:tcPr>
            <w:tcW w:w="237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Сроки реализации</w:t>
            </w:r>
          </w:p>
        </w:tc>
        <w:tc>
          <w:tcPr>
            <w:tcW w:w="440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Источник мероприятия (наименование документа)</w:t>
            </w:r>
          </w:p>
        </w:tc>
      </w:tr>
      <w:tr>
        <w:trPr>
          <w:tblHeader w:val="true"/>
          <w:trHeight w:val="1862" w:hRule="atLeast"/>
          <w:cantSplit w:val="true"/>
        </w:trPr>
        <w:tc>
          <w:tcPr>
            <w:tcW w:w="78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r>
          </w:p>
        </w:tc>
        <w:tc>
          <w:tcPr>
            <w:tcW w:w="277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r>
          </w:p>
        </w:tc>
        <w:tc>
          <w:tcPr>
            <w:tcW w:w="317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r>
          </w:p>
        </w:tc>
        <w:tc>
          <w:tcPr>
            <w:tcW w:w="134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r>
          </w:p>
        </w:tc>
        <w:tc>
          <w:tcPr>
            <w:tcW w:w="11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Первая очередь</w:t>
            </w:r>
          </w:p>
        </w:tc>
        <w:tc>
          <w:tcPr>
            <w:tcW w:w="12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Расчетный период</w:t>
            </w:r>
          </w:p>
        </w:tc>
        <w:tc>
          <w:tcPr>
            <w:tcW w:w="440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r>
          </w:p>
        </w:tc>
      </w:tr>
      <w:tr>
        <w:trPr>
          <w:trHeight w:val="20" w:hRule="atLeast"/>
          <w:cantSplit w:val="true"/>
        </w:trPr>
        <w:tc>
          <w:tcPr>
            <w:tcW w:w="7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1</w:t>
            </w:r>
          </w:p>
        </w:tc>
        <w:tc>
          <w:tcPr>
            <w:tcW w:w="27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Вахитовское сельское поселение</w:t>
            </w:r>
          </w:p>
        </w:tc>
        <w:tc>
          <w:tcPr>
            <w:tcW w:w="31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Установка речевых сиренных установок</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7 шт.</w:t>
            </w:r>
          </w:p>
        </w:tc>
        <w:tc>
          <w:tcPr>
            <w:tcW w:w="11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w:t>
            </w:r>
          </w:p>
        </w:tc>
        <w:tc>
          <w:tcPr>
            <w:tcW w:w="12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r>
          </w:p>
        </w:tc>
        <w:tc>
          <w:tcPr>
            <w:tcW w:w="440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pPr>
            <w:r>
              <w:rPr>
                <w:sz w:val="20"/>
                <w:szCs w:val="20"/>
              </w:rPr>
              <w:t>Генеральный план Вахитовского сельского поселения</w:t>
            </w:r>
          </w:p>
        </w:tc>
      </w:tr>
      <w:tr>
        <w:trPr>
          <w:trHeight w:val="20" w:hRule="atLeast"/>
          <w:cantSplit w:val="true"/>
        </w:trPr>
        <w:tc>
          <w:tcPr>
            <w:tcW w:w="7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2</w:t>
            </w:r>
          </w:p>
        </w:tc>
        <w:tc>
          <w:tcPr>
            <w:tcW w:w="27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Леса</w:t>
            </w:r>
          </w:p>
        </w:tc>
        <w:tc>
          <w:tcPr>
            <w:tcW w:w="31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Соблюдать противопожарные расстояния</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w:t>
            </w:r>
          </w:p>
        </w:tc>
        <w:tc>
          <w:tcPr>
            <w:tcW w:w="11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w:t>
            </w:r>
          </w:p>
        </w:tc>
        <w:tc>
          <w:tcPr>
            <w:tcW w:w="12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r>
          </w:p>
        </w:tc>
        <w:tc>
          <w:tcPr>
            <w:tcW w:w="440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hanging="0"/>
              <w:jc w:val="center"/>
              <w:rPr>
                <w:sz w:val="20"/>
                <w:szCs w:val="20"/>
              </w:rPr>
            </w:pPr>
            <w:r>
              <w:rPr>
                <w:sz w:val="20"/>
                <w:szCs w:val="20"/>
              </w:rPr>
            </w:r>
          </w:p>
        </w:tc>
      </w:tr>
      <w:tr>
        <w:trPr>
          <w:trHeight w:val="20" w:hRule="atLeast"/>
          <w:cantSplit w:val="true"/>
        </w:trPr>
        <w:tc>
          <w:tcPr>
            <w:tcW w:w="7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3</w:t>
            </w:r>
          </w:p>
        </w:tc>
        <w:tc>
          <w:tcPr>
            <w:tcW w:w="27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Магистральные трубопроводы</w:t>
            </w:r>
          </w:p>
        </w:tc>
        <w:tc>
          <w:tcPr>
            <w:tcW w:w="31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Установление и соблюдение режима зон минимальных расстояний</w:t>
            </w:r>
          </w:p>
        </w:tc>
        <w:tc>
          <w:tcPr>
            <w:tcW w:w="1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4</w:t>
            </w:r>
          </w:p>
        </w:tc>
        <w:tc>
          <w:tcPr>
            <w:tcW w:w="11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w:t>
            </w:r>
          </w:p>
        </w:tc>
        <w:tc>
          <w:tcPr>
            <w:tcW w:w="12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r>
          </w:p>
        </w:tc>
        <w:tc>
          <w:tcPr>
            <w:tcW w:w="440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hanging="0"/>
              <w:jc w:val="center"/>
              <w:rPr>
                <w:sz w:val="20"/>
                <w:szCs w:val="20"/>
              </w:rPr>
            </w:pPr>
            <w:r>
              <w:rPr>
                <w:sz w:val="20"/>
                <w:szCs w:val="20"/>
              </w:rPr>
            </w:r>
            <w:bookmarkStart w:id="89" w:name="_Hlk137024018"/>
            <w:bookmarkStart w:id="90" w:name="_Hlk137024018"/>
            <w:bookmarkEnd w:id="90"/>
          </w:p>
        </w:tc>
      </w:tr>
    </w:tbl>
    <w:p>
      <w:pPr>
        <w:sectPr>
          <w:footerReference w:type="default" r:id="rId27"/>
          <w:footerReference w:type="first" r:id="rId28"/>
          <w:type w:val="nextPage"/>
          <w:pgSz w:orient="landscape" w:w="16838" w:h="11906"/>
          <w:pgMar w:left="1134" w:right="851" w:gutter="0" w:header="0" w:top="851" w:footer="708" w:bottom="851"/>
          <w:pgNumType w:fmt="decimal"/>
          <w:formProt w:val="false"/>
          <w:textDirection w:val="lrTb"/>
          <w:docGrid w:type="default" w:linePitch="360" w:charSpace="0"/>
        </w:sectPr>
        <w:pStyle w:val="Normal"/>
        <w:spacing w:before="0" w:after="0"/>
        <w:ind w:hanging="0"/>
        <w:contextualSpacing/>
        <w:jc w:val="center"/>
        <w:rPr>
          <w:rFonts w:eastAsia="Calibri"/>
          <w:color w:val="FF0000"/>
          <w:szCs w:val="28"/>
          <w:lang w:eastAsia="en-US"/>
        </w:rPr>
      </w:pPr>
      <w:r>
        <w:rPr>
          <w:rFonts w:eastAsia="Calibri"/>
          <w:color w:val="FF0000"/>
          <w:szCs w:val="28"/>
          <w:lang w:eastAsia="en-US"/>
        </w:rPr>
      </w:r>
    </w:p>
    <w:p>
      <w:pPr>
        <w:pStyle w:val="1"/>
        <w:numPr>
          <w:ilvl w:val="0"/>
          <w:numId w:val="0"/>
        </w:numPr>
        <w:ind w:left="0" w:hanging="0"/>
        <w:rPr/>
      </w:pPr>
      <w:bookmarkStart w:id="91" w:name="_Toc156489391"/>
      <w:bookmarkStart w:id="92" w:name="_Toc26361971"/>
      <w:r>
        <w:rPr/>
        <w:t>4. Параметры функциональных зон</w:t>
      </w:r>
      <w:bookmarkEnd w:id="91"/>
      <w:bookmarkEnd w:id="92"/>
    </w:p>
    <w:p>
      <w:pPr>
        <w:pStyle w:val="Normal"/>
        <w:jc w:val="right"/>
        <w:rPr>
          <w:szCs w:val="28"/>
        </w:rPr>
      </w:pPr>
      <w:r>
        <w:rPr>
          <w:szCs w:val="28"/>
        </w:rPr>
        <w:t>Таблица 4.1</w:t>
      </w:r>
    </w:p>
    <w:p>
      <w:pPr>
        <w:pStyle w:val="Normal"/>
        <w:ind w:hanging="0"/>
        <w:jc w:val="center"/>
        <w:rPr>
          <w:szCs w:val="28"/>
        </w:rPr>
      </w:pPr>
      <w:r>
        <w:rPr>
          <w:szCs w:val="28"/>
        </w:rPr>
        <w:t>Параметры функциональных зон, используемых в проекте генерального плана Вахитовского сельского поселения</w:t>
      </w:r>
    </w:p>
    <w:tbl>
      <w:tblPr>
        <w:tblW w:w="5000" w:type="pct"/>
        <w:jc w:val="center"/>
        <w:tblInd w:w="0" w:type="dxa"/>
        <w:tblLayout w:type="fixed"/>
        <w:tblCellMar>
          <w:top w:w="0" w:type="dxa"/>
          <w:left w:w="108" w:type="dxa"/>
          <w:bottom w:w="0" w:type="dxa"/>
          <w:right w:w="108" w:type="dxa"/>
        </w:tblCellMar>
        <w:tblLook w:noVBand="1" w:val="04a0" w:noHBand="0" w:lastColumn="0" w:firstColumn="1" w:lastRow="0" w:firstRow="1"/>
      </w:tblPr>
      <w:tblGrid>
        <w:gridCol w:w="579"/>
        <w:gridCol w:w="1330"/>
        <w:gridCol w:w="2913"/>
        <w:gridCol w:w="1664"/>
        <w:gridCol w:w="1940"/>
        <w:gridCol w:w="1494"/>
      </w:tblGrid>
      <w:tr>
        <w:trPr>
          <w:tblHeader w:val="true"/>
          <w:trHeight w:val="836" w:hRule="atLeast"/>
          <w:cantSplit w:val="true"/>
        </w:trPr>
        <w:tc>
          <w:tcPr>
            <w:tcW w:w="5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 xml:space="preserve">№ </w:t>
            </w:r>
            <w:r>
              <w:rPr>
                <w:sz w:val="20"/>
                <w:szCs w:val="20"/>
              </w:rPr>
              <w:t>п/п</w:t>
            </w:r>
          </w:p>
        </w:tc>
        <w:tc>
          <w:tcPr>
            <w:tcW w:w="13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Наименование функциональной зоны</w:t>
            </w:r>
          </w:p>
        </w:tc>
        <w:tc>
          <w:tcPr>
            <w:tcW w:w="29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Описание назначения функциональной зоны</w:t>
            </w:r>
          </w:p>
        </w:tc>
        <w:tc>
          <w:tcPr>
            <w:tcW w:w="16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Параметры</w:t>
            </w:r>
            <w:r>
              <w:rPr>
                <w:sz w:val="20"/>
                <w:szCs w:val="20"/>
                <w:lang w:val="en-US"/>
              </w:rPr>
              <w:t xml:space="preserve"> </w:t>
            </w:r>
            <w:r>
              <w:rPr>
                <w:sz w:val="20"/>
                <w:szCs w:val="20"/>
              </w:rPr>
              <w:t>функциональной зоны</w:t>
            </w:r>
          </w:p>
        </w:tc>
        <w:tc>
          <w:tcPr>
            <w:tcW w:w="19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Коды возможных видов разрешенного использования земельных участков в функциональной зоне</w:t>
            </w:r>
          </w:p>
        </w:tc>
        <w:tc>
          <w:tcPr>
            <w:tcW w:w="14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rPr>
                <w:sz w:val="20"/>
                <w:szCs w:val="20"/>
                <w:shd w:fill="FFFFFF" w:val="clear"/>
              </w:rPr>
            </w:pPr>
            <w:r>
              <w:rPr>
                <w:sz w:val="20"/>
                <w:szCs w:val="20"/>
                <w:shd w:fill="FFFFFF" w:val="clear"/>
              </w:rPr>
            </w:r>
          </w:p>
          <w:p>
            <w:pPr>
              <w:pStyle w:val="Normal"/>
              <w:widowControl w:val="false"/>
              <w:ind w:hanging="0"/>
              <w:jc w:val="center"/>
              <w:rPr>
                <w:sz w:val="20"/>
                <w:szCs w:val="20"/>
              </w:rPr>
            </w:pPr>
            <w:r>
              <w:rPr>
                <w:sz w:val="20"/>
                <w:szCs w:val="20"/>
                <w:shd w:fill="FFFFFF" w:val="clear"/>
              </w:rPr>
              <w:t>Планируемые для размещения объекты</w:t>
            </w:r>
          </w:p>
        </w:tc>
      </w:tr>
      <w:tr>
        <w:trPr>
          <w:trHeight w:val="2270" w:hRule="atLeast"/>
          <w:cantSplit w:val="true"/>
        </w:trPr>
        <w:tc>
          <w:tcPr>
            <w:tcW w:w="5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1</w:t>
            </w:r>
          </w:p>
        </w:tc>
        <w:tc>
          <w:tcPr>
            <w:tcW w:w="13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6"/>
              <w:jc w:val="center"/>
              <w:rPr>
                <w:sz w:val="20"/>
                <w:szCs w:val="20"/>
              </w:rPr>
            </w:pPr>
            <w:r>
              <w:rPr>
                <w:sz w:val="20"/>
                <w:szCs w:val="20"/>
              </w:rPr>
              <w:t>Зона застройки индивидуальными жилыми домами</w:t>
            </w:r>
          </w:p>
        </w:tc>
        <w:tc>
          <w:tcPr>
            <w:tcW w:w="29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pacing w:val="2"/>
                <w:sz w:val="20"/>
                <w:szCs w:val="20"/>
                <w:shd w:fill="FFFFFF" w:val="clear"/>
              </w:rPr>
            </w:pPr>
            <w:r>
              <w:rPr>
                <w:spacing w:val="2"/>
                <w:sz w:val="20"/>
                <w:szCs w:val="20"/>
                <w:shd w:fill="FFFFFF" w:val="clear"/>
              </w:rPr>
              <w:t>-индивидуальные отдельно стоящие жилые дома с приусадебными земельными участками;</w:t>
            </w:r>
          </w:p>
          <w:p>
            <w:pPr>
              <w:pStyle w:val="Normal"/>
              <w:widowControl w:val="false"/>
              <w:ind w:hanging="0"/>
              <w:jc w:val="center"/>
              <w:rPr>
                <w:rFonts w:eastAsia="Calibri"/>
                <w:sz w:val="20"/>
                <w:szCs w:val="20"/>
              </w:rPr>
            </w:pPr>
            <w:r>
              <w:rPr>
                <w:spacing w:val="2"/>
                <w:sz w:val="20"/>
                <w:szCs w:val="20"/>
                <w:shd w:fill="FFFFFF" w:val="clear"/>
              </w:rPr>
              <w:t>-объекты капитального строительства, необходимые для обслуживания жилой застройки, а также связанные  с проживанием граждан</w:t>
            </w:r>
          </w:p>
        </w:tc>
        <w:tc>
          <w:tcPr>
            <w:tcW w:w="16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Предельное количество этажей основного строения:3 (включая мансардный); Коэффициент застройки: 0,2-0,3</w:t>
            </w:r>
          </w:p>
        </w:tc>
        <w:tc>
          <w:tcPr>
            <w:tcW w:w="19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2.1; 2.2; 2.3; 3.4.1; 3.5.1; 3.8.1; 3.10.1; 4.4; 5.1.3; 9.3; 11.1, 11.2; 11.3; 12.0.1; 12.0.2</w:t>
            </w:r>
          </w:p>
        </w:tc>
        <w:tc>
          <w:tcPr>
            <w:tcW w:w="14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Застройка индивидуальными жилыми домами</w:t>
            </w:r>
          </w:p>
        </w:tc>
      </w:tr>
      <w:tr>
        <w:trPr>
          <w:cantSplit w:val="true"/>
        </w:trPr>
        <w:tc>
          <w:tcPr>
            <w:tcW w:w="5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2</w:t>
            </w:r>
          </w:p>
        </w:tc>
        <w:tc>
          <w:tcPr>
            <w:tcW w:w="13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6"/>
              <w:jc w:val="center"/>
              <w:rPr>
                <w:sz w:val="20"/>
                <w:szCs w:val="20"/>
              </w:rPr>
            </w:pPr>
            <w:r>
              <w:rPr>
                <w:sz w:val="20"/>
                <w:szCs w:val="20"/>
              </w:rPr>
              <w:t>Многофункциональная общественно-деловая зона</w:t>
            </w:r>
          </w:p>
        </w:tc>
        <w:tc>
          <w:tcPr>
            <w:tcW w:w="29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rFonts w:eastAsia="Calibri"/>
                <w:sz w:val="20"/>
                <w:szCs w:val="20"/>
              </w:rPr>
            </w:pPr>
            <w:r>
              <w:rPr>
                <w:rFonts w:eastAsia="Calibri"/>
                <w:sz w:val="20"/>
                <w:szCs w:val="20"/>
              </w:rPr>
              <w:t>-административные учреждения;</w:t>
            </w:r>
          </w:p>
          <w:p>
            <w:pPr>
              <w:pStyle w:val="Normal"/>
              <w:widowControl w:val="false"/>
              <w:ind w:hanging="0"/>
              <w:jc w:val="center"/>
              <w:rPr>
                <w:rFonts w:eastAsia="Calibri"/>
                <w:sz w:val="20"/>
                <w:szCs w:val="20"/>
              </w:rPr>
            </w:pPr>
            <w:r>
              <w:rPr>
                <w:rFonts w:eastAsia="Calibri"/>
                <w:sz w:val="20"/>
                <w:szCs w:val="20"/>
              </w:rPr>
              <w:t xml:space="preserve"> </w:t>
            </w:r>
            <w:r>
              <w:rPr>
                <w:rFonts w:eastAsia="Calibri"/>
                <w:sz w:val="20"/>
                <w:szCs w:val="20"/>
              </w:rPr>
              <w:t>-объекты, обеспечивающие предоставление бытовых услуг;</w:t>
            </w:r>
          </w:p>
          <w:p>
            <w:pPr>
              <w:pStyle w:val="Normal"/>
              <w:widowControl w:val="false"/>
              <w:ind w:hanging="0"/>
              <w:jc w:val="center"/>
              <w:rPr>
                <w:rFonts w:eastAsia="Calibri"/>
                <w:sz w:val="20"/>
                <w:szCs w:val="20"/>
              </w:rPr>
            </w:pPr>
            <w:r>
              <w:rPr>
                <w:rFonts w:eastAsia="Calibri"/>
                <w:sz w:val="20"/>
                <w:szCs w:val="20"/>
              </w:rPr>
              <w:t>-объекты гостиничного обслуживания;</w:t>
            </w:r>
          </w:p>
          <w:p>
            <w:pPr>
              <w:pStyle w:val="Normal"/>
              <w:widowControl w:val="false"/>
              <w:ind w:hanging="0"/>
              <w:jc w:val="center"/>
              <w:rPr>
                <w:rFonts w:eastAsia="Calibri"/>
                <w:sz w:val="20"/>
                <w:szCs w:val="20"/>
              </w:rPr>
            </w:pPr>
            <w:r>
              <w:rPr>
                <w:rFonts w:eastAsia="Calibri"/>
                <w:sz w:val="20"/>
                <w:szCs w:val="20"/>
              </w:rPr>
              <w:t>- объекты, обеспечивающие предоставление ветеринарных услуг;</w:t>
            </w:r>
          </w:p>
          <w:p>
            <w:pPr>
              <w:pStyle w:val="Normal"/>
              <w:widowControl w:val="false"/>
              <w:ind w:hanging="0"/>
              <w:jc w:val="center"/>
              <w:rPr>
                <w:rFonts w:eastAsia="Calibri"/>
                <w:sz w:val="20"/>
                <w:szCs w:val="20"/>
              </w:rPr>
            </w:pPr>
            <w:r>
              <w:rPr>
                <w:rFonts w:eastAsia="Calibri"/>
                <w:sz w:val="20"/>
                <w:szCs w:val="20"/>
              </w:rPr>
              <w:t>-объекты социального обслуживания;</w:t>
            </w:r>
          </w:p>
          <w:p>
            <w:pPr>
              <w:pStyle w:val="Normal"/>
              <w:widowControl w:val="false"/>
              <w:ind w:hanging="0"/>
              <w:jc w:val="center"/>
              <w:rPr>
                <w:rFonts w:eastAsia="Calibri"/>
                <w:sz w:val="20"/>
                <w:szCs w:val="20"/>
              </w:rPr>
            </w:pPr>
            <w:r>
              <w:rPr>
                <w:rFonts w:eastAsia="Calibri"/>
                <w:sz w:val="20"/>
                <w:szCs w:val="20"/>
              </w:rPr>
              <w:t>-объекты торговли, рынки – объекты общественного питания;</w:t>
            </w:r>
          </w:p>
          <w:p>
            <w:pPr>
              <w:pStyle w:val="Normal"/>
              <w:widowControl w:val="false"/>
              <w:ind w:hanging="0"/>
              <w:jc w:val="center"/>
              <w:rPr>
                <w:rFonts w:eastAsia="Calibri"/>
                <w:sz w:val="20"/>
                <w:szCs w:val="20"/>
              </w:rPr>
            </w:pPr>
            <w:r>
              <w:rPr>
                <w:rFonts w:eastAsia="Calibri"/>
                <w:sz w:val="20"/>
                <w:szCs w:val="20"/>
              </w:rPr>
              <w:t>-объекты предпринимательства и делового управления;</w:t>
            </w:r>
          </w:p>
          <w:p>
            <w:pPr>
              <w:pStyle w:val="Normal"/>
              <w:widowControl w:val="false"/>
              <w:ind w:hanging="0"/>
              <w:jc w:val="center"/>
              <w:rPr>
                <w:rFonts w:eastAsia="Calibri"/>
                <w:sz w:val="20"/>
                <w:szCs w:val="20"/>
              </w:rPr>
            </w:pPr>
            <w:r>
              <w:rPr>
                <w:rFonts w:eastAsia="Calibri"/>
                <w:sz w:val="20"/>
                <w:szCs w:val="20"/>
              </w:rPr>
              <w:t>-учреждения, оказывающие банковские и страховые услуги;</w:t>
            </w:r>
          </w:p>
          <w:p>
            <w:pPr>
              <w:pStyle w:val="Normal"/>
              <w:widowControl w:val="false"/>
              <w:ind w:hanging="0"/>
              <w:jc w:val="center"/>
              <w:rPr>
                <w:rFonts w:eastAsia="Calibri"/>
                <w:sz w:val="20"/>
                <w:szCs w:val="20"/>
              </w:rPr>
            </w:pPr>
            <w:r>
              <w:rPr>
                <w:rFonts w:eastAsia="Calibri"/>
                <w:sz w:val="20"/>
                <w:szCs w:val="20"/>
              </w:rPr>
              <w:t>-объекты, необходимые для обеспечения внутреннего правопорядка;</w:t>
            </w:r>
          </w:p>
        </w:tc>
        <w:tc>
          <w:tcPr>
            <w:tcW w:w="16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Предельное количество этажей основного строения: 5 (включая мансардный); Предельная высота основного строения: 20 м;</w:t>
            </w:r>
          </w:p>
          <w:p>
            <w:pPr>
              <w:pStyle w:val="Normal"/>
              <w:widowControl w:val="false"/>
              <w:ind w:hanging="0"/>
              <w:jc w:val="center"/>
              <w:rPr>
                <w:sz w:val="20"/>
                <w:szCs w:val="20"/>
              </w:rPr>
            </w:pPr>
            <w:r>
              <w:rPr>
                <w:sz w:val="20"/>
                <w:szCs w:val="20"/>
              </w:rPr>
              <w:t>Коэффициент застройки: 1</w:t>
            </w:r>
          </w:p>
        </w:tc>
        <w:tc>
          <w:tcPr>
            <w:tcW w:w="19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2.7; 3.1.2; 3.2.2; 3.2.3; 3.2.4; 3.3; 3.4.1; 3.4.2; 3.5.1; 3.5.2; 3.6.1; 3.7.1; 3.7.2; 3.8.1; 3.8.2; 3.9.2; 3.10.1; 4.1; 4.4; 4.5; 4.6; 4.7; 4.8.1; 5.1.1; 5.1.2; 5.1.3; 9.3; 11.1, 11.2; 11.3; 12.0.1; 12.0.2</w:t>
            </w:r>
          </w:p>
        </w:tc>
        <w:tc>
          <w:tcPr>
            <w:tcW w:w="14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 xml:space="preserve">Общественный центр, </w:t>
            </w:r>
            <w:r>
              <w:rPr>
                <w:rFonts w:eastAsia="Calibri"/>
                <w:sz w:val="20"/>
                <w:szCs w:val="20"/>
              </w:rPr>
              <w:t xml:space="preserve">предприятия общественного питания, </w:t>
            </w:r>
            <w:r>
              <w:rPr>
                <w:sz w:val="20"/>
                <w:szCs w:val="20"/>
              </w:rPr>
              <w:t xml:space="preserve"> </w:t>
            </w:r>
            <w:r>
              <w:rPr>
                <w:rFonts w:eastAsia="Calibri"/>
                <w:sz w:val="20"/>
                <w:szCs w:val="20"/>
              </w:rPr>
              <w:t>предприятия</w:t>
            </w:r>
            <w:r>
              <w:rPr>
                <w:sz w:val="20"/>
                <w:szCs w:val="20"/>
              </w:rPr>
              <w:t xml:space="preserve"> бытового обслуживания, отделение банка, отделение почтовой связи</w:t>
            </w:r>
          </w:p>
        </w:tc>
      </w:tr>
      <w:tr>
        <w:trPr>
          <w:cantSplit w:val="true"/>
        </w:trPr>
        <w:tc>
          <w:tcPr>
            <w:tcW w:w="5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3</w:t>
            </w:r>
          </w:p>
        </w:tc>
        <w:tc>
          <w:tcPr>
            <w:tcW w:w="13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6"/>
              <w:jc w:val="center"/>
              <w:rPr>
                <w:sz w:val="20"/>
                <w:szCs w:val="20"/>
              </w:rPr>
            </w:pPr>
            <w:r>
              <w:rPr>
                <w:sz w:val="20"/>
                <w:szCs w:val="20"/>
              </w:rPr>
              <w:t>Зона специализированной общественной застройки</w:t>
            </w:r>
          </w:p>
        </w:tc>
        <w:tc>
          <w:tcPr>
            <w:tcW w:w="29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rFonts w:eastAsia="Calibri"/>
                <w:sz w:val="20"/>
                <w:szCs w:val="20"/>
              </w:rPr>
            </w:pPr>
            <w:r>
              <w:rPr>
                <w:rFonts w:eastAsia="Calibri"/>
                <w:sz w:val="20"/>
                <w:szCs w:val="20"/>
              </w:rPr>
              <w:t>-объекты медицинского обслуживания;</w:t>
            </w:r>
          </w:p>
          <w:p>
            <w:pPr>
              <w:pStyle w:val="Normal"/>
              <w:widowControl w:val="false"/>
              <w:ind w:hanging="0"/>
              <w:jc w:val="center"/>
              <w:rPr>
                <w:rFonts w:eastAsia="Calibri"/>
                <w:sz w:val="20"/>
                <w:szCs w:val="20"/>
              </w:rPr>
            </w:pPr>
            <w:r>
              <w:rPr>
                <w:rFonts w:eastAsia="Calibri"/>
                <w:sz w:val="20"/>
                <w:szCs w:val="20"/>
              </w:rPr>
              <w:t xml:space="preserve"> </w:t>
            </w:r>
            <w:r>
              <w:rPr>
                <w:rFonts w:eastAsia="Calibri"/>
                <w:sz w:val="20"/>
                <w:szCs w:val="20"/>
              </w:rPr>
              <w:t>-здания и сооружения религиозного использования;</w:t>
            </w:r>
          </w:p>
          <w:p>
            <w:pPr>
              <w:pStyle w:val="Normal"/>
              <w:widowControl w:val="false"/>
              <w:ind w:hanging="0"/>
              <w:jc w:val="center"/>
              <w:rPr>
                <w:rFonts w:eastAsia="Calibri"/>
                <w:sz w:val="20"/>
                <w:szCs w:val="20"/>
              </w:rPr>
            </w:pPr>
            <w:r>
              <w:rPr>
                <w:rFonts w:eastAsia="Calibri"/>
                <w:sz w:val="20"/>
                <w:szCs w:val="20"/>
              </w:rPr>
              <w:t>- объекты образования и просвещения;</w:t>
            </w:r>
          </w:p>
          <w:p>
            <w:pPr>
              <w:pStyle w:val="Normal"/>
              <w:widowControl w:val="false"/>
              <w:ind w:hanging="0"/>
              <w:jc w:val="center"/>
              <w:rPr>
                <w:rFonts w:eastAsia="Calibri"/>
                <w:sz w:val="20"/>
                <w:szCs w:val="20"/>
              </w:rPr>
            </w:pPr>
            <w:r>
              <w:rPr>
                <w:rFonts w:eastAsia="Calibri"/>
                <w:sz w:val="20"/>
                <w:szCs w:val="20"/>
              </w:rPr>
              <w:t>-объекты дошкольного, начального и среднего общего образования, образовательные кружки;</w:t>
            </w:r>
          </w:p>
          <w:p>
            <w:pPr>
              <w:pStyle w:val="Normal"/>
              <w:widowControl w:val="false"/>
              <w:ind w:hanging="0"/>
              <w:jc w:val="center"/>
              <w:rPr>
                <w:rFonts w:eastAsia="Calibri"/>
                <w:sz w:val="20"/>
                <w:szCs w:val="20"/>
              </w:rPr>
            </w:pPr>
            <w:r>
              <w:rPr>
                <w:rFonts w:eastAsia="Calibri"/>
                <w:sz w:val="20"/>
                <w:szCs w:val="20"/>
              </w:rPr>
              <w:t>- объекты культуры, культурно-досуговой деятельности;</w:t>
            </w:r>
          </w:p>
          <w:p>
            <w:pPr>
              <w:pStyle w:val="Normal"/>
              <w:widowControl w:val="false"/>
              <w:ind w:hanging="0"/>
              <w:jc w:val="center"/>
              <w:rPr>
                <w:rFonts w:eastAsia="Calibri"/>
                <w:sz w:val="20"/>
                <w:szCs w:val="20"/>
              </w:rPr>
            </w:pPr>
            <w:r>
              <w:rPr>
                <w:rFonts w:eastAsia="Calibri"/>
                <w:sz w:val="20"/>
                <w:szCs w:val="20"/>
              </w:rPr>
              <w:t>-объекты, предназначенные для организации развлекательных мероприятий;</w:t>
            </w:r>
          </w:p>
          <w:p>
            <w:pPr>
              <w:pStyle w:val="Normal"/>
              <w:widowControl w:val="false"/>
              <w:ind w:hanging="0"/>
              <w:jc w:val="center"/>
              <w:rPr>
                <w:rFonts w:eastAsia="Calibri"/>
                <w:sz w:val="20"/>
                <w:szCs w:val="20"/>
              </w:rPr>
            </w:pPr>
            <w:r>
              <w:rPr>
                <w:rFonts w:eastAsia="Calibri"/>
                <w:sz w:val="20"/>
                <w:szCs w:val="20"/>
              </w:rPr>
              <w:t>-объекты спорта;</w:t>
            </w:r>
          </w:p>
          <w:p>
            <w:pPr>
              <w:pStyle w:val="Normal"/>
              <w:widowControl w:val="false"/>
              <w:ind w:hanging="0"/>
              <w:jc w:val="center"/>
              <w:rPr>
                <w:rFonts w:eastAsia="Calibri"/>
                <w:sz w:val="20"/>
                <w:szCs w:val="20"/>
              </w:rPr>
            </w:pPr>
            <w:r>
              <w:rPr>
                <w:rFonts w:eastAsia="Calibri"/>
                <w:sz w:val="20"/>
                <w:szCs w:val="20"/>
              </w:rPr>
              <w:t>-объекты, предназначенные для осуществления выставочно-ярмарочной деятельности;</w:t>
            </w:r>
          </w:p>
        </w:tc>
        <w:tc>
          <w:tcPr>
            <w:tcW w:w="16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Предельное количество этажей основного строения: 5 (включая мансардный); Предельная высота основного строения: 20 м;</w:t>
            </w:r>
          </w:p>
          <w:p>
            <w:pPr>
              <w:pStyle w:val="Normal"/>
              <w:widowControl w:val="false"/>
              <w:ind w:hanging="0"/>
              <w:jc w:val="center"/>
              <w:rPr>
                <w:sz w:val="20"/>
                <w:szCs w:val="20"/>
              </w:rPr>
            </w:pPr>
            <w:r>
              <w:rPr>
                <w:sz w:val="20"/>
                <w:szCs w:val="20"/>
              </w:rPr>
              <w:t>Коэффициент застройки: 0,8</w:t>
            </w:r>
          </w:p>
        </w:tc>
        <w:tc>
          <w:tcPr>
            <w:tcW w:w="19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6"/>
              <w:jc w:val="center"/>
              <w:rPr>
                <w:sz w:val="20"/>
                <w:szCs w:val="20"/>
              </w:rPr>
            </w:pPr>
            <w:r>
              <w:rPr>
                <w:sz w:val="20"/>
                <w:szCs w:val="20"/>
              </w:rPr>
              <w:t>3.2.1; 3.2.2; 3.2.3; 3.2.4; 3.3; 3.4.1; 3.4.2; 3.4.3; 3.5.1; 3.5.2; 3.6.1; 3.7.1; 3.7.2; 3.8.1; 3.8.2; 3.9.2; 3.10.1; 4.1; 4.5; 4.6; 4.7; 5.1.2; 5.1.3; 11.1, 11.2; 11.3; 12.0.1; 12.0.2</w:t>
            </w:r>
          </w:p>
        </w:tc>
        <w:tc>
          <w:tcPr>
            <w:tcW w:w="14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w:t>
            </w:r>
          </w:p>
        </w:tc>
      </w:tr>
      <w:tr>
        <w:trPr>
          <w:cantSplit w:val="true"/>
        </w:trPr>
        <w:tc>
          <w:tcPr>
            <w:tcW w:w="5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4</w:t>
            </w:r>
          </w:p>
        </w:tc>
        <w:tc>
          <w:tcPr>
            <w:tcW w:w="13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6"/>
              <w:jc w:val="center"/>
              <w:rPr>
                <w:sz w:val="20"/>
                <w:szCs w:val="20"/>
              </w:rPr>
            </w:pPr>
            <w:r>
              <w:rPr>
                <w:sz w:val="20"/>
                <w:szCs w:val="20"/>
              </w:rPr>
              <w:t>Зона инженерной инфраструктуры</w:t>
            </w:r>
          </w:p>
        </w:tc>
        <w:tc>
          <w:tcPr>
            <w:tcW w:w="29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rFonts w:eastAsia="Calibri"/>
                <w:sz w:val="20"/>
                <w:szCs w:val="20"/>
              </w:rPr>
            </w:pPr>
            <w:r>
              <w:rPr>
                <w:rFonts w:eastAsia="Calibri"/>
                <w:sz w:val="20"/>
                <w:szCs w:val="20"/>
              </w:rPr>
              <w:t>- объекты электро-, газо-, тепло-,</w:t>
            </w:r>
          </w:p>
          <w:p>
            <w:pPr>
              <w:pStyle w:val="Normal"/>
              <w:widowControl w:val="false"/>
              <w:ind w:hanging="0"/>
              <w:jc w:val="center"/>
              <w:rPr>
                <w:rFonts w:eastAsia="Calibri"/>
                <w:sz w:val="20"/>
                <w:szCs w:val="20"/>
              </w:rPr>
            </w:pPr>
            <w:r>
              <w:rPr>
                <w:rFonts w:eastAsia="Calibri"/>
                <w:sz w:val="20"/>
                <w:szCs w:val="20"/>
              </w:rPr>
              <w:t>водоснабжения, водоотведения населенных</w:t>
            </w:r>
          </w:p>
          <w:p>
            <w:pPr>
              <w:pStyle w:val="Normal"/>
              <w:widowControl w:val="false"/>
              <w:ind w:hanging="0"/>
              <w:jc w:val="center"/>
              <w:rPr>
                <w:rFonts w:eastAsia="Calibri"/>
                <w:sz w:val="20"/>
                <w:szCs w:val="20"/>
              </w:rPr>
            </w:pPr>
            <w:r>
              <w:rPr>
                <w:rFonts w:eastAsia="Calibri"/>
                <w:sz w:val="20"/>
                <w:szCs w:val="20"/>
              </w:rPr>
              <w:t>пунктов;</w:t>
            </w:r>
          </w:p>
          <w:p>
            <w:pPr>
              <w:pStyle w:val="Normal"/>
              <w:widowControl w:val="false"/>
              <w:ind w:hanging="0"/>
              <w:jc w:val="center"/>
              <w:rPr>
                <w:rFonts w:eastAsia="Calibri"/>
                <w:sz w:val="20"/>
                <w:szCs w:val="20"/>
              </w:rPr>
            </w:pPr>
            <w:r>
              <w:rPr>
                <w:rFonts w:eastAsia="Calibri"/>
                <w:sz w:val="20"/>
                <w:szCs w:val="20"/>
              </w:rPr>
              <w:t>- антенно-мачтовые сооружения, объекты</w:t>
            </w:r>
          </w:p>
          <w:p>
            <w:pPr>
              <w:pStyle w:val="Normal"/>
              <w:widowControl w:val="false"/>
              <w:ind w:hanging="0"/>
              <w:jc w:val="center"/>
              <w:rPr>
                <w:rFonts w:eastAsia="Calibri"/>
                <w:sz w:val="20"/>
                <w:szCs w:val="20"/>
              </w:rPr>
            </w:pPr>
            <w:r>
              <w:rPr>
                <w:rFonts w:eastAsia="Calibri"/>
                <w:sz w:val="20"/>
                <w:szCs w:val="20"/>
              </w:rPr>
              <w:t>связи;</w:t>
            </w:r>
          </w:p>
          <w:p>
            <w:pPr>
              <w:pStyle w:val="Normal"/>
              <w:widowControl w:val="false"/>
              <w:ind w:hanging="0"/>
              <w:jc w:val="center"/>
              <w:rPr>
                <w:rFonts w:eastAsia="Calibri"/>
                <w:sz w:val="20"/>
                <w:szCs w:val="20"/>
              </w:rPr>
            </w:pPr>
            <w:r>
              <w:rPr>
                <w:rFonts w:eastAsia="Calibri"/>
                <w:sz w:val="20"/>
                <w:szCs w:val="20"/>
              </w:rPr>
              <w:t>-гидротехнические сооружения;</w:t>
            </w:r>
          </w:p>
        </w:tc>
        <w:tc>
          <w:tcPr>
            <w:tcW w:w="16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Не устанавливаются</w:t>
            </w:r>
          </w:p>
        </w:tc>
        <w:tc>
          <w:tcPr>
            <w:tcW w:w="19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6"/>
              <w:jc w:val="center"/>
              <w:rPr>
                <w:sz w:val="20"/>
                <w:szCs w:val="20"/>
              </w:rPr>
            </w:pPr>
            <w:r>
              <w:rPr>
                <w:sz w:val="20"/>
                <w:szCs w:val="20"/>
              </w:rPr>
              <w:t>2.7.1; 3.1.2; 3.9.1; 6.7; 11.1, 11.2; 11.3; 12.0.1; 12.0.2</w:t>
            </w:r>
          </w:p>
        </w:tc>
        <w:tc>
          <w:tcPr>
            <w:tcW w:w="14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w:t>
            </w:r>
          </w:p>
        </w:tc>
      </w:tr>
      <w:tr>
        <w:trPr>
          <w:cantSplit w:val="true"/>
        </w:trPr>
        <w:tc>
          <w:tcPr>
            <w:tcW w:w="5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5</w:t>
            </w:r>
          </w:p>
        </w:tc>
        <w:tc>
          <w:tcPr>
            <w:tcW w:w="13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6"/>
              <w:jc w:val="center"/>
              <w:rPr>
                <w:sz w:val="20"/>
                <w:szCs w:val="20"/>
              </w:rPr>
            </w:pPr>
            <w:r>
              <w:rPr>
                <w:sz w:val="20"/>
                <w:szCs w:val="20"/>
              </w:rPr>
              <w:t>Зона транспортной инфраструктуры</w:t>
            </w:r>
          </w:p>
        </w:tc>
        <w:tc>
          <w:tcPr>
            <w:tcW w:w="29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rFonts w:eastAsia="Calibri"/>
                <w:sz w:val="20"/>
                <w:szCs w:val="20"/>
              </w:rPr>
            </w:pPr>
            <w:r>
              <w:rPr>
                <w:rFonts w:eastAsia="Calibri"/>
                <w:sz w:val="20"/>
                <w:szCs w:val="20"/>
              </w:rPr>
              <w:t>-размещение постоянных или временных гаражей, стоянок для хранения служебного автотранспорта;</w:t>
            </w:r>
          </w:p>
          <w:p>
            <w:pPr>
              <w:pStyle w:val="Normal"/>
              <w:widowControl w:val="false"/>
              <w:ind w:hanging="0"/>
              <w:jc w:val="center"/>
              <w:rPr>
                <w:rFonts w:eastAsia="Calibri"/>
                <w:sz w:val="20"/>
                <w:szCs w:val="20"/>
              </w:rPr>
            </w:pPr>
            <w:r>
              <w:rPr>
                <w:rFonts w:eastAsia="Calibri"/>
                <w:sz w:val="20"/>
                <w:szCs w:val="20"/>
              </w:rPr>
              <w:t>-объекты дорожного сервиса;</w:t>
            </w:r>
          </w:p>
          <w:p>
            <w:pPr>
              <w:pStyle w:val="Normal"/>
              <w:widowControl w:val="false"/>
              <w:ind w:hanging="0"/>
              <w:jc w:val="center"/>
              <w:rPr>
                <w:rFonts w:eastAsia="Calibri"/>
                <w:sz w:val="20"/>
                <w:szCs w:val="20"/>
              </w:rPr>
            </w:pPr>
            <w:r>
              <w:rPr>
                <w:rFonts w:eastAsia="Calibri"/>
                <w:sz w:val="20"/>
                <w:szCs w:val="20"/>
              </w:rPr>
              <w:t>-размещение различного рода путей сообщения и сооружений, используемых для перевозки людей или грузов;</w:t>
            </w:r>
          </w:p>
        </w:tc>
        <w:tc>
          <w:tcPr>
            <w:tcW w:w="16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Не устанавливаются</w:t>
            </w:r>
          </w:p>
        </w:tc>
        <w:tc>
          <w:tcPr>
            <w:tcW w:w="19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6"/>
              <w:jc w:val="center"/>
              <w:rPr>
                <w:sz w:val="20"/>
                <w:szCs w:val="20"/>
              </w:rPr>
            </w:pPr>
            <w:bookmarkStart w:id="93" w:name="_Toc51844351"/>
            <w:bookmarkStart w:id="94" w:name="_Toc46085285"/>
            <w:r>
              <w:rPr>
                <w:sz w:val="20"/>
                <w:szCs w:val="20"/>
              </w:rPr>
              <w:t>2.4; 2.7.1; 3.1.1; 3.9.1; 4.9.1.1; 4.9.1.2; 4.9.1.3; 4.9.1.4; 7.1.1; 7.1.2; 7.2.2; 7.2.3; 7.3; 7.4; 7.6; 11.1, 11.2; 11.3; 12.0.1; 12.0.2</w:t>
            </w:r>
            <w:bookmarkEnd w:id="93"/>
            <w:bookmarkEnd w:id="94"/>
          </w:p>
        </w:tc>
        <w:tc>
          <w:tcPr>
            <w:tcW w:w="14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w:t>
            </w:r>
          </w:p>
        </w:tc>
      </w:tr>
      <w:tr>
        <w:trPr>
          <w:cantSplit w:val="true"/>
        </w:trPr>
        <w:tc>
          <w:tcPr>
            <w:tcW w:w="5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6</w:t>
            </w:r>
          </w:p>
        </w:tc>
        <w:tc>
          <w:tcPr>
            <w:tcW w:w="13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6"/>
              <w:jc w:val="center"/>
              <w:rPr>
                <w:sz w:val="20"/>
                <w:szCs w:val="20"/>
              </w:rPr>
            </w:pPr>
            <w:r>
              <w:rPr>
                <w:sz w:val="20"/>
                <w:szCs w:val="20"/>
              </w:rPr>
              <w:t>Производственная зона</w:t>
            </w:r>
          </w:p>
        </w:tc>
        <w:tc>
          <w:tcPr>
            <w:tcW w:w="29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rFonts w:eastAsia="Calibri"/>
                <w:sz w:val="20"/>
                <w:szCs w:val="20"/>
              </w:rPr>
            </w:pPr>
            <w:r>
              <w:rPr>
                <w:rFonts w:eastAsia="Calibri"/>
                <w:sz w:val="20"/>
                <w:szCs w:val="20"/>
              </w:rPr>
              <w:t>- объекты промышленного производства IV</w:t>
            </w:r>
          </w:p>
          <w:p>
            <w:pPr>
              <w:pStyle w:val="Normal"/>
              <w:widowControl w:val="false"/>
              <w:ind w:hanging="0"/>
              <w:jc w:val="center"/>
              <w:rPr>
                <w:rFonts w:eastAsia="Calibri"/>
                <w:sz w:val="20"/>
                <w:szCs w:val="20"/>
              </w:rPr>
            </w:pPr>
            <w:r>
              <w:rPr>
                <w:rFonts w:eastAsia="Calibri"/>
                <w:sz w:val="20"/>
                <w:szCs w:val="20"/>
              </w:rPr>
              <w:t>и V классов опасности;</w:t>
            </w:r>
          </w:p>
          <w:p>
            <w:pPr>
              <w:pStyle w:val="Normal"/>
              <w:widowControl w:val="false"/>
              <w:ind w:hanging="0"/>
              <w:jc w:val="center"/>
              <w:rPr>
                <w:rFonts w:eastAsia="Calibri"/>
                <w:sz w:val="20"/>
                <w:szCs w:val="20"/>
              </w:rPr>
            </w:pPr>
            <w:r>
              <w:rPr>
                <w:rFonts w:eastAsia="Calibri"/>
                <w:sz w:val="20"/>
                <w:szCs w:val="20"/>
              </w:rPr>
              <w:t>- объекты промышленного производства</w:t>
            </w:r>
          </w:p>
          <w:p>
            <w:pPr>
              <w:pStyle w:val="Normal"/>
              <w:widowControl w:val="false"/>
              <w:ind w:hanging="0"/>
              <w:jc w:val="center"/>
              <w:rPr>
                <w:rFonts w:eastAsia="Calibri"/>
                <w:sz w:val="20"/>
                <w:szCs w:val="20"/>
              </w:rPr>
            </w:pPr>
            <w:r>
              <w:rPr>
                <w:rFonts w:eastAsia="Calibri"/>
                <w:sz w:val="20"/>
                <w:szCs w:val="20"/>
              </w:rPr>
              <w:t>иных классов опасности при условии</w:t>
            </w:r>
          </w:p>
          <w:p>
            <w:pPr>
              <w:pStyle w:val="Normal"/>
              <w:widowControl w:val="false"/>
              <w:ind w:hanging="0"/>
              <w:jc w:val="center"/>
              <w:rPr>
                <w:rFonts w:eastAsia="Calibri"/>
                <w:sz w:val="20"/>
                <w:szCs w:val="20"/>
              </w:rPr>
            </w:pPr>
            <w:r>
              <w:rPr>
                <w:rFonts w:eastAsia="Calibri"/>
                <w:sz w:val="20"/>
                <w:szCs w:val="20"/>
              </w:rPr>
              <w:t>использования передовых технологических</w:t>
            </w:r>
          </w:p>
          <w:p>
            <w:pPr>
              <w:pStyle w:val="Normal"/>
              <w:widowControl w:val="false"/>
              <w:ind w:hanging="0"/>
              <w:jc w:val="center"/>
              <w:rPr>
                <w:rFonts w:eastAsia="Calibri"/>
                <w:sz w:val="20"/>
                <w:szCs w:val="20"/>
              </w:rPr>
            </w:pPr>
            <w:r>
              <w:rPr>
                <w:rFonts w:eastAsia="Calibri"/>
                <w:sz w:val="20"/>
                <w:szCs w:val="20"/>
              </w:rPr>
              <w:t>решений при производстве и разработки</w:t>
            </w:r>
          </w:p>
          <w:p>
            <w:pPr>
              <w:pStyle w:val="Normal"/>
              <w:widowControl w:val="false"/>
              <w:ind w:hanging="0"/>
              <w:jc w:val="center"/>
              <w:rPr>
                <w:rFonts w:eastAsia="Calibri"/>
                <w:sz w:val="20"/>
                <w:szCs w:val="20"/>
              </w:rPr>
            </w:pPr>
            <w:r>
              <w:rPr>
                <w:rFonts w:eastAsia="Calibri"/>
                <w:sz w:val="20"/>
                <w:szCs w:val="20"/>
              </w:rPr>
              <w:t>проекта санитарно-защитной зоны;</w:t>
            </w:r>
          </w:p>
          <w:p>
            <w:pPr>
              <w:pStyle w:val="Normal"/>
              <w:widowControl w:val="false"/>
              <w:ind w:hanging="0"/>
              <w:jc w:val="center"/>
              <w:rPr>
                <w:rFonts w:eastAsia="Calibri"/>
                <w:sz w:val="20"/>
                <w:szCs w:val="20"/>
              </w:rPr>
            </w:pPr>
            <w:r>
              <w:rPr>
                <w:rFonts w:eastAsia="Calibri"/>
                <w:sz w:val="20"/>
                <w:szCs w:val="20"/>
              </w:rPr>
              <w:t>- объекты добычи полезных ископаемых</w:t>
            </w:r>
          </w:p>
        </w:tc>
        <w:tc>
          <w:tcPr>
            <w:tcW w:w="16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коэффициент</w:t>
            </w:r>
          </w:p>
          <w:p>
            <w:pPr>
              <w:pStyle w:val="Normal"/>
              <w:widowControl w:val="false"/>
              <w:ind w:hanging="0"/>
              <w:jc w:val="center"/>
              <w:rPr>
                <w:sz w:val="20"/>
                <w:szCs w:val="20"/>
              </w:rPr>
            </w:pPr>
            <w:r>
              <w:rPr>
                <w:sz w:val="20"/>
                <w:szCs w:val="20"/>
              </w:rPr>
              <w:t>застройки: до 0,8</w:t>
            </w:r>
          </w:p>
        </w:tc>
        <w:tc>
          <w:tcPr>
            <w:tcW w:w="19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6"/>
              <w:jc w:val="center"/>
              <w:rPr>
                <w:sz w:val="20"/>
                <w:szCs w:val="20"/>
              </w:rPr>
            </w:pPr>
            <w:r>
              <w:rPr>
                <w:sz w:val="20"/>
                <w:szCs w:val="20"/>
              </w:rPr>
              <w:t>1.15; 2.7.1; 3.1.1; 3.3; 3.9.1; 3.9.2; 3.9.3; 4.1; 4.4; 4.5; 4.6; 4.9; 4.9.1.1; 4.9.1.3; 4.9.1.4; 6.0; 6.2.1; 6.3; 6.3.1; 6.4; 6.5; 6.6; 6.7; 6.8; 6.9; 6.9.1; 6.11; 6.12; 7.3; 7.6; 11.1, 11.2; 11.3; 12.0.1; 12.0.2</w:t>
            </w:r>
          </w:p>
        </w:tc>
        <w:tc>
          <w:tcPr>
            <w:tcW w:w="14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w:t>
            </w:r>
          </w:p>
        </w:tc>
      </w:tr>
      <w:tr>
        <w:trPr>
          <w:cantSplit w:val="true"/>
        </w:trPr>
        <w:tc>
          <w:tcPr>
            <w:tcW w:w="5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7</w:t>
            </w:r>
          </w:p>
        </w:tc>
        <w:tc>
          <w:tcPr>
            <w:tcW w:w="13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6"/>
              <w:jc w:val="center"/>
              <w:rPr>
                <w:sz w:val="20"/>
                <w:szCs w:val="20"/>
              </w:rPr>
            </w:pPr>
            <w:r>
              <w:rPr>
                <w:sz w:val="20"/>
                <w:szCs w:val="20"/>
              </w:rPr>
              <w:t>Коммунально-складская зона</w:t>
            </w:r>
          </w:p>
        </w:tc>
        <w:tc>
          <w:tcPr>
            <w:tcW w:w="29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rFonts w:eastAsia="Calibri"/>
                <w:sz w:val="20"/>
                <w:szCs w:val="20"/>
              </w:rPr>
            </w:pPr>
            <w:r>
              <w:rPr>
                <w:rFonts w:eastAsia="Calibri"/>
                <w:sz w:val="20"/>
                <w:szCs w:val="20"/>
              </w:rPr>
              <w:t>-предприятия пищевой промышленности;</w:t>
            </w:r>
          </w:p>
          <w:p>
            <w:pPr>
              <w:pStyle w:val="Normal"/>
              <w:widowControl w:val="false"/>
              <w:ind w:hanging="0"/>
              <w:jc w:val="center"/>
              <w:rPr>
                <w:rFonts w:eastAsia="Calibri"/>
                <w:sz w:val="20"/>
                <w:szCs w:val="20"/>
              </w:rPr>
            </w:pPr>
            <w:r>
              <w:rPr>
                <w:rFonts w:eastAsia="Calibri"/>
                <w:sz w:val="20"/>
                <w:szCs w:val="20"/>
              </w:rPr>
              <w:t>- общетоварные, специализированные склады;</w:t>
            </w:r>
          </w:p>
          <w:p>
            <w:pPr>
              <w:pStyle w:val="Normal"/>
              <w:widowControl w:val="false"/>
              <w:ind w:hanging="0"/>
              <w:jc w:val="center"/>
              <w:rPr>
                <w:rFonts w:eastAsia="Calibri"/>
                <w:sz w:val="20"/>
                <w:szCs w:val="20"/>
              </w:rPr>
            </w:pPr>
            <w:r>
              <w:rPr>
                <w:rFonts w:eastAsia="Calibri"/>
                <w:sz w:val="20"/>
                <w:szCs w:val="20"/>
              </w:rPr>
              <w:t>- предприятия коммунального, транспортного и бытового обслуживания города</w:t>
            </w:r>
          </w:p>
        </w:tc>
        <w:tc>
          <w:tcPr>
            <w:tcW w:w="16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коэффициент</w:t>
            </w:r>
          </w:p>
          <w:p>
            <w:pPr>
              <w:pStyle w:val="Normal"/>
              <w:widowControl w:val="false"/>
              <w:ind w:hanging="0"/>
              <w:jc w:val="center"/>
              <w:rPr>
                <w:sz w:val="20"/>
                <w:szCs w:val="20"/>
              </w:rPr>
            </w:pPr>
            <w:r>
              <w:rPr>
                <w:sz w:val="20"/>
                <w:szCs w:val="20"/>
              </w:rPr>
              <w:t>застройки: до 0,6</w:t>
            </w:r>
          </w:p>
        </w:tc>
        <w:tc>
          <w:tcPr>
            <w:tcW w:w="19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6"/>
              <w:jc w:val="center"/>
              <w:rPr>
                <w:sz w:val="20"/>
                <w:szCs w:val="20"/>
              </w:rPr>
            </w:pPr>
            <w:r>
              <w:rPr>
                <w:sz w:val="20"/>
                <w:szCs w:val="20"/>
              </w:rPr>
              <w:t>2.0; 2.7.1; 2.7.2; 3.1; 3.3; 3.4.1; 3.5.2; 3.10.1; 4.1; 4.4; 4.6; 4.7; 4.9; 4.9.1; 5.1.4; 6.3; 6.3.1; 6.4; 6.6; 6.8; 6.9; 6.11; 7.2.2; 7.2.3; 8.3; 12.0</w:t>
            </w:r>
          </w:p>
        </w:tc>
        <w:tc>
          <w:tcPr>
            <w:tcW w:w="14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w:t>
            </w:r>
          </w:p>
        </w:tc>
      </w:tr>
      <w:tr>
        <w:trPr>
          <w:cantSplit w:val="true"/>
        </w:trPr>
        <w:tc>
          <w:tcPr>
            <w:tcW w:w="5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8</w:t>
            </w:r>
          </w:p>
        </w:tc>
        <w:tc>
          <w:tcPr>
            <w:tcW w:w="13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6"/>
              <w:jc w:val="center"/>
              <w:rPr>
                <w:sz w:val="20"/>
                <w:szCs w:val="20"/>
              </w:rPr>
            </w:pPr>
            <w:r>
              <w:rPr>
                <w:sz w:val="20"/>
                <w:szCs w:val="20"/>
              </w:rPr>
              <w:t>Зона сельскохозяйственных угодий</w:t>
            </w:r>
          </w:p>
        </w:tc>
        <w:tc>
          <w:tcPr>
            <w:tcW w:w="29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rFonts w:eastAsia="Calibri"/>
                <w:sz w:val="20"/>
                <w:szCs w:val="20"/>
              </w:rPr>
            </w:pPr>
            <w:r>
              <w:rPr>
                <w:rFonts w:eastAsia="Calibri"/>
                <w:sz w:val="20"/>
                <w:szCs w:val="20"/>
              </w:rPr>
              <w:t>-осуществление хозяйственной деятельности на сельскохозяйственных угодиях, связанной с производством сельскохозяйственных культур;</w:t>
            </w:r>
          </w:p>
          <w:p>
            <w:pPr>
              <w:pStyle w:val="Normal"/>
              <w:widowControl w:val="false"/>
              <w:ind w:hanging="0"/>
              <w:jc w:val="center"/>
              <w:rPr>
                <w:rFonts w:eastAsia="Calibri"/>
                <w:sz w:val="20"/>
                <w:szCs w:val="20"/>
              </w:rPr>
            </w:pPr>
            <w:r>
              <w:rPr>
                <w:rFonts w:eastAsia="Calibri"/>
                <w:sz w:val="20"/>
                <w:szCs w:val="20"/>
              </w:rPr>
              <w:t>-выпас сельскохозяйственных животных;</w:t>
            </w:r>
          </w:p>
          <w:p>
            <w:pPr>
              <w:pStyle w:val="Normal"/>
              <w:widowControl w:val="false"/>
              <w:ind w:hanging="0"/>
              <w:jc w:val="center"/>
              <w:rPr>
                <w:rFonts w:eastAsia="Calibri"/>
                <w:sz w:val="20"/>
                <w:szCs w:val="20"/>
              </w:rPr>
            </w:pPr>
            <w:r>
              <w:rPr>
                <w:rFonts w:eastAsia="Calibri"/>
                <w:sz w:val="20"/>
                <w:szCs w:val="20"/>
              </w:rPr>
              <w:t>-полевые дороги;</w:t>
            </w:r>
          </w:p>
        </w:tc>
        <w:tc>
          <w:tcPr>
            <w:tcW w:w="16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Не устанавливаются</w:t>
            </w:r>
          </w:p>
        </w:tc>
        <w:tc>
          <w:tcPr>
            <w:tcW w:w="19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Не устанавливаются</w:t>
            </w:r>
          </w:p>
        </w:tc>
        <w:tc>
          <w:tcPr>
            <w:tcW w:w="14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w:t>
            </w:r>
          </w:p>
        </w:tc>
      </w:tr>
      <w:tr>
        <w:trPr>
          <w:cantSplit w:val="true"/>
        </w:trPr>
        <w:tc>
          <w:tcPr>
            <w:tcW w:w="5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9</w:t>
            </w:r>
          </w:p>
        </w:tc>
        <w:tc>
          <w:tcPr>
            <w:tcW w:w="13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6"/>
              <w:jc w:val="center"/>
              <w:rPr>
                <w:sz w:val="20"/>
                <w:szCs w:val="20"/>
              </w:rPr>
            </w:pPr>
            <w:r>
              <w:rPr>
                <w:sz w:val="20"/>
                <w:szCs w:val="20"/>
              </w:rPr>
              <w:t>Производственная зона сельскохозяйственных предприятий</w:t>
            </w:r>
          </w:p>
        </w:tc>
        <w:tc>
          <w:tcPr>
            <w:tcW w:w="29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-объекты сельскохозяйственного</w:t>
            </w:r>
          </w:p>
          <w:p>
            <w:pPr>
              <w:pStyle w:val="Normal"/>
              <w:widowControl w:val="false"/>
              <w:ind w:hanging="0"/>
              <w:jc w:val="center"/>
              <w:rPr>
                <w:sz w:val="20"/>
                <w:szCs w:val="20"/>
              </w:rPr>
            </w:pPr>
            <w:r>
              <w:rPr>
                <w:sz w:val="20"/>
                <w:szCs w:val="20"/>
              </w:rPr>
              <w:t>производства IV и V классов опасности;</w:t>
            </w:r>
          </w:p>
          <w:p>
            <w:pPr>
              <w:pStyle w:val="Normal"/>
              <w:widowControl w:val="false"/>
              <w:ind w:hanging="0"/>
              <w:jc w:val="center"/>
              <w:rPr>
                <w:sz w:val="20"/>
                <w:szCs w:val="20"/>
              </w:rPr>
            </w:pPr>
            <w:r>
              <w:rPr>
                <w:sz w:val="20"/>
                <w:szCs w:val="20"/>
              </w:rPr>
              <w:t>- объекты сельскохозяйственного</w:t>
            </w:r>
          </w:p>
          <w:p>
            <w:pPr>
              <w:pStyle w:val="Normal"/>
              <w:widowControl w:val="false"/>
              <w:ind w:hanging="0"/>
              <w:jc w:val="center"/>
              <w:rPr>
                <w:sz w:val="20"/>
                <w:szCs w:val="20"/>
              </w:rPr>
            </w:pPr>
            <w:r>
              <w:rPr>
                <w:sz w:val="20"/>
                <w:szCs w:val="20"/>
              </w:rPr>
              <w:t>производства иных классов опасности при</w:t>
            </w:r>
          </w:p>
          <w:p>
            <w:pPr>
              <w:pStyle w:val="Normal"/>
              <w:widowControl w:val="false"/>
              <w:ind w:hanging="0"/>
              <w:jc w:val="center"/>
              <w:rPr>
                <w:sz w:val="20"/>
                <w:szCs w:val="20"/>
              </w:rPr>
            </w:pPr>
            <w:r>
              <w:rPr>
                <w:sz w:val="20"/>
                <w:szCs w:val="20"/>
              </w:rPr>
              <w:t>условии использования передовых</w:t>
            </w:r>
          </w:p>
          <w:p>
            <w:pPr>
              <w:pStyle w:val="Normal"/>
              <w:widowControl w:val="false"/>
              <w:ind w:hanging="0"/>
              <w:jc w:val="center"/>
              <w:rPr>
                <w:sz w:val="20"/>
                <w:szCs w:val="20"/>
              </w:rPr>
            </w:pPr>
            <w:r>
              <w:rPr>
                <w:sz w:val="20"/>
                <w:szCs w:val="20"/>
              </w:rPr>
              <w:t>технологических решений при</w:t>
            </w:r>
          </w:p>
          <w:p>
            <w:pPr>
              <w:pStyle w:val="Normal"/>
              <w:widowControl w:val="false"/>
              <w:ind w:hanging="0"/>
              <w:jc w:val="center"/>
              <w:rPr>
                <w:sz w:val="20"/>
                <w:szCs w:val="20"/>
              </w:rPr>
            </w:pPr>
            <w:r>
              <w:rPr>
                <w:sz w:val="20"/>
                <w:szCs w:val="20"/>
              </w:rPr>
              <w:t>производстве и разработки проекта</w:t>
            </w:r>
          </w:p>
          <w:p>
            <w:pPr>
              <w:pStyle w:val="Normal"/>
              <w:widowControl w:val="false"/>
              <w:ind w:hanging="0"/>
              <w:jc w:val="center"/>
              <w:rPr>
                <w:sz w:val="20"/>
                <w:szCs w:val="20"/>
              </w:rPr>
            </w:pPr>
            <w:r>
              <w:rPr>
                <w:sz w:val="20"/>
                <w:szCs w:val="20"/>
              </w:rPr>
              <w:t>санитарно-защитной зоны;</w:t>
            </w:r>
          </w:p>
          <w:p>
            <w:pPr>
              <w:pStyle w:val="Normal"/>
              <w:widowControl w:val="false"/>
              <w:ind w:hanging="0"/>
              <w:jc w:val="center"/>
              <w:rPr>
                <w:sz w:val="20"/>
                <w:szCs w:val="20"/>
              </w:rPr>
            </w:pPr>
            <w:r>
              <w:rPr>
                <w:sz w:val="20"/>
                <w:szCs w:val="20"/>
              </w:rPr>
              <w:t>-размещение зданий, сооружений, используемых для производства и хранения первичной и глубокой переработки сельскохозяйственной продукции;</w:t>
            </w:r>
          </w:p>
          <w:p>
            <w:pPr>
              <w:pStyle w:val="Normal"/>
              <w:widowControl w:val="false"/>
              <w:ind w:hanging="0"/>
              <w:jc w:val="center"/>
              <w:rPr>
                <w:rFonts w:eastAsia="Calibri"/>
                <w:sz w:val="20"/>
                <w:szCs w:val="20"/>
              </w:rPr>
            </w:pPr>
            <w:r>
              <w:rPr>
                <w:rFonts w:eastAsia="Calibri"/>
                <w:sz w:val="20"/>
                <w:szCs w:val="20"/>
              </w:rPr>
              <w:t>-размещение машино-транспортных и ремонтных станций, ангаров и гаражей для сельскохозяйственной техники, водонапорных башен, трансформаторных станций и иного технического оборудования, используемого для ведения сельского хозяйства;</w:t>
            </w:r>
          </w:p>
        </w:tc>
        <w:tc>
          <w:tcPr>
            <w:tcW w:w="16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Коэффициент застройки: 0,8</w:t>
            </w:r>
          </w:p>
        </w:tc>
        <w:tc>
          <w:tcPr>
            <w:tcW w:w="19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1.3; 1.5; 1.8; 1.9; 1.10; 1.11; 1.12; 1.13; 1.14; 1.15; 1.17; 1.18; 2.7.1; 3.9.1; 3.10.1; 4.4; 4.6; 4.9.1.1; 4.9.1.3; 6.9; 6.9.1; 6.12; 11.1, 11.2; 11.3; 12.0.1; 12.0.2</w:t>
            </w:r>
          </w:p>
        </w:tc>
        <w:tc>
          <w:tcPr>
            <w:tcW w:w="14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w:t>
            </w:r>
          </w:p>
        </w:tc>
      </w:tr>
      <w:tr>
        <w:trPr>
          <w:cantSplit w:val="true"/>
        </w:trPr>
        <w:tc>
          <w:tcPr>
            <w:tcW w:w="5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10</w:t>
            </w:r>
          </w:p>
        </w:tc>
        <w:tc>
          <w:tcPr>
            <w:tcW w:w="13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6"/>
              <w:jc w:val="center"/>
              <w:rPr>
                <w:sz w:val="20"/>
                <w:szCs w:val="20"/>
              </w:rPr>
            </w:pPr>
            <w:r>
              <w:rPr>
                <w:sz w:val="20"/>
                <w:szCs w:val="20"/>
              </w:rPr>
              <w:t>Зона лесов</w:t>
            </w:r>
          </w:p>
        </w:tc>
        <w:tc>
          <w:tcPr>
            <w:tcW w:w="29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rFonts w:eastAsia="Calibri"/>
                <w:sz w:val="20"/>
                <w:szCs w:val="20"/>
              </w:rPr>
            </w:pPr>
            <w:r>
              <w:rPr>
                <w:rFonts w:eastAsia="Calibri"/>
                <w:sz w:val="20"/>
                <w:szCs w:val="20"/>
              </w:rPr>
              <w:t>- уход за защитными лесами;</w:t>
            </w:r>
          </w:p>
          <w:p>
            <w:pPr>
              <w:pStyle w:val="Normal"/>
              <w:widowControl w:val="false"/>
              <w:ind w:hanging="0"/>
              <w:jc w:val="center"/>
              <w:rPr>
                <w:rFonts w:eastAsia="Calibri"/>
                <w:sz w:val="20"/>
                <w:szCs w:val="20"/>
              </w:rPr>
            </w:pPr>
            <w:r>
              <w:rPr>
                <w:rFonts w:eastAsia="Calibri"/>
                <w:sz w:val="20"/>
                <w:szCs w:val="20"/>
              </w:rPr>
              <w:t>-иная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p>
            <w:pPr>
              <w:pStyle w:val="Normal"/>
              <w:widowControl w:val="false"/>
              <w:ind w:hanging="0"/>
              <w:jc w:val="center"/>
              <w:rPr>
                <w:rFonts w:eastAsia="Calibri"/>
                <w:sz w:val="20"/>
                <w:szCs w:val="20"/>
              </w:rPr>
            </w:pPr>
            <w:r>
              <w:rPr>
                <w:rFonts w:eastAsia="Calibri"/>
                <w:sz w:val="20"/>
                <w:szCs w:val="20"/>
              </w:rPr>
              <w:t>-деятельность по заготовке, первичной обработке и вывозу древесины и недревесных лесных ресурсов;</w:t>
            </w:r>
          </w:p>
          <w:p>
            <w:pPr>
              <w:pStyle w:val="Normal"/>
              <w:widowControl w:val="false"/>
              <w:ind w:hanging="0"/>
              <w:jc w:val="center"/>
              <w:rPr>
                <w:rFonts w:eastAsia="Calibri"/>
                <w:sz w:val="20"/>
                <w:szCs w:val="20"/>
              </w:rPr>
            </w:pPr>
            <w:r>
              <w:rPr>
                <w:rFonts w:eastAsia="Calibri"/>
                <w:sz w:val="20"/>
                <w:szCs w:val="20"/>
              </w:rPr>
              <w:t>-охрана и восстановление лесов;</w:t>
            </w:r>
          </w:p>
        </w:tc>
        <w:tc>
          <w:tcPr>
            <w:tcW w:w="16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Не устанавливаются</w:t>
            </w:r>
          </w:p>
        </w:tc>
        <w:tc>
          <w:tcPr>
            <w:tcW w:w="19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Не устанавливаются</w:t>
            </w:r>
          </w:p>
        </w:tc>
        <w:tc>
          <w:tcPr>
            <w:tcW w:w="14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w:t>
            </w:r>
          </w:p>
        </w:tc>
      </w:tr>
      <w:tr>
        <w:trPr>
          <w:cantSplit w:val="true"/>
        </w:trPr>
        <w:tc>
          <w:tcPr>
            <w:tcW w:w="5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11</w:t>
            </w:r>
          </w:p>
        </w:tc>
        <w:tc>
          <w:tcPr>
            <w:tcW w:w="13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6"/>
              <w:jc w:val="center"/>
              <w:rPr>
                <w:sz w:val="20"/>
                <w:szCs w:val="20"/>
              </w:rPr>
            </w:pPr>
            <w:r>
              <w:rPr>
                <w:sz w:val="20"/>
                <w:szCs w:val="20"/>
              </w:rPr>
              <w:t>Зона кладбищ</w:t>
            </w:r>
          </w:p>
        </w:tc>
        <w:tc>
          <w:tcPr>
            <w:tcW w:w="29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rFonts w:eastAsia="Calibri"/>
                <w:sz w:val="20"/>
                <w:szCs w:val="20"/>
              </w:rPr>
            </w:pPr>
            <w:r>
              <w:rPr>
                <w:rFonts w:eastAsia="Calibri"/>
                <w:sz w:val="20"/>
                <w:szCs w:val="20"/>
              </w:rPr>
              <w:t>-размещение мест захоронения</w:t>
            </w:r>
          </w:p>
        </w:tc>
        <w:tc>
          <w:tcPr>
            <w:tcW w:w="16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Не устанавливаются</w:t>
            </w:r>
          </w:p>
        </w:tc>
        <w:tc>
          <w:tcPr>
            <w:tcW w:w="19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3.1.1; 3.9.1; 11.1, 11.2; 11.3; 12.0.1; 12.0.2; 12.1</w:t>
            </w:r>
          </w:p>
        </w:tc>
        <w:tc>
          <w:tcPr>
            <w:tcW w:w="14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w:t>
            </w:r>
          </w:p>
        </w:tc>
      </w:tr>
      <w:tr>
        <w:trPr>
          <w:cantSplit w:val="true"/>
        </w:trPr>
        <w:tc>
          <w:tcPr>
            <w:tcW w:w="5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12</w:t>
            </w:r>
          </w:p>
        </w:tc>
        <w:tc>
          <w:tcPr>
            <w:tcW w:w="13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6"/>
              <w:jc w:val="center"/>
              <w:rPr>
                <w:sz w:val="20"/>
                <w:szCs w:val="20"/>
              </w:rPr>
            </w:pPr>
            <w:r>
              <w:rPr>
                <w:sz w:val="20"/>
                <w:szCs w:val="20"/>
              </w:rPr>
              <w:t>Зона акваторий</w:t>
            </w:r>
          </w:p>
        </w:tc>
        <w:tc>
          <w:tcPr>
            <w:tcW w:w="29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rFonts w:eastAsia="Calibri"/>
                <w:sz w:val="20"/>
                <w:szCs w:val="20"/>
              </w:rPr>
            </w:pPr>
            <w:r>
              <w:rPr>
                <w:rFonts w:eastAsia="Calibri"/>
                <w:sz w:val="20"/>
                <w:szCs w:val="20"/>
              </w:rPr>
              <w:t>-поверхностные водные объекты;</w:t>
            </w:r>
          </w:p>
        </w:tc>
        <w:tc>
          <w:tcPr>
            <w:tcW w:w="16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Не устанавливаются</w:t>
            </w:r>
          </w:p>
        </w:tc>
        <w:tc>
          <w:tcPr>
            <w:tcW w:w="19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Не устанавливаются</w:t>
            </w:r>
          </w:p>
        </w:tc>
        <w:tc>
          <w:tcPr>
            <w:tcW w:w="14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w:t>
            </w:r>
          </w:p>
        </w:tc>
      </w:tr>
      <w:tr>
        <w:trPr>
          <w:cantSplit w:val="true"/>
        </w:trPr>
        <w:tc>
          <w:tcPr>
            <w:tcW w:w="5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13</w:t>
            </w:r>
          </w:p>
        </w:tc>
        <w:tc>
          <w:tcPr>
            <w:tcW w:w="13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6"/>
              <w:jc w:val="center"/>
              <w:rPr>
                <w:sz w:val="20"/>
                <w:szCs w:val="20"/>
              </w:rPr>
            </w:pPr>
            <w:r>
              <w:rPr>
                <w:sz w:val="20"/>
                <w:szCs w:val="20"/>
              </w:rPr>
              <w:t>Иные зоны</w:t>
            </w:r>
          </w:p>
        </w:tc>
        <w:tc>
          <w:tcPr>
            <w:tcW w:w="29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rFonts w:eastAsia="Calibri"/>
                <w:sz w:val="20"/>
                <w:szCs w:val="20"/>
              </w:rPr>
            </w:pPr>
            <w:r>
              <w:rPr>
                <w:rFonts w:eastAsia="Calibri"/>
                <w:sz w:val="20"/>
                <w:szCs w:val="20"/>
              </w:rPr>
              <w:t>-земельные участки общего пользования;</w:t>
            </w:r>
          </w:p>
          <w:p>
            <w:pPr>
              <w:pStyle w:val="Normal"/>
              <w:widowControl w:val="false"/>
              <w:ind w:hanging="0"/>
              <w:jc w:val="center"/>
              <w:rPr>
                <w:rFonts w:eastAsia="Calibri"/>
                <w:sz w:val="20"/>
                <w:szCs w:val="20"/>
              </w:rPr>
            </w:pPr>
            <w:r>
              <w:rPr>
                <w:rFonts w:eastAsia="Calibri"/>
                <w:sz w:val="20"/>
                <w:szCs w:val="20"/>
              </w:rPr>
              <w:t>-улично-дорожная сеть</w:t>
            </w:r>
          </w:p>
        </w:tc>
        <w:tc>
          <w:tcPr>
            <w:tcW w:w="16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Не устанавливаются</w:t>
            </w:r>
          </w:p>
        </w:tc>
        <w:tc>
          <w:tcPr>
            <w:tcW w:w="19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12.0.1; 12.0.2; 12.3</w:t>
            </w:r>
          </w:p>
        </w:tc>
        <w:tc>
          <w:tcPr>
            <w:tcW w:w="14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w:t>
            </w:r>
          </w:p>
        </w:tc>
      </w:tr>
      <w:tr>
        <w:trPr>
          <w:cantSplit w:val="true"/>
        </w:trPr>
        <w:tc>
          <w:tcPr>
            <w:tcW w:w="5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14</w:t>
            </w:r>
          </w:p>
        </w:tc>
        <w:tc>
          <w:tcPr>
            <w:tcW w:w="13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6"/>
              <w:jc w:val="center"/>
              <w:rPr>
                <w:sz w:val="20"/>
                <w:szCs w:val="20"/>
              </w:rPr>
            </w:pPr>
            <w:r>
              <w:rPr>
                <w:sz w:val="20"/>
                <w:szCs w:val="20"/>
              </w:rPr>
              <w:t>Зона озелененных территорий общего пользования (лесопарки, парки, сады, скверы, бульвары, городские леса)</w:t>
            </w:r>
          </w:p>
        </w:tc>
        <w:tc>
          <w:tcPr>
            <w:tcW w:w="29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rFonts w:eastAsia="Calibri"/>
                <w:sz w:val="20"/>
                <w:szCs w:val="20"/>
              </w:rPr>
            </w:pPr>
            <w:r>
              <w:rPr>
                <w:rFonts w:eastAsia="Calibri"/>
                <w:sz w:val="20"/>
                <w:szCs w:val="20"/>
              </w:rPr>
              <w:t>-</w:t>
            </w:r>
            <w:r>
              <w:rPr/>
              <w:t xml:space="preserve"> </w:t>
            </w:r>
            <w:r>
              <w:rPr>
                <w:sz w:val="20"/>
              </w:rPr>
              <w:t>р</w:t>
            </w:r>
            <w:r>
              <w:rPr>
                <w:rFonts w:eastAsia="Calibri"/>
                <w:sz w:val="20"/>
                <w:szCs w:val="20"/>
              </w:rPr>
              <w:t>азмещение парков культуры и отдыха;</w:t>
            </w:r>
          </w:p>
          <w:p>
            <w:pPr>
              <w:pStyle w:val="Normal"/>
              <w:widowControl w:val="false"/>
              <w:ind w:hanging="0"/>
              <w:jc w:val="center"/>
              <w:rPr>
                <w:rFonts w:eastAsia="Calibri"/>
                <w:sz w:val="20"/>
                <w:szCs w:val="20"/>
              </w:rPr>
            </w:pPr>
            <w:r>
              <w:rPr>
                <w:rFonts w:eastAsia="Calibri"/>
                <w:sz w:val="20"/>
                <w:szCs w:val="20"/>
              </w:rPr>
              <w:t>- размещение площадок для занятия спортом и физкультурой на открытом воздухе (физкультурные площадки, беговые дорожки, поля для спортивной игры);</w:t>
            </w:r>
          </w:p>
          <w:p>
            <w:pPr>
              <w:pStyle w:val="Normal"/>
              <w:widowControl w:val="false"/>
              <w:ind w:hanging="0"/>
              <w:jc w:val="center"/>
              <w:rPr>
                <w:rFonts w:eastAsia="Calibri"/>
                <w:sz w:val="20"/>
                <w:szCs w:val="20"/>
              </w:rPr>
            </w:pPr>
            <w:r>
              <w:rPr>
                <w:rFonts w:eastAsia="Calibri"/>
                <w:sz w:val="20"/>
                <w:szCs w:val="20"/>
              </w:rPr>
              <w:t>- 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Не устанавливаются</w:t>
            </w:r>
          </w:p>
        </w:tc>
        <w:tc>
          <w:tcPr>
            <w:tcW w:w="19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3.1.1; 3.6.2; 5.1.3; 5.2; 7.3; 8.3; 11.1; 12.0.1; 12.0.2</w:t>
            </w:r>
          </w:p>
        </w:tc>
        <w:tc>
          <w:tcPr>
            <w:tcW w:w="14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w:t>
            </w:r>
          </w:p>
        </w:tc>
      </w:tr>
      <w:tr>
        <w:trPr>
          <w:cantSplit w:val="true"/>
        </w:trPr>
        <w:tc>
          <w:tcPr>
            <w:tcW w:w="5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15</w:t>
            </w:r>
          </w:p>
        </w:tc>
        <w:tc>
          <w:tcPr>
            <w:tcW w:w="13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6"/>
              <w:jc w:val="center"/>
              <w:rPr>
                <w:sz w:val="20"/>
                <w:szCs w:val="20"/>
              </w:rPr>
            </w:pPr>
            <w:r>
              <w:rPr>
                <w:sz w:val="20"/>
                <w:szCs w:val="20"/>
              </w:rPr>
              <w:t>Зона садоводческих, огороднических или дачных некоммерческих объединений граждан</w:t>
            </w:r>
          </w:p>
        </w:tc>
        <w:tc>
          <w:tcPr>
            <w:tcW w:w="29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rFonts w:eastAsia="Calibri"/>
                <w:sz w:val="20"/>
                <w:szCs w:val="20"/>
              </w:rPr>
            </w:pPr>
            <w:r>
              <w:rPr>
                <w:rFonts w:eastAsia="Calibri"/>
                <w:sz w:val="20"/>
                <w:szCs w:val="20"/>
              </w:rPr>
              <w:t>- садоводство и огородничество;</w:t>
            </w:r>
          </w:p>
          <w:p>
            <w:pPr>
              <w:pStyle w:val="Normal"/>
              <w:widowControl w:val="false"/>
              <w:ind w:hanging="0"/>
              <w:jc w:val="center"/>
              <w:rPr>
                <w:rFonts w:eastAsia="Calibri"/>
                <w:sz w:val="20"/>
                <w:szCs w:val="20"/>
              </w:rPr>
            </w:pPr>
            <w:r>
              <w:rPr>
                <w:rFonts w:eastAsia="Calibri"/>
                <w:sz w:val="20"/>
                <w:szCs w:val="20"/>
              </w:rPr>
              <w:t>- садовые жилые дома, дачные жилые дома;</w:t>
            </w:r>
          </w:p>
          <w:p>
            <w:pPr>
              <w:pStyle w:val="Normal"/>
              <w:widowControl w:val="false"/>
              <w:ind w:hanging="0"/>
              <w:jc w:val="center"/>
              <w:rPr>
                <w:rFonts w:eastAsia="Calibri"/>
                <w:sz w:val="20"/>
                <w:szCs w:val="20"/>
              </w:rPr>
            </w:pPr>
            <w:r>
              <w:rPr>
                <w:rFonts w:eastAsia="Calibri"/>
                <w:sz w:val="20"/>
                <w:szCs w:val="20"/>
              </w:rPr>
              <w:t>- садовые, дачные хозяйственные строения и сооружения;</w:t>
            </w:r>
          </w:p>
          <w:p>
            <w:pPr>
              <w:pStyle w:val="Normal"/>
              <w:widowControl w:val="false"/>
              <w:ind w:hanging="0"/>
              <w:jc w:val="center"/>
              <w:rPr>
                <w:rFonts w:eastAsia="Calibri"/>
                <w:sz w:val="20"/>
                <w:szCs w:val="20"/>
              </w:rPr>
            </w:pPr>
            <w:r>
              <w:rPr>
                <w:rFonts w:eastAsia="Calibri"/>
                <w:sz w:val="20"/>
                <w:szCs w:val="20"/>
              </w:rPr>
              <w:t>- индивидуальные жилые дома</w:t>
            </w:r>
          </w:p>
        </w:tc>
        <w:tc>
          <w:tcPr>
            <w:tcW w:w="16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Не устанавливаются</w:t>
            </w:r>
          </w:p>
        </w:tc>
        <w:tc>
          <w:tcPr>
            <w:tcW w:w="19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2.1; 3.1; 3.1.1; 3.1.2; 4.4; 5.2.1; 6.8; 7.2; 7.2.1; 7.2.2; 7.2.3; 12.0; 12.0.1; 12.0.2; 13.0; 13.1; 13.2</w:t>
            </w:r>
          </w:p>
        </w:tc>
        <w:tc>
          <w:tcPr>
            <w:tcW w:w="14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w:t>
            </w:r>
          </w:p>
        </w:tc>
      </w:tr>
      <w:tr>
        <w:trPr>
          <w:cantSplit w:val="true"/>
        </w:trPr>
        <w:tc>
          <w:tcPr>
            <w:tcW w:w="5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16</w:t>
            </w:r>
          </w:p>
        </w:tc>
        <w:tc>
          <w:tcPr>
            <w:tcW w:w="13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6"/>
              <w:jc w:val="center"/>
              <w:rPr>
                <w:sz w:val="20"/>
                <w:szCs w:val="20"/>
              </w:rPr>
            </w:pPr>
            <w:r>
              <w:rPr>
                <w:sz w:val="20"/>
                <w:szCs w:val="20"/>
              </w:rPr>
              <w:t>Зоны рекреационного назначения</w:t>
            </w:r>
          </w:p>
        </w:tc>
        <w:tc>
          <w:tcPr>
            <w:tcW w:w="29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rFonts w:eastAsia="Calibri"/>
                <w:sz w:val="20"/>
                <w:szCs w:val="20"/>
              </w:rPr>
            </w:pPr>
            <w:r>
              <w:rPr>
                <w:rFonts w:eastAsia="Calibri"/>
                <w:sz w:val="20"/>
                <w:szCs w:val="20"/>
              </w:rPr>
              <w:t>- городские леса, скверы, парки; -городские сады, пруды, озера, водохранилища, пляжи;</w:t>
            </w:r>
          </w:p>
          <w:p>
            <w:pPr>
              <w:pStyle w:val="Normal"/>
              <w:widowControl w:val="false"/>
              <w:ind w:hanging="0"/>
              <w:jc w:val="center"/>
              <w:rPr>
                <w:rFonts w:eastAsia="Calibri"/>
                <w:sz w:val="20"/>
                <w:szCs w:val="20"/>
              </w:rPr>
            </w:pPr>
            <w:r>
              <w:rPr>
                <w:rFonts w:eastAsia="Calibri"/>
                <w:sz w:val="20"/>
                <w:szCs w:val="20"/>
              </w:rPr>
              <w:t>- отдых, туризм, физическая культура и спорт</w:t>
            </w:r>
          </w:p>
        </w:tc>
        <w:tc>
          <w:tcPr>
            <w:tcW w:w="16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Не устанавливаются</w:t>
            </w:r>
          </w:p>
        </w:tc>
        <w:tc>
          <w:tcPr>
            <w:tcW w:w="19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3.1.1; 3.6.2; 5.1.3; 5.2; 7.3; 8.3; 11.1; 12.0.1; 12.0.2</w:t>
            </w:r>
          </w:p>
        </w:tc>
        <w:tc>
          <w:tcPr>
            <w:tcW w:w="14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sz w:val="20"/>
                <w:szCs w:val="20"/>
              </w:rPr>
            </w:pPr>
            <w:r>
              <w:rPr>
                <w:sz w:val="20"/>
                <w:szCs w:val="20"/>
              </w:rPr>
              <w:t>-</w:t>
            </w:r>
          </w:p>
        </w:tc>
      </w:tr>
      <w:tr>
        <w:trPr>
          <w:cantSplit w:val="true"/>
        </w:trPr>
        <w:tc>
          <w:tcPr>
            <w:tcW w:w="5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17</w:t>
            </w:r>
          </w:p>
        </w:tc>
        <w:tc>
          <w:tcPr>
            <w:tcW w:w="13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6"/>
              <w:jc w:val="center"/>
              <w:rPr>
                <w:color w:val="000000"/>
                <w:sz w:val="20"/>
                <w:szCs w:val="20"/>
              </w:rPr>
            </w:pPr>
            <w:r>
              <w:rPr>
                <w:color w:val="000000"/>
                <w:sz w:val="20"/>
                <w:szCs w:val="20"/>
              </w:rPr>
              <w:t>Зона озелененных территорий специального назначения</w:t>
            </w:r>
          </w:p>
        </w:tc>
        <w:tc>
          <w:tcPr>
            <w:tcW w:w="29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rFonts w:eastAsia="Calibri"/>
                <w:color w:val="000000"/>
                <w:sz w:val="20"/>
                <w:szCs w:val="20"/>
              </w:rPr>
            </w:pPr>
            <w:r>
              <w:rPr>
                <w:rFonts w:eastAsia="Calibri"/>
                <w:color w:val="000000"/>
                <w:sz w:val="20"/>
                <w:szCs w:val="20"/>
              </w:rPr>
              <w:t>- самосевные зеленые насаждения в</w:t>
            </w:r>
          </w:p>
          <w:p>
            <w:pPr>
              <w:pStyle w:val="Normal"/>
              <w:widowControl w:val="false"/>
              <w:ind w:hanging="0"/>
              <w:jc w:val="center"/>
              <w:rPr>
                <w:rFonts w:eastAsia="Calibri"/>
                <w:color w:val="000000"/>
                <w:sz w:val="20"/>
                <w:szCs w:val="20"/>
              </w:rPr>
            </w:pPr>
            <w:r>
              <w:rPr>
                <w:rFonts w:eastAsia="Calibri"/>
                <w:color w:val="000000"/>
                <w:sz w:val="20"/>
                <w:szCs w:val="20"/>
              </w:rPr>
              <w:t>населенных пунктах;</w:t>
            </w:r>
          </w:p>
          <w:p>
            <w:pPr>
              <w:pStyle w:val="Normal"/>
              <w:widowControl w:val="false"/>
              <w:ind w:hanging="0"/>
              <w:jc w:val="center"/>
              <w:rPr>
                <w:rFonts w:eastAsia="Calibri"/>
                <w:color w:val="000000"/>
                <w:sz w:val="20"/>
                <w:szCs w:val="20"/>
              </w:rPr>
            </w:pPr>
            <w:r>
              <w:rPr>
                <w:rFonts w:eastAsia="Calibri"/>
                <w:color w:val="000000"/>
                <w:sz w:val="20"/>
                <w:szCs w:val="20"/>
              </w:rPr>
              <w:t>- озелененные территории общего пользования;</w:t>
            </w:r>
          </w:p>
          <w:p>
            <w:pPr>
              <w:pStyle w:val="Normal"/>
              <w:widowControl w:val="false"/>
              <w:ind w:hanging="0"/>
              <w:jc w:val="center"/>
              <w:rPr>
                <w:rFonts w:eastAsia="Calibri"/>
                <w:color w:val="000000"/>
                <w:sz w:val="20"/>
                <w:szCs w:val="20"/>
              </w:rPr>
            </w:pPr>
            <w:r>
              <w:rPr>
                <w:rFonts w:eastAsia="Calibri"/>
                <w:color w:val="000000"/>
                <w:sz w:val="20"/>
                <w:szCs w:val="20"/>
              </w:rPr>
              <w:t>-улично-дорожная сеть;</w:t>
            </w:r>
          </w:p>
        </w:tc>
        <w:tc>
          <w:tcPr>
            <w:tcW w:w="16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Не устанавливаются</w:t>
            </w:r>
          </w:p>
        </w:tc>
        <w:tc>
          <w:tcPr>
            <w:tcW w:w="19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12.0.1; 12.0.2; 12.3</w:t>
            </w:r>
          </w:p>
        </w:tc>
        <w:tc>
          <w:tcPr>
            <w:tcW w:w="14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center"/>
              <w:rPr>
                <w:color w:val="000000"/>
                <w:sz w:val="20"/>
                <w:szCs w:val="20"/>
              </w:rPr>
            </w:pPr>
            <w:r>
              <w:rPr>
                <w:color w:val="000000"/>
                <w:sz w:val="20"/>
                <w:szCs w:val="20"/>
              </w:rPr>
              <w:t>-</w:t>
            </w:r>
          </w:p>
        </w:tc>
      </w:tr>
    </w:tbl>
    <w:p>
      <w:pPr>
        <w:pStyle w:val="Style78"/>
        <w:ind w:firstLine="700"/>
        <w:jc w:val="both"/>
        <w:rPr>
          <w:sz w:val="22"/>
          <w:szCs w:val="28"/>
        </w:rPr>
      </w:pPr>
      <w:r>
        <w:rPr>
          <w:sz w:val="22"/>
          <w:szCs w:val="28"/>
          <w:vertAlign w:val="superscript"/>
        </w:rPr>
        <w:t xml:space="preserve">1 </w:t>
      </w:r>
      <w:r>
        <w:rPr>
          <w:sz w:val="22"/>
          <w:szCs w:val="28"/>
        </w:rPr>
        <w:t>Включает все планируемые для размещения в определенной функциональной зоне объекты федерального значения, объекты регионального значения, объекты местного значения, за исключением линейных объектов.</w:t>
      </w:r>
    </w:p>
    <w:p>
      <w:pPr>
        <w:pStyle w:val="Style72"/>
        <w:tabs>
          <w:tab w:val="clear" w:pos="709"/>
          <w:tab w:val="left" w:pos="600" w:leader="none"/>
        </w:tabs>
        <w:ind w:hanging="0"/>
        <w:rPr/>
      </w:pPr>
      <w:r>
        <w:rPr/>
      </w:r>
    </w:p>
    <w:p>
      <w:pPr>
        <w:pStyle w:val="Style72"/>
        <w:tabs>
          <w:tab w:val="clear" w:pos="709"/>
          <w:tab w:val="left" w:pos="600" w:leader="none"/>
        </w:tabs>
        <w:ind w:hanging="0"/>
        <w:rPr/>
      </w:pPr>
      <w:r>
        <w:rPr/>
      </w:r>
    </w:p>
    <w:p>
      <w:pPr>
        <w:pStyle w:val="Style72"/>
        <w:tabs>
          <w:tab w:val="clear" w:pos="709"/>
          <w:tab w:val="left" w:pos="600" w:leader="none"/>
        </w:tabs>
        <w:ind w:hanging="0"/>
        <w:rPr/>
      </w:pPr>
      <w:r>
        <w:rPr/>
      </w:r>
    </w:p>
    <w:p>
      <w:pPr>
        <w:pStyle w:val="Style72"/>
        <w:tabs>
          <w:tab w:val="clear" w:pos="709"/>
          <w:tab w:val="left" w:pos="600" w:leader="none"/>
        </w:tabs>
        <w:ind w:hanging="0"/>
        <w:rPr/>
      </w:pPr>
      <w:r>
        <w:rPr/>
      </w:r>
    </w:p>
    <w:p>
      <w:pPr>
        <w:pStyle w:val="Style72"/>
        <w:tabs>
          <w:tab w:val="clear" w:pos="709"/>
          <w:tab w:val="left" w:pos="600" w:leader="none"/>
        </w:tabs>
        <w:ind w:hanging="0"/>
        <w:rPr/>
      </w:pPr>
      <w:r>
        <w:rPr/>
      </w:r>
    </w:p>
    <w:p>
      <w:pPr>
        <w:pStyle w:val="Style72"/>
        <w:tabs>
          <w:tab w:val="clear" w:pos="709"/>
          <w:tab w:val="left" w:pos="600" w:leader="none"/>
        </w:tabs>
        <w:ind w:hanging="0"/>
        <w:rPr/>
      </w:pPr>
      <w:r>
        <w:rPr/>
      </w:r>
    </w:p>
    <w:p>
      <w:pPr>
        <w:pStyle w:val="Style72"/>
        <w:tabs>
          <w:tab w:val="clear" w:pos="709"/>
          <w:tab w:val="left" w:pos="600" w:leader="none"/>
        </w:tabs>
        <w:ind w:hanging="0"/>
        <w:rPr/>
      </w:pPr>
      <w:r>
        <w:rPr/>
      </w:r>
    </w:p>
    <w:p>
      <w:pPr>
        <w:pStyle w:val="Style72"/>
        <w:tabs>
          <w:tab w:val="clear" w:pos="709"/>
          <w:tab w:val="left" w:pos="600" w:leader="none"/>
        </w:tabs>
        <w:ind w:hanging="0"/>
        <w:rPr/>
      </w:pPr>
      <w:r>
        <w:rPr/>
      </w:r>
    </w:p>
    <w:p>
      <w:pPr>
        <w:pStyle w:val="Style72"/>
        <w:tabs>
          <w:tab w:val="clear" w:pos="709"/>
          <w:tab w:val="left" w:pos="600" w:leader="none"/>
        </w:tabs>
        <w:ind w:hanging="0"/>
        <w:rPr/>
      </w:pPr>
      <w:r>
        <w:rPr/>
      </w:r>
    </w:p>
    <w:p>
      <w:pPr>
        <w:pStyle w:val="Style72"/>
        <w:tabs>
          <w:tab w:val="clear" w:pos="709"/>
          <w:tab w:val="left" w:pos="600" w:leader="none"/>
        </w:tabs>
        <w:ind w:hanging="0"/>
        <w:rPr/>
      </w:pPr>
      <w:r>
        <w:rPr/>
      </w:r>
    </w:p>
    <w:p>
      <w:pPr>
        <w:pStyle w:val="Style72"/>
        <w:tabs>
          <w:tab w:val="clear" w:pos="709"/>
          <w:tab w:val="left" w:pos="600" w:leader="none"/>
        </w:tabs>
        <w:ind w:hanging="0"/>
        <w:rPr/>
      </w:pPr>
      <w:r>
        <w:rPr/>
      </w:r>
    </w:p>
    <w:p>
      <w:pPr>
        <w:pStyle w:val="Style72"/>
        <w:tabs>
          <w:tab w:val="clear" w:pos="709"/>
          <w:tab w:val="left" w:pos="600" w:leader="none"/>
        </w:tabs>
        <w:ind w:hanging="0"/>
        <w:rPr/>
      </w:pPr>
      <w:r>
        <w:rPr/>
      </w:r>
    </w:p>
    <w:p>
      <w:pPr>
        <w:pStyle w:val="Style72"/>
        <w:tabs>
          <w:tab w:val="clear" w:pos="709"/>
          <w:tab w:val="left" w:pos="600" w:leader="none"/>
        </w:tabs>
        <w:ind w:hanging="0"/>
        <w:rPr/>
      </w:pPr>
      <w:r>
        <w:rPr/>
      </w:r>
    </w:p>
    <w:p>
      <w:pPr>
        <w:pStyle w:val="Style72"/>
        <w:tabs>
          <w:tab w:val="clear" w:pos="709"/>
          <w:tab w:val="left" w:pos="600" w:leader="none"/>
        </w:tabs>
        <w:ind w:hanging="0"/>
        <w:rPr/>
      </w:pPr>
      <w:r>
        <w:rPr/>
      </w:r>
    </w:p>
    <w:p>
      <w:pPr>
        <w:pStyle w:val="Style72"/>
        <w:tabs>
          <w:tab w:val="clear" w:pos="709"/>
          <w:tab w:val="left" w:pos="600" w:leader="none"/>
        </w:tabs>
        <w:ind w:hanging="0"/>
        <w:rPr/>
      </w:pPr>
      <w:r>
        <w:rPr/>
      </w:r>
    </w:p>
    <w:p>
      <w:pPr>
        <w:pStyle w:val="Style72"/>
        <w:tabs>
          <w:tab w:val="clear" w:pos="709"/>
          <w:tab w:val="left" w:pos="600" w:leader="none"/>
        </w:tabs>
        <w:ind w:hanging="0"/>
        <w:rPr>
          <w:rFonts w:ascii="Liberation Sans" w:hAnsi="Liberation Sans" w:eastAsia="Times New Roman" w:cs="Arial"/>
          <w:b/>
          <w:bCs/>
          <w:sz w:val="24"/>
          <w:szCs w:val="24"/>
          <w:lang w:eastAsia="ru-RU"/>
        </w:rPr>
      </w:pPr>
      <w:r>
        <w:rPr/>
      </w:r>
    </w:p>
    <w:p>
      <w:pPr>
        <w:pStyle w:val="Style72"/>
        <w:tabs>
          <w:tab w:val="clear" w:pos="709"/>
          <w:tab w:val="left" w:pos="600" w:leader="none"/>
        </w:tabs>
        <w:ind w:hanging="0"/>
        <w:rPr>
          <w:rFonts w:ascii="Liberation Sans" w:hAnsi="Liberation Sans" w:eastAsia="Times New Roman" w:cs="Arial"/>
          <w:b/>
          <w:bCs/>
          <w:sz w:val="24"/>
          <w:szCs w:val="24"/>
          <w:lang w:eastAsia="ru-RU"/>
        </w:rPr>
      </w:pPr>
      <w:r>
        <w:rPr/>
      </w:r>
    </w:p>
    <w:p>
      <w:pPr>
        <w:pStyle w:val="Style72"/>
        <w:tabs>
          <w:tab w:val="clear" w:pos="709"/>
          <w:tab w:val="left" w:pos="600" w:leader="none"/>
        </w:tabs>
        <w:ind w:hanging="0"/>
        <w:rPr>
          <w:rFonts w:ascii="Liberation Sans" w:hAnsi="Liberation Sans" w:eastAsia="Times New Roman" w:cs="Arial"/>
          <w:b/>
          <w:bCs/>
          <w:sz w:val="24"/>
          <w:szCs w:val="24"/>
          <w:lang w:eastAsia="ru-RU"/>
        </w:rPr>
      </w:pPr>
      <w:r>
        <w:rPr/>
      </w:r>
    </w:p>
    <w:p>
      <w:pPr>
        <w:pStyle w:val="Style72"/>
        <w:tabs>
          <w:tab w:val="clear" w:pos="709"/>
          <w:tab w:val="left" w:pos="600" w:leader="none"/>
        </w:tabs>
        <w:ind w:hanging="0"/>
        <w:rPr>
          <w:rFonts w:ascii="Liberation Sans" w:hAnsi="Liberation Sans" w:eastAsia="Times New Roman" w:cs="Arial"/>
          <w:b/>
          <w:bCs/>
          <w:sz w:val="24"/>
          <w:szCs w:val="24"/>
          <w:lang w:eastAsia="ru-RU"/>
        </w:rPr>
      </w:pPr>
      <w:r>
        <w:rPr/>
      </w:r>
    </w:p>
    <w:p>
      <w:pPr>
        <w:pStyle w:val="Style72"/>
        <w:tabs>
          <w:tab w:val="clear" w:pos="709"/>
          <w:tab w:val="left" w:pos="600" w:leader="none"/>
        </w:tabs>
        <w:ind w:hanging="0"/>
        <w:rPr>
          <w:rFonts w:ascii="Liberation Sans" w:hAnsi="Liberation Sans" w:eastAsia="Times New Roman" w:cs="Arial"/>
          <w:b/>
          <w:bCs/>
          <w:sz w:val="24"/>
          <w:szCs w:val="24"/>
          <w:lang w:eastAsia="ru-RU"/>
        </w:rPr>
      </w:pPr>
      <w:r>
        <w:rPr/>
      </w:r>
    </w:p>
    <w:p>
      <w:pPr>
        <w:pStyle w:val="Style72"/>
        <w:tabs>
          <w:tab w:val="clear" w:pos="709"/>
          <w:tab w:val="left" w:pos="600" w:leader="none"/>
        </w:tabs>
        <w:ind w:hanging="0"/>
        <w:rPr>
          <w:rFonts w:ascii="Liberation Sans" w:hAnsi="Liberation Sans" w:eastAsia="Times New Roman" w:cs="Arial"/>
          <w:b/>
          <w:bCs/>
          <w:sz w:val="24"/>
          <w:szCs w:val="24"/>
          <w:lang w:eastAsia="ru-RU"/>
        </w:rPr>
      </w:pPr>
      <w:r>
        <w:rPr/>
      </w:r>
    </w:p>
    <w:p>
      <w:pPr>
        <w:pStyle w:val="Style72"/>
        <w:tabs>
          <w:tab w:val="clear" w:pos="709"/>
          <w:tab w:val="left" w:pos="600" w:leader="none"/>
        </w:tabs>
        <w:ind w:hanging="0"/>
        <w:rPr>
          <w:rFonts w:ascii="Liberation Sans" w:hAnsi="Liberation Sans" w:eastAsia="Times New Roman" w:cs="Arial"/>
          <w:b/>
          <w:bCs/>
          <w:sz w:val="24"/>
          <w:szCs w:val="24"/>
          <w:lang w:eastAsia="ru-RU"/>
        </w:rPr>
      </w:pPr>
      <w:r>
        <w:rPr/>
      </w:r>
    </w:p>
    <w:p>
      <w:pPr>
        <w:pStyle w:val="Style72"/>
        <w:tabs>
          <w:tab w:val="clear" w:pos="709"/>
          <w:tab w:val="left" w:pos="600" w:leader="none"/>
        </w:tabs>
        <w:ind w:hanging="0"/>
        <w:rPr>
          <w:rFonts w:ascii="Liberation Sans" w:hAnsi="Liberation Sans" w:eastAsia="Times New Roman" w:cs="Arial"/>
          <w:b/>
          <w:bCs/>
          <w:sz w:val="24"/>
          <w:szCs w:val="24"/>
          <w:lang w:eastAsia="ru-RU"/>
        </w:rPr>
      </w:pPr>
      <w:r>
        <w:rPr/>
      </w:r>
    </w:p>
    <w:p>
      <w:pPr>
        <w:sectPr>
          <w:footerReference w:type="default" r:id="rId29"/>
          <w:footerReference w:type="first" r:id="rId30"/>
          <w:type w:val="nextPage"/>
          <w:pgSz w:w="11906" w:h="16838"/>
          <w:pgMar w:left="1134" w:right="851" w:gutter="0" w:header="0" w:top="851" w:footer="709" w:bottom="851"/>
          <w:pgNumType w:fmt="decimal"/>
          <w:formProt w:val="false"/>
          <w:textDirection w:val="lrTb"/>
          <w:docGrid w:type="default" w:linePitch="360" w:charSpace="0"/>
        </w:sectPr>
        <w:pStyle w:val="Style72"/>
        <w:tabs>
          <w:tab w:val="clear" w:pos="709"/>
          <w:tab w:val="left" w:pos="600" w:leader="none"/>
        </w:tabs>
        <w:ind w:hanging="0"/>
        <w:rPr>
          <w:rFonts w:ascii="Liberation Sans" w:hAnsi="Liberation Sans" w:eastAsia="Times New Roman" w:cs="Arial"/>
          <w:b/>
          <w:bCs/>
          <w:sz w:val="24"/>
          <w:szCs w:val="24"/>
          <w:lang w:eastAsia="ru-RU"/>
        </w:rPr>
      </w:pPr>
      <w:r>
        <w:rPr/>
      </w:r>
    </w:p>
    <w:p>
      <w:pPr>
        <w:pStyle w:val="Style73"/>
        <w:widowControl w:val="false"/>
        <w:suppressAutoHyphens w:val="true"/>
        <w:ind w:left="-426" w:hanging="0"/>
        <w:rPr>
          <w:szCs w:val="28"/>
        </w:rPr>
      </w:pPr>
      <w:r>
        <w:rPr/>
        <w:t xml:space="preserve">Государственное бюджетное </w:t>
      </w:r>
      <w:r>
        <w:rPr>
          <w:szCs w:val="28"/>
        </w:rPr>
        <w:t>учреждение</w:t>
      </w:r>
    </w:p>
    <w:p>
      <w:pPr>
        <w:pStyle w:val="Style73"/>
        <w:widowControl w:val="false"/>
        <w:suppressAutoHyphens w:val="true"/>
        <w:ind w:left="-426" w:hanging="0"/>
        <w:rPr>
          <w:szCs w:val="28"/>
        </w:rPr>
      </w:pPr>
      <w:r>
        <w:rPr>
          <w:szCs w:val="28"/>
        </w:rPr>
        <w:t>«Фонд пространственных данных Республики Татарстан»</w:t>
      </w:r>
    </w:p>
    <w:p>
      <w:pPr>
        <w:pStyle w:val="Style73"/>
        <w:widowControl w:val="false"/>
        <w:suppressAutoHyphens w:val="true"/>
        <w:rPr>
          <w:szCs w:val="28"/>
        </w:rPr>
      </w:pPr>
      <w:r>
        <w:rPr>
          <w:szCs w:val="28"/>
        </w:rPr>
      </w:r>
    </w:p>
    <w:p>
      <w:pPr>
        <w:pStyle w:val="Style73"/>
        <w:widowControl w:val="false"/>
        <w:suppressAutoHyphens w:val="true"/>
        <w:rPr>
          <w:szCs w:val="28"/>
        </w:rPr>
      </w:pPr>
      <w:r>
        <w:rPr>
          <w:szCs w:val="28"/>
        </w:rPr>
      </w:r>
    </w:p>
    <w:p>
      <w:pPr>
        <w:pStyle w:val="Style73"/>
        <w:widowControl w:val="false"/>
        <w:suppressAutoHyphens w:val="true"/>
        <w:rPr>
          <w:szCs w:val="28"/>
        </w:rPr>
      </w:pPr>
      <w:r>
        <w:rPr>
          <w:szCs w:val="28"/>
        </w:rPr>
      </w:r>
    </w:p>
    <w:p>
      <w:pPr>
        <w:pStyle w:val="Style73"/>
        <w:widowControl w:val="false"/>
        <w:suppressAutoHyphens w:val="true"/>
        <w:rPr>
          <w:szCs w:val="28"/>
        </w:rPr>
      </w:pPr>
      <w:r>
        <w:rPr>
          <w:szCs w:val="28"/>
        </w:rPr>
      </w:r>
    </w:p>
    <w:p>
      <w:pPr>
        <w:pStyle w:val="Style73"/>
        <w:widowControl w:val="false"/>
        <w:suppressAutoHyphens w:val="true"/>
        <w:rPr>
          <w:szCs w:val="28"/>
        </w:rPr>
      </w:pPr>
      <w:r>
        <w:rPr>
          <w:szCs w:val="28"/>
        </w:rPr>
      </w:r>
    </w:p>
    <w:p>
      <w:pPr>
        <w:pStyle w:val="Style73"/>
        <w:widowControl w:val="false"/>
        <w:suppressAutoHyphens w:val="true"/>
        <w:rPr>
          <w:szCs w:val="28"/>
        </w:rPr>
      </w:pPr>
      <w:r>
        <w:rPr>
          <w:szCs w:val="28"/>
        </w:rPr>
      </w:r>
    </w:p>
    <w:p>
      <w:pPr>
        <w:pStyle w:val="Style73"/>
        <w:widowControl w:val="false"/>
        <w:suppressAutoHyphens w:val="true"/>
        <w:rPr>
          <w:szCs w:val="28"/>
        </w:rPr>
      </w:pPr>
      <w:r>
        <w:rPr>
          <w:szCs w:val="28"/>
        </w:rPr>
      </w:r>
    </w:p>
    <w:p>
      <w:pPr>
        <w:pStyle w:val="Style73"/>
        <w:widowControl w:val="false"/>
        <w:suppressAutoHyphens w:val="true"/>
        <w:rPr>
          <w:szCs w:val="28"/>
        </w:rPr>
      </w:pPr>
      <w:r>
        <w:rPr>
          <w:szCs w:val="28"/>
        </w:rPr>
      </w:r>
    </w:p>
    <w:p>
      <w:pPr>
        <w:pStyle w:val="Style73"/>
        <w:widowControl w:val="false"/>
        <w:suppressAutoHyphens w:val="true"/>
        <w:rPr>
          <w:szCs w:val="28"/>
        </w:rPr>
      </w:pPr>
      <w:r>
        <w:rPr>
          <w:szCs w:val="28"/>
        </w:rPr>
      </w:r>
    </w:p>
    <w:p>
      <w:pPr>
        <w:pStyle w:val="Style73"/>
        <w:widowControl w:val="false"/>
        <w:suppressAutoHyphens w:val="true"/>
        <w:rPr>
          <w:szCs w:val="28"/>
        </w:rPr>
      </w:pPr>
      <w:r>
        <w:rPr>
          <w:szCs w:val="28"/>
        </w:rPr>
      </w:r>
    </w:p>
    <w:p>
      <w:pPr>
        <w:pStyle w:val="Style73"/>
        <w:widowControl w:val="false"/>
        <w:suppressAutoHyphens w:val="true"/>
        <w:rPr>
          <w:szCs w:val="28"/>
        </w:rPr>
      </w:pPr>
      <w:r>
        <w:rPr>
          <w:szCs w:val="28"/>
        </w:rPr>
      </w:r>
    </w:p>
    <w:p>
      <w:pPr>
        <w:pStyle w:val="Style73"/>
        <w:widowControl w:val="false"/>
        <w:suppressAutoHyphens w:val="true"/>
        <w:rPr>
          <w:szCs w:val="28"/>
        </w:rPr>
      </w:pPr>
      <w:r>
        <w:rPr>
          <w:szCs w:val="28"/>
        </w:rPr>
      </w:r>
    </w:p>
    <w:p>
      <w:pPr>
        <w:pStyle w:val="Style73"/>
        <w:widowControl w:val="false"/>
        <w:suppressAutoHyphens w:val="true"/>
        <w:rPr>
          <w:szCs w:val="28"/>
        </w:rPr>
      </w:pPr>
      <w:r>
        <w:rPr>
          <w:szCs w:val="28"/>
        </w:rPr>
        <w:t>ГЕНЕРАЛЬНЫЙ ПЛАН</w:t>
      </w:r>
    </w:p>
    <w:p>
      <w:pPr>
        <w:pStyle w:val="Style73"/>
        <w:widowControl w:val="false"/>
        <w:suppressAutoHyphens w:val="true"/>
        <w:rPr>
          <w:szCs w:val="28"/>
        </w:rPr>
      </w:pPr>
      <w:r>
        <w:rPr>
          <w:szCs w:val="28"/>
        </w:rPr>
        <w:t>ВАХИТОВСКОГО СЕЛЬСКОГО ПОСЕЛЕНИЯ</w:t>
      </w:r>
    </w:p>
    <w:p>
      <w:pPr>
        <w:pStyle w:val="Style73"/>
        <w:widowControl w:val="false"/>
        <w:suppressAutoHyphens w:val="true"/>
        <w:rPr>
          <w:szCs w:val="28"/>
        </w:rPr>
      </w:pPr>
      <w:r>
        <w:rPr>
          <w:szCs w:val="28"/>
        </w:rPr>
        <w:t>ВЕРХНЕУСЛОНСКОГО МУНИЦИПАЛЬНОГО</w:t>
      </w:r>
    </w:p>
    <w:p>
      <w:pPr>
        <w:pStyle w:val="Style73"/>
        <w:widowControl w:val="false"/>
        <w:suppressAutoHyphens w:val="true"/>
        <w:rPr>
          <w:szCs w:val="28"/>
        </w:rPr>
      </w:pPr>
      <w:r>
        <w:rPr>
          <w:szCs w:val="28"/>
        </w:rPr>
        <w:t>РАЙОНА РЕСПУБЛИКИ ТАТАРСТАН</w:t>
      </w:r>
    </w:p>
    <w:p>
      <w:pPr>
        <w:pStyle w:val="Style38"/>
        <w:widowControl w:val="false"/>
        <w:suppressAutoHyphens w:val="true"/>
        <w:ind w:hanging="0"/>
        <w:jc w:val="center"/>
        <w:rPr>
          <w:b/>
          <w:szCs w:val="28"/>
        </w:rPr>
      </w:pPr>
      <w:r>
        <w:rPr>
          <w:b/>
          <w:szCs w:val="28"/>
        </w:rPr>
        <w:t>(внесение изменений)</w:t>
      </w:r>
    </w:p>
    <w:p>
      <w:pPr>
        <w:pStyle w:val="Style38"/>
        <w:widowControl w:val="false"/>
        <w:suppressAutoHyphens w:val="true"/>
        <w:ind w:hanging="0"/>
        <w:jc w:val="center"/>
        <w:rPr>
          <w:b/>
          <w:szCs w:val="28"/>
        </w:rPr>
      </w:pPr>
      <w:r>
        <w:rPr>
          <w:b/>
          <w:szCs w:val="28"/>
        </w:rPr>
      </w:r>
    </w:p>
    <w:p>
      <w:pPr>
        <w:pStyle w:val="NormalWeb"/>
        <w:widowControl w:val="false"/>
        <w:suppressAutoHyphens w:val="true"/>
        <w:spacing w:before="0" w:after="0"/>
        <w:jc w:val="center"/>
        <w:rPr>
          <w:rFonts w:ascii="Times New Roman" w:hAnsi="Times New Roman"/>
          <w:b/>
          <w:sz w:val="28"/>
          <w:szCs w:val="28"/>
        </w:rPr>
      </w:pPr>
      <w:r>
        <w:rPr>
          <w:rFonts w:ascii="Times New Roman" w:hAnsi="Times New Roman"/>
          <w:b/>
          <w:sz w:val="28"/>
          <w:szCs w:val="28"/>
        </w:rPr>
        <w:t>Материалы по обоснованию проекта генерального плана</w:t>
      </w:r>
    </w:p>
    <w:p>
      <w:pPr>
        <w:pStyle w:val="NormalWeb"/>
        <w:widowControl w:val="false"/>
        <w:suppressAutoHyphens w:val="true"/>
        <w:spacing w:before="0" w:after="0"/>
        <w:jc w:val="center"/>
        <w:rPr>
          <w:rFonts w:ascii="Times New Roman" w:hAnsi="Times New Roman"/>
          <w:b/>
          <w:sz w:val="28"/>
          <w:szCs w:val="28"/>
        </w:rPr>
      </w:pPr>
      <w:r>
        <w:rPr>
          <w:rFonts w:ascii="Times New Roman" w:hAnsi="Times New Roman"/>
          <w:b/>
          <w:sz w:val="28"/>
          <w:szCs w:val="28"/>
        </w:rPr>
        <w:t xml:space="preserve">Охрана окружающей среды </w:t>
      </w:r>
    </w:p>
    <w:p>
      <w:pPr>
        <w:pStyle w:val="NormalWeb"/>
        <w:widowControl w:val="false"/>
        <w:suppressAutoHyphens w:val="true"/>
        <w:spacing w:before="0" w:after="0"/>
        <w:jc w:val="center"/>
        <w:rPr>
          <w:rFonts w:ascii="Times New Roman" w:hAnsi="Times New Roman"/>
          <w:b/>
          <w:sz w:val="28"/>
          <w:szCs w:val="28"/>
        </w:rPr>
      </w:pPr>
      <w:r>
        <w:rPr>
          <w:rFonts w:ascii="Times New Roman" w:hAnsi="Times New Roman"/>
          <w:b/>
          <w:sz w:val="28"/>
          <w:szCs w:val="28"/>
        </w:rPr>
        <w:t>и перечень мероприятий по инженерной подготовке территории,</w:t>
      </w:r>
    </w:p>
    <w:p>
      <w:pPr>
        <w:pStyle w:val="NormalWeb"/>
        <w:widowControl w:val="false"/>
        <w:suppressAutoHyphens w:val="true"/>
        <w:spacing w:before="0" w:after="0"/>
        <w:jc w:val="center"/>
        <w:rPr>
          <w:rFonts w:ascii="Times New Roman" w:hAnsi="Times New Roman"/>
          <w:b/>
          <w:sz w:val="28"/>
          <w:szCs w:val="28"/>
        </w:rPr>
      </w:pPr>
      <w:r>
        <w:rPr>
          <w:rFonts w:ascii="Times New Roman" w:hAnsi="Times New Roman"/>
          <w:b/>
          <w:sz w:val="28"/>
          <w:szCs w:val="28"/>
        </w:rPr>
        <w:t xml:space="preserve"> </w:t>
      </w:r>
      <w:r>
        <w:rPr>
          <w:rFonts w:ascii="Times New Roman" w:hAnsi="Times New Roman"/>
          <w:b/>
          <w:sz w:val="28"/>
          <w:szCs w:val="28"/>
        </w:rPr>
        <w:t>мероприятий по гражданской обороне, мероприятий по предупреждению чрезвычайных ситуаций природного и техногенного характера</w:t>
      </w:r>
    </w:p>
    <w:p>
      <w:pPr>
        <w:pStyle w:val="NormalWeb"/>
        <w:widowControl w:val="false"/>
        <w:suppressAutoHyphens w:val="true"/>
        <w:spacing w:before="0" w:after="0"/>
        <w:jc w:val="center"/>
        <w:rPr>
          <w:rFonts w:ascii="Times New Roman" w:hAnsi="Times New Roman"/>
          <w:b/>
          <w:sz w:val="28"/>
          <w:szCs w:val="28"/>
        </w:rPr>
      </w:pPr>
      <w:r>
        <w:rPr>
          <w:rFonts w:ascii="Times New Roman" w:hAnsi="Times New Roman"/>
          <w:b/>
          <w:sz w:val="28"/>
          <w:szCs w:val="28"/>
        </w:rPr>
      </w:r>
    </w:p>
    <w:p>
      <w:pPr>
        <w:pStyle w:val="Style73"/>
        <w:widowControl w:val="false"/>
        <w:suppressAutoHyphens w:val="true"/>
        <w:rPr>
          <w:szCs w:val="28"/>
        </w:rPr>
      </w:pPr>
      <w:r>
        <w:rPr>
          <w:szCs w:val="28"/>
        </w:rPr>
        <w:t>Пояснительная записка</w:t>
      </w:r>
    </w:p>
    <w:p>
      <w:pPr>
        <w:pStyle w:val="Style73"/>
        <w:widowControl w:val="false"/>
        <w:suppressAutoHyphens w:val="true"/>
        <w:rPr>
          <w:szCs w:val="28"/>
        </w:rPr>
      </w:pPr>
      <w:r>
        <w:rPr>
          <w:szCs w:val="28"/>
        </w:rPr>
      </w:r>
    </w:p>
    <w:p>
      <w:pPr>
        <w:pStyle w:val="Style73"/>
        <w:widowControl w:val="false"/>
        <w:suppressAutoHyphens w:val="true"/>
        <w:rPr>
          <w:szCs w:val="28"/>
        </w:rPr>
      </w:pPr>
      <w:r>
        <w:rPr>
          <w:szCs w:val="28"/>
        </w:rPr>
      </w:r>
    </w:p>
    <w:p>
      <w:pPr>
        <w:pStyle w:val="Style73"/>
        <w:widowControl w:val="false"/>
        <w:suppressAutoHyphens w:val="true"/>
        <w:rPr>
          <w:szCs w:val="28"/>
        </w:rPr>
      </w:pPr>
      <w:r>
        <w:rPr>
          <w:szCs w:val="28"/>
        </w:rPr>
      </w:r>
    </w:p>
    <w:p>
      <w:pPr>
        <w:pStyle w:val="Style73"/>
        <w:widowControl w:val="false"/>
        <w:suppressAutoHyphens w:val="true"/>
        <w:rPr>
          <w:szCs w:val="28"/>
        </w:rPr>
      </w:pPr>
      <w:r>
        <w:rPr>
          <w:szCs w:val="28"/>
        </w:rPr>
      </w:r>
    </w:p>
    <w:p>
      <w:pPr>
        <w:pStyle w:val="Style73"/>
        <w:widowControl w:val="false"/>
        <w:suppressAutoHyphens w:val="true"/>
        <w:rPr>
          <w:szCs w:val="28"/>
        </w:rPr>
      </w:pPr>
      <w:r>
        <w:rPr>
          <w:szCs w:val="28"/>
        </w:rPr>
      </w:r>
    </w:p>
    <w:p>
      <w:pPr>
        <w:pStyle w:val="Style73"/>
        <w:widowControl w:val="false"/>
        <w:suppressAutoHyphens w:val="true"/>
        <w:rPr>
          <w:szCs w:val="28"/>
        </w:rPr>
      </w:pPr>
      <w:r>
        <w:rPr>
          <w:szCs w:val="28"/>
        </w:rPr>
      </w:r>
    </w:p>
    <w:p>
      <w:pPr>
        <w:pStyle w:val="Style73"/>
        <w:widowControl w:val="false"/>
        <w:suppressAutoHyphens w:val="true"/>
        <w:rPr>
          <w:szCs w:val="28"/>
        </w:rPr>
      </w:pPr>
      <w:r>
        <w:rPr>
          <w:szCs w:val="28"/>
        </w:rPr>
      </w:r>
    </w:p>
    <w:p>
      <w:pPr>
        <w:pStyle w:val="Style73"/>
        <w:widowControl w:val="false"/>
        <w:suppressAutoHyphens w:val="true"/>
        <w:rPr>
          <w:szCs w:val="28"/>
        </w:rPr>
      </w:pPr>
      <w:r>
        <w:rPr>
          <w:szCs w:val="28"/>
        </w:rPr>
      </w:r>
    </w:p>
    <w:p>
      <w:pPr>
        <w:pStyle w:val="Style73"/>
        <w:widowControl w:val="false"/>
        <w:suppressAutoHyphens w:val="true"/>
        <w:rPr>
          <w:szCs w:val="28"/>
        </w:rPr>
      </w:pPr>
      <w:r>
        <w:rPr>
          <w:szCs w:val="28"/>
        </w:rPr>
      </w:r>
    </w:p>
    <w:p>
      <w:pPr>
        <w:pStyle w:val="Style73"/>
        <w:widowControl w:val="false"/>
        <w:suppressAutoHyphens w:val="true"/>
        <w:rPr>
          <w:szCs w:val="28"/>
        </w:rPr>
      </w:pPr>
      <w:r>
        <w:rPr>
          <w:szCs w:val="28"/>
        </w:rPr>
      </w:r>
    </w:p>
    <w:p>
      <w:pPr>
        <w:pStyle w:val="Style73"/>
        <w:widowControl w:val="false"/>
        <w:suppressAutoHyphens w:val="true"/>
        <w:rPr>
          <w:szCs w:val="28"/>
        </w:rPr>
      </w:pPr>
      <w:r>
        <w:rPr>
          <w:szCs w:val="28"/>
        </w:rPr>
      </w:r>
    </w:p>
    <w:p>
      <w:pPr>
        <w:pStyle w:val="Style73"/>
        <w:widowControl w:val="false"/>
        <w:suppressAutoHyphens w:val="true"/>
        <w:rPr>
          <w:szCs w:val="28"/>
        </w:rPr>
      </w:pPr>
      <w:r>
        <w:rPr>
          <w:szCs w:val="28"/>
        </w:rPr>
      </w:r>
    </w:p>
    <w:p>
      <w:pPr>
        <w:pStyle w:val="Style73"/>
        <w:widowControl w:val="false"/>
        <w:suppressAutoHyphens w:val="true"/>
        <w:rPr>
          <w:szCs w:val="28"/>
        </w:rPr>
      </w:pPr>
      <w:r>
        <w:rPr>
          <w:szCs w:val="28"/>
        </w:rPr>
      </w:r>
    </w:p>
    <w:p>
      <w:pPr>
        <w:pStyle w:val="Style73"/>
        <w:widowControl w:val="false"/>
        <w:suppressAutoHyphens w:val="true"/>
        <w:rPr>
          <w:szCs w:val="28"/>
        </w:rPr>
      </w:pPr>
      <w:r>
        <w:rPr>
          <w:szCs w:val="28"/>
        </w:rPr>
      </w:r>
    </w:p>
    <w:p>
      <w:pPr>
        <w:pStyle w:val="Style73"/>
        <w:widowControl w:val="false"/>
        <w:suppressAutoHyphens w:val="true"/>
        <w:jc w:val="left"/>
        <w:rPr>
          <w:szCs w:val="28"/>
        </w:rPr>
      </w:pPr>
      <w:r>
        <w:rPr>
          <w:szCs w:val="28"/>
        </w:rPr>
      </w:r>
    </w:p>
    <w:p>
      <w:pPr>
        <w:pStyle w:val="Style73"/>
        <w:widowControl w:val="false"/>
        <w:suppressAutoHyphens w:val="true"/>
        <w:jc w:val="left"/>
        <w:rPr>
          <w:szCs w:val="28"/>
        </w:rPr>
      </w:pPr>
      <w:r>
        <w:rPr>
          <w:szCs w:val="28"/>
        </w:rPr>
      </w:r>
    </w:p>
    <w:p>
      <w:pPr>
        <w:pStyle w:val="Normal"/>
        <w:widowControl w:val="false"/>
        <w:suppressAutoHyphens w:val="true"/>
        <w:spacing w:lineRule="auto" w:line="240" w:before="0" w:after="0"/>
        <w:contextualSpacing/>
        <w:jc w:val="center"/>
        <w:rPr>
          <w:rFonts w:ascii="Times New Roman" w:hAnsi="Times New Roman" w:cs="Times New Roman"/>
          <w:b/>
          <w:sz w:val="28"/>
          <w:szCs w:val="28"/>
        </w:rPr>
      </w:pPr>
      <w:r>
        <w:rPr>
          <w:rFonts w:cs="Times New Roman" w:ascii="Times New Roman" w:hAnsi="Times New Roman"/>
          <w:b/>
          <w:sz w:val="28"/>
          <w:szCs w:val="28"/>
        </w:rPr>
        <w:t>Казань 2023</w:t>
      </w:r>
    </w:p>
    <w:p>
      <w:pPr>
        <w:sectPr>
          <w:footerReference w:type="default" r:id="rId31"/>
          <w:footerReference w:type="first" r:id="rId32"/>
          <w:type w:val="nextPage"/>
          <w:pgSz w:w="11906" w:h="16838"/>
          <w:pgMar w:left="1134" w:right="567" w:gutter="0" w:header="0" w:top="1134" w:footer="0" w:bottom="1134"/>
          <w:pgNumType w:start="1" w:fmt="decimal"/>
          <w:formProt w:val="false"/>
          <w:textDirection w:val="lrTb"/>
          <w:docGrid w:type="default" w:linePitch="600" w:charSpace="24576"/>
        </w:sectPr>
        <w:pStyle w:val="Normal"/>
        <w:rPr>
          <w:rFonts w:ascii="Times New Roman" w:hAnsi="Times New Roman" w:cs="Times New Roman"/>
          <w:b/>
          <w:sz w:val="28"/>
          <w:szCs w:val="28"/>
        </w:rPr>
      </w:pPr>
      <w:r>
        <w:rPr>
          <w:rFonts w:cs="Times New Roman" w:ascii="Times New Roman" w:hAnsi="Times New Roman"/>
          <w:b/>
          <w:sz w:val="28"/>
          <w:szCs w:val="28"/>
        </w:rPr>
      </w:r>
    </w:p>
    <w:tbl>
      <w:tblPr>
        <w:tblStyle w:val="af0"/>
        <w:tblW w:w="9911"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988"/>
        <w:gridCol w:w="6804"/>
        <w:gridCol w:w="2119"/>
      </w:tblGrid>
      <w:tr>
        <w:trPr/>
        <w:tc>
          <w:tcPr>
            <w:tcW w:w="9911" w:type="dxa"/>
            <w:gridSpan w:val="3"/>
            <w:tcBorders>
              <w:top w:val="nil"/>
              <w:left w:val="nil"/>
              <w:bottom w:val="nil"/>
              <w:right w:val="nil"/>
            </w:tcBorders>
          </w:tcPr>
          <w:p>
            <w:pPr>
              <w:pStyle w:val="Normal"/>
              <w:pageBreakBefore/>
              <w:widowControl w:val="false"/>
              <w:suppressAutoHyphens w:val="true"/>
              <w:spacing w:lineRule="auto" w:line="240" w:before="0" w:after="160"/>
              <w:jc w:val="center"/>
              <w:rPr>
                <w:rFonts w:ascii="Times New Roman" w:hAnsi="Times New Roman" w:cs="Times New Roman"/>
                <w:sz w:val="28"/>
                <w:szCs w:val="28"/>
              </w:rPr>
            </w:pPr>
            <w:r>
              <w:rPr>
                <w:rFonts w:eastAsia="Calibri" w:cs="Times New Roman" w:ascii="Times New Roman" w:hAnsi="Times New Roman"/>
                <w:b/>
                <w:kern w:val="0"/>
                <w:sz w:val="28"/>
                <w:szCs w:val="28"/>
                <w:lang w:val="ru-RU" w:eastAsia="en-US" w:bidi="ar-SA"/>
              </w:rPr>
              <w:t>СОСТАВ ПРОЕКТА</w:t>
            </w:r>
          </w:p>
        </w:tc>
      </w:tr>
      <w:tr>
        <w:trPr/>
        <w:tc>
          <w:tcPr>
            <w:tcW w:w="9911" w:type="dxa"/>
            <w:gridSpan w:val="3"/>
            <w:tcBorders>
              <w:top w:val="nil"/>
              <w:left w:val="nil"/>
              <w:bottom w:val="nil"/>
              <w:right w:val="nil"/>
            </w:tcBorders>
          </w:tcPr>
          <w:p>
            <w:pPr>
              <w:pStyle w:val="Style73"/>
              <w:widowControl w:val="false"/>
              <w:suppressAutoHyphens w:val="true"/>
              <w:spacing w:before="0" w:after="0"/>
              <w:rPr>
                <w:b w:val="false"/>
                <w:bCs w:val="false"/>
                <w:szCs w:val="28"/>
              </w:rPr>
            </w:pPr>
            <w:r>
              <w:rPr>
                <w:b w:val="false"/>
                <w:bCs w:val="false"/>
                <w:kern w:val="0"/>
                <w:szCs w:val="28"/>
                <w:lang w:val="ru-RU" w:bidi="ar-SA"/>
              </w:rPr>
              <w:t>Генерального плана Вахитовского сельского поселения</w:t>
            </w:r>
          </w:p>
          <w:p>
            <w:pPr>
              <w:pStyle w:val="Style73"/>
              <w:widowControl w:val="false"/>
              <w:suppressAutoHyphens w:val="true"/>
              <w:spacing w:before="0" w:after="0"/>
              <w:rPr>
                <w:b w:val="false"/>
                <w:szCs w:val="28"/>
              </w:rPr>
            </w:pPr>
            <w:r>
              <w:rPr>
                <w:b w:val="false"/>
                <w:bCs w:val="false"/>
                <w:kern w:val="0"/>
                <w:szCs w:val="28"/>
                <w:lang w:val="ru-RU" w:bidi="ar-SA"/>
              </w:rPr>
              <w:t xml:space="preserve">Верхнеуслонского муниципального района </w:t>
            </w:r>
            <w:r>
              <w:rPr>
                <w:b w:val="false"/>
                <w:kern w:val="0"/>
                <w:szCs w:val="28"/>
                <w:lang w:val="ru-RU" w:bidi="ar-SA"/>
              </w:rPr>
              <w:t>Республики Татарстан</w:t>
            </w:r>
          </w:p>
          <w:p>
            <w:pPr>
              <w:pStyle w:val="Style73"/>
              <w:widowControl w:val="false"/>
              <w:suppressAutoHyphens w:val="true"/>
              <w:spacing w:before="0" w:after="0"/>
              <w:rPr>
                <w:b w:val="false"/>
                <w:szCs w:val="28"/>
              </w:rPr>
            </w:pPr>
            <w:r>
              <w:rPr>
                <w:b w:val="false"/>
                <w:kern w:val="0"/>
                <w:szCs w:val="28"/>
                <w:lang w:val="ru-RU" w:bidi="ar-SA"/>
              </w:rPr>
              <w:t>(внесение изменений)</w:t>
            </w:r>
          </w:p>
        </w:tc>
      </w:tr>
      <w:tr>
        <w:trPr/>
        <w:tc>
          <w:tcPr>
            <w:tcW w:w="9911" w:type="dxa"/>
            <w:gridSpan w:val="3"/>
            <w:tcBorders>
              <w:top w:val="nil"/>
              <w:left w:val="nil"/>
              <w:right w:val="nil"/>
            </w:tcBorders>
          </w:tcPr>
          <w:p>
            <w:pPr>
              <w:pStyle w:val="Normal"/>
              <w:widowControl w:val="false"/>
              <w:suppressAutoHyphens w:val="true"/>
              <w:spacing w:lineRule="auto" w:line="240" w:before="0" w:after="0"/>
              <w:jc w:val="center"/>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r>
          </w:p>
        </w:tc>
      </w:tr>
      <w:tr>
        <w:trPr/>
        <w:tc>
          <w:tcPr>
            <w:tcW w:w="988" w:type="dxa"/>
            <w:tcBorders/>
          </w:tcPr>
          <w:p>
            <w:pPr>
              <w:pStyle w:val="Normal"/>
              <w:widowControl w:val="false"/>
              <w:suppressAutoHyphens w:val="true"/>
              <w:spacing w:lineRule="auto" w:line="240" w:before="0" w:after="0"/>
              <w:jc w:val="center"/>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 xml:space="preserve">№ </w:t>
            </w:r>
            <w:r>
              <w:rPr>
                <w:rFonts w:eastAsia="Calibri" w:cs="Times New Roman" w:ascii="Times New Roman" w:hAnsi="Times New Roman"/>
                <w:kern w:val="0"/>
                <w:sz w:val="28"/>
                <w:szCs w:val="28"/>
                <w:lang w:val="ru-RU" w:eastAsia="en-US" w:bidi="ar-SA"/>
              </w:rPr>
              <w:t>п/п</w:t>
            </w:r>
          </w:p>
        </w:tc>
        <w:tc>
          <w:tcPr>
            <w:tcW w:w="6804" w:type="dxa"/>
            <w:tcBorders/>
          </w:tcPr>
          <w:p>
            <w:pPr>
              <w:pStyle w:val="Normal"/>
              <w:widowControl w:val="false"/>
              <w:suppressAutoHyphens w:val="true"/>
              <w:spacing w:lineRule="auto" w:line="240" w:before="0" w:after="0"/>
              <w:jc w:val="center"/>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Наименование</w:t>
            </w:r>
          </w:p>
        </w:tc>
        <w:tc>
          <w:tcPr>
            <w:tcW w:w="2119" w:type="dxa"/>
            <w:tcBorders/>
          </w:tcPr>
          <w:p>
            <w:pPr>
              <w:pStyle w:val="Normal"/>
              <w:widowControl w:val="false"/>
              <w:suppressAutoHyphens w:val="true"/>
              <w:spacing w:lineRule="auto" w:line="240" w:before="0" w:after="0"/>
              <w:jc w:val="center"/>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 xml:space="preserve">№ </w:t>
            </w:r>
            <w:r>
              <w:rPr>
                <w:rFonts w:eastAsia="Calibri" w:cs="Times New Roman" w:ascii="Times New Roman" w:hAnsi="Times New Roman"/>
                <w:kern w:val="0"/>
                <w:sz w:val="28"/>
                <w:szCs w:val="28"/>
                <w:lang w:val="ru-RU" w:eastAsia="en-US" w:bidi="ar-SA"/>
              </w:rPr>
              <w:t>листа/листов</w:t>
            </w:r>
          </w:p>
        </w:tc>
      </w:tr>
      <w:tr>
        <w:trPr/>
        <w:tc>
          <w:tcPr>
            <w:tcW w:w="9911" w:type="dxa"/>
            <w:gridSpan w:val="3"/>
            <w:tcBorders/>
          </w:tcPr>
          <w:p>
            <w:pPr>
              <w:pStyle w:val="Normal"/>
              <w:widowControl w:val="false"/>
              <w:suppressAutoHyphens w:val="true"/>
              <w:spacing w:lineRule="auto" w:line="240" w:before="0" w:after="0"/>
              <w:contextualSpacing/>
              <w:jc w:val="left"/>
              <w:rPr>
                <w:rFonts w:ascii="Times New Roman" w:hAnsi="Times New Roman" w:cs="Times New Roman"/>
                <w:b/>
                <w:sz w:val="28"/>
                <w:szCs w:val="28"/>
              </w:rPr>
            </w:pPr>
            <w:r>
              <w:rPr>
                <w:rFonts w:eastAsia="Calibri" w:cs="Times New Roman" w:ascii="Times New Roman" w:hAnsi="Times New Roman"/>
                <w:b/>
                <w:kern w:val="0"/>
                <w:sz w:val="28"/>
                <w:szCs w:val="28"/>
                <w:lang w:val="ru-RU" w:eastAsia="en-US" w:bidi="ar-SA"/>
              </w:rPr>
            </w:r>
          </w:p>
        </w:tc>
      </w:tr>
      <w:tr>
        <w:trPr/>
        <w:tc>
          <w:tcPr>
            <w:tcW w:w="9911" w:type="dxa"/>
            <w:gridSpan w:val="3"/>
            <w:tcBorders/>
          </w:tcPr>
          <w:p>
            <w:pPr>
              <w:pStyle w:val="Normal"/>
              <w:widowControl w:val="false"/>
              <w:suppressAutoHyphens w:val="true"/>
              <w:spacing w:lineRule="auto" w:line="240" w:before="0" w:after="0"/>
              <w:contextualSpacing/>
              <w:jc w:val="left"/>
              <w:rPr>
                <w:rFonts w:ascii="Times New Roman" w:hAnsi="Times New Roman" w:cs="Times New Roman"/>
                <w:sz w:val="28"/>
                <w:szCs w:val="28"/>
              </w:rPr>
            </w:pPr>
            <w:r>
              <w:rPr>
                <w:rFonts w:eastAsia="Calibri" w:cs="Times New Roman" w:ascii="Times New Roman" w:hAnsi="Times New Roman"/>
                <w:b/>
                <w:kern w:val="0"/>
                <w:sz w:val="28"/>
                <w:szCs w:val="28"/>
                <w:lang w:val="ru-RU" w:eastAsia="en-US" w:bidi="ar-SA"/>
              </w:rPr>
              <w:t>Том 1 Генеральный план</w:t>
            </w:r>
          </w:p>
        </w:tc>
      </w:tr>
      <w:tr>
        <w:trPr/>
        <w:tc>
          <w:tcPr>
            <w:tcW w:w="9911" w:type="dxa"/>
            <w:gridSpan w:val="3"/>
            <w:tcBorders/>
          </w:tcPr>
          <w:p>
            <w:pPr>
              <w:pStyle w:val="Normal"/>
              <w:widowControl w:val="false"/>
              <w:suppressAutoHyphens w:val="true"/>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 xml:space="preserve">              </w:t>
            </w:r>
            <w:r>
              <w:rPr>
                <w:rFonts w:eastAsia="Calibri" w:cs="Times New Roman" w:ascii="Times New Roman" w:hAnsi="Times New Roman"/>
                <w:kern w:val="0"/>
                <w:sz w:val="28"/>
                <w:szCs w:val="28"/>
                <w:lang w:val="ru-RU" w:eastAsia="en-US" w:bidi="ar-SA"/>
              </w:rPr>
              <w:t>Текстовые материалы</w:t>
            </w:r>
          </w:p>
        </w:tc>
      </w:tr>
      <w:tr>
        <w:trPr/>
        <w:tc>
          <w:tcPr>
            <w:tcW w:w="988" w:type="dxa"/>
            <w:tcBorders/>
          </w:tcPr>
          <w:p>
            <w:pPr>
              <w:pStyle w:val="Normal"/>
              <w:widowControl w:val="false"/>
              <w:suppressAutoHyphens w:val="true"/>
              <w:spacing w:lineRule="auto" w:line="240" w:before="0" w:after="0"/>
              <w:jc w:val="center"/>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1</w:t>
            </w:r>
          </w:p>
        </w:tc>
        <w:tc>
          <w:tcPr>
            <w:tcW w:w="6804" w:type="dxa"/>
            <w:tcBorders/>
          </w:tcPr>
          <w:p>
            <w:pPr>
              <w:pStyle w:val="Normal"/>
              <w:widowControl w:val="false"/>
              <w:suppressAutoHyphens w:val="true"/>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Положение о территориальном планировании</w:t>
            </w:r>
          </w:p>
        </w:tc>
        <w:tc>
          <w:tcPr>
            <w:tcW w:w="2119" w:type="dxa"/>
            <w:tcBorders/>
          </w:tcPr>
          <w:p>
            <w:pPr>
              <w:pStyle w:val="Normal"/>
              <w:widowControl w:val="false"/>
              <w:suppressAutoHyphens w:val="true"/>
              <w:spacing w:lineRule="auto" w:line="240" w:before="0" w:after="0"/>
              <w:jc w:val="center"/>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42</w:t>
            </w:r>
          </w:p>
        </w:tc>
      </w:tr>
      <w:tr>
        <w:trPr/>
        <w:tc>
          <w:tcPr>
            <w:tcW w:w="9911" w:type="dxa"/>
            <w:gridSpan w:val="3"/>
            <w:tcBorders/>
          </w:tcPr>
          <w:p>
            <w:pPr>
              <w:pStyle w:val="Normal"/>
              <w:widowControl w:val="false"/>
              <w:suppressAutoHyphens w:val="true"/>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 xml:space="preserve">              </w:t>
            </w:r>
            <w:r>
              <w:rPr>
                <w:rFonts w:eastAsia="Calibri" w:cs="Times New Roman" w:ascii="Times New Roman" w:hAnsi="Times New Roman"/>
                <w:kern w:val="0"/>
                <w:sz w:val="28"/>
                <w:szCs w:val="28"/>
                <w:lang w:val="ru-RU" w:eastAsia="en-US" w:bidi="ar-SA"/>
              </w:rPr>
              <w:t>Графические материалы</w:t>
            </w:r>
          </w:p>
        </w:tc>
      </w:tr>
      <w:tr>
        <w:trPr/>
        <w:tc>
          <w:tcPr>
            <w:tcW w:w="988" w:type="dxa"/>
            <w:tcBorders/>
          </w:tcPr>
          <w:p>
            <w:pPr>
              <w:pStyle w:val="Normal"/>
              <w:widowControl w:val="false"/>
              <w:suppressAutoHyphens w:val="true"/>
              <w:spacing w:lineRule="auto" w:line="240" w:before="0" w:after="0"/>
              <w:jc w:val="center"/>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2</w:t>
            </w:r>
          </w:p>
        </w:tc>
        <w:tc>
          <w:tcPr>
            <w:tcW w:w="6804" w:type="dxa"/>
            <w:tcBorders/>
          </w:tcPr>
          <w:p>
            <w:pPr>
              <w:pStyle w:val="Normal"/>
              <w:widowControl w:val="false"/>
              <w:suppressAutoHyphens w:val="true"/>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Карта планируемого размещения объектов местного значения М1:10000</w:t>
            </w:r>
          </w:p>
        </w:tc>
        <w:tc>
          <w:tcPr>
            <w:tcW w:w="2119" w:type="dxa"/>
            <w:tcBorders/>
          </w:tcPr>
          <w:p>
            <w:pPr>
              <w:pStyle w:val="Normal"/>
              <w:widowControl w:val="false"/>
              <w:suppressAutoHyphens w:val="true"/>
              <w:spacing w:lineRule="auto" w:line="240" w:before="0" w:after="0"/>
              <w:jc w:val="center"/>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1/1</w:t>
            </w:r>
          </w:p>
        </w:tc>
      </w:tr>
      <w:tr>
        <w:trPr/>
        <w:tc>
          <w:tcPr>
            <w:tcW w:w="988" w:type="dxa"/>
            <w:tcBorders/>
          </w:tcPr>
          <w:p>
            <w:pPr>
              <w:pStyle w:val="Normal"/>
              <w:widowControl w:val="false"/>
              <w:suppressAutoHyphens w:val="true"/>
              <w:spacing w:lineRule="auto" w:line="240" w:before="0" w:after="0"/>
              <w:jc w:val="center"/>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3</w:t>
            </w:r>
          </w:p>
        </w:tc>
        <w:tc>
          <w:tcPr>
            <w:tcW w:w="6804" w:type="dxa"/>
            <w:tcBorders/>
          </w:tcPr>
          <w:p>
            <w:pPr>
              <w:pStyle w:val="Normal"/>
              <w:widowControl w:val="false"/>
              <w:suppressAutoHyphens w:val="true"/>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Карта границ населенных пунктов (в том числе границ образуемых населенных пунктов) М1:10000</w:t>
            </w:r>
          </w:p>
        </w:tc>
        <w:tc>
          <w:tcPr>
            <w:tcW w:w="2119" w:type="dxa"/>
            <w:tcBorders/>
          </w:tcPr>
          <w:p>
            <w:pPr>
              <w:pStyle w:val="Normal"/>
              <w:widowControl w:val="false"/>
              <w:suppressAutoHyphens w:val="true"/>
              <w:spacing w:lineRule="auto" w:line="240" w:before="0" w:after="0"/>
              <w:jc w:val="center"/>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2/1</w:t>
            </w:r>
          </w:p>
        </w:tc>
      </w:tr>
      <w:tr>
        <w:trPr/>
        <w:tc>
          <w:tcPr>
            <w:tcW w:w="988" w:type="dxa"/>
            <w:tcBorders/>
          </w:tcPr>
          <w:p>
            <w:pPr>
              <w:pStyle w:val="Normal"/>
              <w:widowControl w:val="false"/>
              <w:suppressAutoHyphens w:val="true"/>
              <w:spacing w:lineRule="auto" w:line="240" w:before="0" w:after="0"/>
              <w:jc w:val="center"/>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4</w:t>
            </w:r>
          </w:p>
        </w:tc>
        <w:tc>
          <w:tcPr>
            <w:tcW w:w="6804" w:type="dxa"/>
            <w:tcBorders/>
          </w:tcPr>
          <w:p>
            <w:pPr>
              <w:pStyle w:val="Normal"/>
              <w:widowControl w:val="false"/>
              <w:suppressAutoHyphens w:val="true"/>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Карта функциональных зон М1:10000</w:t>
            </w:r>
          </w:p>
        </w:tc>
        <w:tc>
          <w:tcPr>
            <w:tcW w:w="2119" w:type="dxa"/>
            <w:tcBorders/>
          </w:tcPr>
          <w:p>
            <w:pPr>
              <w:pStyle w:val="Normal"/>
              <w:widowControl w:val="false"/>
              <w:suppressAutoHyphens w:val="true"/>
              <w:spacing w:lineRule="auto" w:line="240" w:before="0" w:after="0"/>
              <w:jc w:val="center"/>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3/1</w:t>
            </w:r>
          </w:p>
        </w:tc>
      </w:tr>
      <w:tr>
        <w:trPr/>
        <w:tc>
          <w:tcPr>
            <w:tcW w:w="9911" w:type="dxa"/>
            <w:gridSpan w:val="3"/>
            <w:tcBorders/>
          </w:tcPr>
          <w:p>
            <w:pPr>
              <w:pStyle w:val="Normal"/>
              <w:widowControl w:val="false"/>
              <w:suppressAutoHyphens w:val="true"/>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 xml:space="preserve">              </w:t>
            </w:r>
            <w:r>
              <w:rPr>
                <w:rFonts w:eastAsia="Calibri" w:cs="Times New Roman" w:ascii="Times New Roman" w:hAnsi="Times New Roman"/>
                <w:kern w:val="0"/>
                <w:sz w:val="28"/>
                <w:szCs w:val="28"/>
                <w:lang w:val="ru-RU" w:eastAsia="en-US" w:bidi="ar-SA"/>
              </w:rPr>
              <w:t>Приложение</w:t>
            </w:r>
          </w:p>
        </w:tc>
      </w:tr>
      <w:tr>
        <w:trPr/>
        <w:tc>
          <w:tcPr>
            <w:tcW w:w="988" w:type="dxa"/>
            <w:tcBorders/>
          </w:tcPr>
          <w:p>
            <w:pPr>
              <w:pStyle w:val="Normal"/>
              <w:widowControl w:val="false"/>
              <w:suppressAutoHyphens w:val="true"/>
              <w:spacing w:lineRule="auto" w:line="240" w:before="0" w:after="0"/>
              <w:jc w:val="center"/>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5</w:t>
            </w:r>
          </w:p>
        </w:tc>
        <w:tc>
          <w:tcPr>
            <w:tcW w:w="6804" w:type="dxa"/>
            <w:tcBorders/>
          </w:tcPr>
          <w:p>
            <w:pPr>
              <w:pStyle w:val="Normal"/>
              <w:widowControl w:val="false"/>
              <w:suppressAutoHyphens w:val="true"/>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Сведения о границах населенных пунктов</w:t>
            </w:r>
          </w:p>
        </w:tc>
        <w:tc>
          <w:tcPr>
            <w:tcW w:w="2119" w:type="dxa"/>
            <w:tcBorders/>
          </w:tcPr>
          <w:p>
            <w:pPr>
              <w:pStyle w:val="Normal"/>
              <w:widowControl w:val="false"/>
              <w:suppressAutoHyphens w:val="true"/>
              <w:spacing w:lineRule="auto" w:line="240" w:before="0" w:after="0"/>
              <w:jc w:val="center"/>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55</w:t>
            </w:r>
          </w:p>
        </w:tc>
      </w:tr>
      <w:tr>
        <w:trPr/>
        <w:tc>
          <w:tcPr>
            <w:tcW w:w="9911" w:type="dxa"/>
            <w:gridSpan w:val="3"/>
            <w:tcBorders/>
          </w:tcPr>
          <w:p>
            <w:pPr>
              <w:pStyle w:val="Normal"/>
              <w:widowControl w:val="false"/>
              <w:suppressAutoHyphens w:val="true"/>
              <w:spacing w:lineRule="auto" w:line="240" w:before="0" w:after="0"/>
              <w:contextualSpacing/>
              <w:jc w:val="left"/>
              <w:rPr>
                <w:rFonts w:ascii="Times New Roman" w:hAnsi="Times New Roman" w:cs="Times New Roman"/>
                <w:b/>
                <w:sz w:val="28"/>
                <w:szCs w:val="28"/>
              </w:rPr>
            </w:pPr>
            <w:r>
              <w:rPr>
                <w:rFonts w:eastAsia="Calibri" w:cs="Times New Roman" w:ascii="Times New Roman" w:hAnsi="Times New Roman"/>
                <w:b/>
                <w:kern w:val="0"/>
                <w:sz w:val="28"/>
                <w:szCs w:val="28"/>
                <w:lang w:val="ru-RU" w:eastAsia="en-US" w:bidi="ar-SA"/>
              </w:rPr>
            </w:r>
          </w:p>
        </w:tc>
      </w:tr>
      <w:tr>
        <w:trPr/>
        <w:tc>
          <w:tcPr>
            <w:tcW w:w="9911" w:type="dxa"/>
            <w:gridSpan w:val="3"/>
            <w:tcBorders/>
          </w:tcPr>
          <w:p>
            <w:pPr>
              <w:pStyle w:val="Normal"/>
              <w:widowControl w:val="false"/>
              <w:suppressAutoHyphens w:val="true"/>
              <w:spacing w:lineRule="auto" w:line="240" w:before="0" w:after="0"/>
              <w:contextualSpacing/>
              <w:jc w:val="left"/>
              <w:rPr>
                <w:rFonts w:ascii="Times New Roman" w:hAnsi="Times New Roman" w:cs="Times New Roman"/>
                <w:sz w:val="28"/>
                <w:szCs w:val="28"/>
              </w:rPr>
            </w:pPr>
            <w:r>
              <w:rPr>
                <w:rFonts w:eastAsia="Calibri" w:cs="Times New Roman" w:ascii="Times New Roman" w:hAnsi="Times New Roman"/>
                <w:b/>
                <w:kern w:val="0"/>
                <w:sz w:val="28"/>
                <w:szCs w:val="28"/>
                <w:lang w:val="ru-RU" w:eastAsia="en-US" w:bidi="ar-SA"/>
              </w:rPr>
              <w:t>Том 2 Материалы по обоснованию генерального плана</w:t>
            </w:r>
          </w:p>
        </w:tc>
      </w:tr>
      <w:tr>
        <w:trPr/>
        <w:tc>
          <w:tcPr>
            <w:tcW w:w="9911" w:type="dxa"/>
            <w:gridSpan w:val="3"/>
            <w:tcBorders/>
          </w:tcPr>
          <w:p>
            <w:pPr>
              <w:pStyle w:val="Normal"/>
              <w:widowControl w:val="false"/>
              <w:suppressAutoHyphens w:val="true"/>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 xml:space="preserve">              </w:t>
            </w:r>
            <w:r>
              <w:rPr>
                <w:rFonts w:eastAsia="Calibri" w:cs="Times New Roman" w:ascii="Times New Roman" w:hAnsi="Times New Roman"/>
                <w:kern w:val="0"/>
                <w:sz w:val="28"/>
                <w:szCs w:val="28"/>
                <w:lang w:val="ru-RU" w:eastAsia="en-US" w:bidi="ar-SA"/>
              </w:rPr>
              <w:t>Текстовые материалы</w:t>
            </w:r>
          </w:p>
        </w:tc>
      </w:tr>
      <w:tr>
        <w:trPr/>
        <w:tc>
          <w:tcPr>
            <w:tcW w:w="988" w:type="dxa"/>
            <w:tcBorders/>
          </w:tcPr>
          <w:p>
            <w:pPr>
              <w:pStyle w:val="Normal"/>
              <w:widowControl w:val="false"/>
              <w:suppressAutoHyphens w:val="true"/>
              <w:spacing w:lineRule="auto" w:line="240" w:before="0" w:after="0"/>
              <w:jc w:val="center"/>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1</w:t>
            </w:r>
          </w:p>
        </w:tc>
        <w:tc>
          <w:tcPr>
            <w:tcW w:w="6804" w:type="dxa"/>
            <w:tcBorders/>
          </w:tcPr>
          <w:p>
            <w:pPr>
              <w:pStyle w:val="Normal"/>
              <w:widowControl w:val="false"/>
              <w:suppressAutoHyphens w:val="true"/>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Пояснительная записка</w:t>
            </w:r>
          </w:p>
        </w:tc>
        <w:tc>
          <w:tcPr>
            <w:tcW w:w="2119" w:type="dxa"/>
            <w:tcBorders/>
          </w:tcPr>
          <w:p>
            <w:pPr>
              <w:pStyle w:val="Normal"/>
              <w:widowControl w:val="false"/>
              <w:suppressAutoHyphens w:val="true"/>
              <w:spacing w:lineRule="auto" w:line="240" w:before="0" w:after="0"/>
              <w:jc w:val="center"/>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91</w:t>
            </w:r>
          </w:p>
        </w:tc>
      </w:tr>
      <w:tr>
        <w:trPr/>
        <w:tc>
          <w:tcPr>
            <w:tcW w:w="988" w:type="dxa"/>
            <w:tcBorders/>
          </w:tcPr>
          <w:p>
            <w:pPr>
              <w:pStyle w:val="Normal"/>
              <w:widowControl w:val="false"/>
              <w:suppressAutoHyphens w:val="true"/>
              <w:spacing w:lineRule="auto" w:line="240" w:before="0" w:after="0"/>
              <w:jc w:val="center"/>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2</w:t>
            </w:r>
          </w:p>
        </w:tc>
        <w:tc>
          <w:tcPr>
            <w:tcW w:w="6804" w:type="dxa"/>
            <w:tcBorders/>
          </w:tcPr>
          <w:p>
            <w:pPr>
              <w:pStyle w:val="Normal"/>
              <w:widowControl w:val="false"/>
              <w:suppressAutoHyphens w:val="true"/>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Охрана окружающей среды и перечень мероприятий по инженерной подготовке территории, мероприятий по гражданской обороне, мероприятий по предупреждению чрезвычайных ситуаций природного и техногенного характера. Пояснительная записка</w:t>
            </w:r>
          </w:p>
        </w:tc>
        <w:tc>
          <w:tcPr>
            <w:tcW w:w="2119" w:type="dxa"/>
            <w:tcBorders/>
          </w:tcPr>
          <w:p>
            <w:pPr>
              <w:pStyle w:val="Normal"/>
              <w:widowControl w:val="false"/>
              <w:suppressAutoHyphens w:val="true"/>
              <w:spacing w:lineRule="auto" w:line="240" w:before="0" w:after="0"/>
              <w:jc w:val="center"/>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153</w:t>
            </w:r>
          </w:p>
        </w:tc>
      </w:tr>
      <w:tr>
        <w:trPr/>
        <w:tc>
          <w:tcPr>
            <w:tcW w:w="9911" w:type="dxa"/>
            <w:gridSpan w:val="3"/>
            <w:tcBorders/>
          </w:tcPr>
          <w:p>
            <w:pPr>
              <w:pStyle w:val="Normal"/>
              <w:widowControl w:val="false"/>
              <w:suppressAutoHyphens w:val="true"/>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 xml:space="preserve">              </w:t>
            </w:r>
            <w:r>
              <w:rPr>
                <w:rFonts w:eastAsia="Calibri" w:cs="Times New Roman" w:ascii="Times New Roman" w:hAnsi="Times New Roman"/>
                <w:kern w:val="0"/>
                <w:sz w:val="28"/>
                <w:szCs w:val="28"/>
                <w:lang w:val="ru-RU" w:eastAsia="en-US" w:bidi="ar-SA"/>
              </w:rPr>
              <w:t>Графические материалы</w:t>
            </w:r>
          </w:p>
        </w:tc>
      </w:tr>
      <w:tr>
        <w:trPr/>
        <w:tc>
          <w:tcPr>
            <w:tcW w:w="988" w:type="dxa"/>
            <w:tcBorders/>
          </w:tcPr>
          <w:p>
            <w:pPr>
              <w:pStyle w:val="Normal"/>
              <w:widowControl w:val="false"/>
              <w:suppressAutoHyphens w:val="true"/>
              <w:spacing w:lineRule="auto" w:line="240" w:before="0" w:after="0"/>
              <w:jc w:val="center"/>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3</w:t>
            </w:r>
          </w:p>
        </w:tc>
        <w:tc>
          <w:tcPr>
            <w:tcW w:w="6804" w:type="dxa"/>
            <w:tcBorders/>
          </w:tcPr>
          <w:p>
            <w:pPr>
              <w:pStyle w:val="Normal"/>
              <w:widowControl w:val="false"/>
              <w:suppressAutoHyphens w:val="true"/>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Карта современного использования территории М1:10000</w:t>
            </w:r>
          </w:p>
        </w:tc>
        <w:tc>
          <w:tcPr>
            <w:tcW w:w="2119" w:type="dxa"/>
            <w:tcBorders/>
          </w:tcPr>
          <w:p>
            <w:pPr>
              <w:pStyle w:val="Normal"/>
              <w:widowControl w:val="false"/>
              <w:suppressAutoHyphens w:val="true"/>
              <w:spacing w:lineRule="auto" w:line="240" w:before="0" w:after="0"/>
              <w:jc w:val="center"/>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1/1</w:t>
            </w:r>
          </w:p>
        </w:tc>
      </w:tr>
      <w:tr>
        <w:trPr/>
        <w:tc>
          <w:tcPr>
            <w:tcW w:w="988" w:type="dxa"/>
            <w:tcBorders/>
          </w:tcPr>
          <w:p>
            <w:pPr>
              <w:pStyle w:val="Normal"/>
              <w:widowControl w:val="false"/>
              <w:suppressAutoHyphens w:val="true"/>
              <w:spacing w:lineRule="auto" w:line="240" w:before="0" w:after="0"/>
              <w:jc w:val="center"/>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4</w:t>
            </w:r>
          </w:p>
        </w:tc>
        <w:tc>
          <w:tcPr>
            <w:tcW w:w="6804" w:type="dxa"/>
            <w:tcBorders/>
          </w:tcPr>
          <w:p>
            <w:pPr>
              <w:pStyle w:val="Normal"/>
              <w:widowControl w:val="false"/>
              <w:suppressAutoHyphens w:val="true"/>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Карта территорий, подверженных риску возникновения чрезвычайных ситуаций природного и техногенного характера, мероприятий по гражданской обороне М1:10000</w:t>
            </w:r>
          </w:p>
        </w:tc>
        <w:tc>
          <w:tcPr>
            <w:tcW w:w="2119" w:type="dxa"/>
            <w:tcBorders/>
          </w:tcPr>
          <w:p>
            <w:pPr>
              <w:pStyle w:val="Normal"/>
              <w:widowControl w:val="false"/>
              <w:suppressAutoHyphens w:val="true"/>
              <w:spacing w:lineRule="auto" w:line="240" w:before="0" w:after="0"/>
              <w:jc w:val="center"/>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2/1</w:t>
            </w:r>
          </w:p>
        </w:tc>
      </w:tr>
      <w:tr>
        <w:trPr/>
        <w:tc>
          <w:tcPr>
            <w:tcW w:w="988" w:type="dxa"/>
            <w:tcBorders/>
          </w:tcPr>
          <w:p>
            <w:pPr>
              <w:pStyle w:val="Normal"/>
              <w:widowControl w:val="false"/>
              <w:suppressAutoHyphens w:val="true"/>
              <w:spacing w:lineRule="auto" w:line="240" w:before="0" w:after="0"/>
              <w:jc w:val="center"/>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5</w:t>
            </w:r>
          </w:p>
        </w:tc>
        <w:tc>
          <w:tcPr>
            <w:tcW w:w="6804" w:type="dxa"/>
            <w:tcBorders/>
          </w:tcPr>
          <w:p>
            <w:pPr>
              <w:pStyle w:val="Normal"/>
              <w:widowControl w:val="false"/>
              <w:suppressAutoHyphens w:val="true"/>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Карта инженерной инфраструктуры М1:10000</w:t>
            </w:r>
          </w:p>
        </w:tc>
        <w:tc>
          <w:tcPr>
            <w:tcW w:w="2119" w:type="dxa"/>
            <w:tcBorders/>
          </w:tcPr>
          <w:p>
            <w:pPr>
              <w:pStyle w:val="Normal"/>
              <w:widowControl w:val="false"/>
              <w:suppressAutoHyphens w:val="true"/>
              <w:spacing w:lineRule="auto" w:line="240" w:before="0" w:after="0"/>
              <w:jc w:val="center"/>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3/1</w:t>
            </w:r>
          </w:p>
        </w:tc>
      </w:tr>
      <w:tr>
        <w:trPr/>
        <w:tc>
          <w:tcPr>
            <w:tcW w:w="988" w:type="dxa"/>
            <w:tcBorders/>
          </w:tcPr>
          <w:p>
            <w:pPr>
              <w:pStyle w:val="Normal"/>
              <w:widowControl w:val="false"/>
              <w:suppressAutoHyphens w:val="true"/>
              <w:spacing w:lineRule="auto" w:line="240" w:before="0" w:after="0"/>
              <w:jc w:val="center"/>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6</w:t>
            </w:r>
          </w:p>
        </w:tc>
        <w:tc>
          <w:tcPr>
            <w:tcW w:w="6804" w:type="dxa"/>
            <w:tcBorders/>
          </w:tcPr>
          <w:p>
            <w:pPr>
              <w:pStyle w:val="Normal"/>
              <w:widowControl w:val="false"/>
              <w:suppressAutoHyphens w:val="true"/>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Карта зон с особыми условиями использования территории (существующее положение) М1:10000</w:t>
            </w:r>
          </w:p>
        </w:tc>
        <w:tc>
          <w:tcPr>
            <w:tcW w:w="2119" w:type="dxa"/>
            <w:tcBorders/>
          </w:tcPr>
          <w:p>
            <w:pPr>
              <w:pStyle w:val="Normal"/>
              <w:widowControl w:val="false"/>
              <w:suppressAutoHyphens w:val="true"/>
              <w:spacing w:lineRule="auto" w:line="240" w:before="0" w:after="0"/>
              <w:jc w:val="center"/>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4/1</w:t>
            </w:r>
          </w:p>
        </w:tc>
      </w:tr>
      <w:tr>
        <w:trPr/>
        <w:tc>
          <w:tcPr>
            <w:tcW w:w="988" w:type="dxa"/>
            <w:tcBorders/>
          </w:tcPr>
          <w:p>
            <w:pPr>
              <w:pStyle w:val="Normal"/>
              <w:widowControl w:val="false"/>
              <w:suppressAutoHyphens w:val="true"/>
              <w:spacing w:lineRule="auto" w:line="240" w:before="0" w:after="0"/>
              <w:jc w:val="center"/>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7</w:t>
            </w:r>
          </w:p>
        </w:tc>
        <w:tc>
          <w:tcPr>
            <w:tcW w:w="6804" w:type="dxa"/>
            <w:tcBorders/>
          </w:tcPr>
          <w:p>
            <w:pPr>
              <w:pStyle w:val="Normal"/>
              <w:widowControl w:val="false"/>
              <w:suppressAutoHyphens w:val="true"/>
              <w:spacing w:lineRule="auto" w:line="240" w:before="0" w:after="0"/>
              <w:jc w:val="left"/>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Карта зон с особыми условиями использования территории (проектное предложение) М1:10000</w:t>
            </w:r>
          </w:p>
        </w:tc>
        <w:tc>
          <w:tcPr>
            <w:tcW w:w="2119" w:type="dxa"/>
            <w:tcBorders/>
          </w:tcPr>
          <w:p>
            <w:pPr>
              <w:pStyle w:val="Normal"/>
              <w:widowControl w:val="false"/>
              <w:suppressAutoHyphens w:val="true"/>
              <w:spacing w:lineRule="auto" w:line="240" w:before="0" w:after="0"/>
              <w:jc w:val="center"/>
              <w:rPr>
                <w:rFonts w:ascii="Times New Roman" w:hAnsi="Times New Roman" w:cs="Times New Roman"/>
                <w:sz w:val="28"/>
                <w:szCs w:val="28"/>
              </w:rPr>
            </w:pPr>
            <w:r>
              <w:rPr>
                <w:rFonts w:eastAsia="Calibri" w:cs="Times New Roman" w:ascii="Times New Roman" w:hAnsi="Times New Roman"/>
                <w:kern w:val="0"/>
                <w:sz w:val="28"/>
                <w:szCs w:val="28"/>
                <w:lang w:val="ru-RU" w:eastAsia="en-US" w:bidi="ar-SA"/>
              </w:rPr>
              <w:t>5/1</w:t>
            </w:r>
          </w:p>
        </w:tc>
      </w:tr>
    </w:tbl>
    <w:p>
      <w:pPr>
        <w:pStyle w:val="Normal"/>
        <w:rPr>
          <w:rFonts w:ascii="Times New Roman" w:hAnsi="Times New Roman" w:cs="Times New Roman"/>
        </w:rPr>
      </w:pPr>
      <w:r>
        <w:rPr>
          <w:rFonts w:cs="Times New Roman" w:ascii="Times New Roman" w:hAnsi="Times New Roman"/>
        </w:rPr>
      </w:r>
      <w:r>
        <w:br w:type="page"/>
      </w:r>
    </w:p>
    <w:sdt>
      <w:sdtPr>
        <w:docPartObj>
          <w:docPartGallery w:val="Table of Contents"/>
          <w:docPartUnique w:val="true"/>
        </w:docPartObj>
        <w:id w:val="1240766720"/>
      </w:sdtPr>
      <w:sdtContent>
        <w:p>
          <w:pPr>
            <w:pStyle w:val="Style44"/>
            <w:keepNext w:val="false"/>
            <w:keepLines w:val="false"/>
            <w:widowControl w:val="false"/>
            <w:numPr>
              <w:ilvl w:val="0"/>
              <w:numId w:val="0"/>
            </w:numPr>
            <w:suppressAutoHyphens w:val="true"/>
            <w:spacing w:lineRule="auto" w:line="240"/>
            <w:ind w:left="0" w:right="0" w:hanging="0"/>
            <w:jc w:val="center"/>
            <w:outlineLvl w:val="0"/>
            <w:rPr>
              <w:b/>
              <w:color w:val="auto"/>
            </w:rPr>
          </w:pPr>
          <w:r>
            <w:rPr>
              <w:rFonts w:eastAsia="Calibri" w:cs="Times New Roman" w:ascii="Times New Roman" w:hAnsi="Times New Roman" w:eastAsiaTheme="minorHAnsi"/>
              <w:b/>
              <w:color w:val="auto"/>
              <w:sz w:val="28"/>
              <w:szCs w:val="26"/>
              <w:lang w:eastAsia="en-US"/>
            </w:rPr>
            <w:t xml:space="preserve">СОДЕРЖАНИЕ </w:t>
          </w:r>
          <w:bookmarkStart w:id="95" w:name="_GoBack_Копия_1"/>
          <w:bookmarkEnd w:id="95"/>
        </w:p>
        <w:p>
          <w:pPr>
            <w:pStyle w:val="17"/>
            <w:rPr>
              <w:rFonts w:ascii="Calibri" w:hAnsi="Calibri" w:eastAsia="" w:cs="" w:asciiTheme="minorHAnsi" w:cstheme="minorBidi" w:eastAsiaTheme="minorEastAsia" w:hAnsiTheme="minorHAnsi"/>
            </w:rPr>
          </w:pPr>
          <w:r>
            <w:rPr/>
            <w:t>ВВЕДЕНИЕ</w:t>
          </w:r>
          <w:r>
            <w:rPr>
              <w:vanish/>
            </w:rPr>
            <w:tab/>
            <w:t>5</w:t>
          </w:r>
        </w:p>
        <w:p>
          <w:pPr>
            <w:pStyle w:val="17"/>
            <w:rPr>
              <w:rFonts w:ascii="Calibri" w:hAnsi="Calibri" w:eastAsia="" w:cs="" w:asciiTheme="minorHAnsi" w:cstheme="minorBidi" w:eastAsiaTheme="minorEastAsia" w:hAnsiTheme="minorHAnsi"/>
            </w:rPr>
          </w:pPr>
          <w:r>
            <w:rPr/>
            <w:t>1. ПРИРОДНАЯ ХАРАКТЕРИСТИКА ТЕРРИТОРИИ</w:t>
          </w:r>
          <w:r>
            <w:rPr>
              <w:vanish/>
            </w:rPr>
            <w:tab/>
            <w:t>5</w:t>
          </w:r>
        </w:p>
        <w:p>
          <w:pPr>
            <w:pStyle w:val="28"/>
            <w:rPr>
              <w:rFonts w:ascii="Calibri" w:hAnsi="Calibri" w:eastAsia="" w:cs="" w:asciiTheme="minorHAnsi" w:cstheme="minorBidi" w:eastAsiaTheme="minorEastAsia" w:hAnsiTheme="minorHAnsi"/>
              <w:sz w:val="22"/>
              <w:szCs w:val="22"/>
            </w:rPr>
          </w:pPr>
          <w:r>
            <w:rPr/>
            <w:t>1.1 Рельеф и геоморфология</w:t>
          </w:r>
          <w:r>
            <w:rPr>
              <w:vanish/>
            </w:rPr>
            <w:tab/>
            <w:t>5</w:t>
          </w:r>
        </w:p>
        <w:p>
          <w:pPr>
            <w:pStyle w:val="28"/>
            <w:rPr>
              <w:rFonts w:ascii="Calibri" w:hAnsi="Calibri" w:eastAsia="" w:cs="" w:asciiTheme="minorHAnsi" w:cstheme="minorBidi" w:eastAsiaTheme="minorEastAsia" w:hAnsiTheme="minorHAnsi"/>
              <w:sz w:val="22"/>
              <w:szCs w:val="22"/>
            </w:rPr>
          </w:pPr>
          <w:r>
            <w:rPr/>
            <w:t>1.2 Геологическое строение</w:t>
          </w:r>
          <w:r>
            <w:rPr>
              <w:vanish/>
            </w:rPr>
            <w:tab/>
            <w:t>5</w:t>
          </w:r>
        </w:p>
        <w:p>
          <w:pPr>
            <w:pStyle w:val="28"/>
            <w:rPr>
              <w:rFonts w:ascii="Calibri" w:hAnsi="Calibri" w:eastAsia="" w:cs="" w:asciiTheme="minorHAnsi" w:cstheme="minorBidi" w:eastAsiaTheme="minorEastAsia" w:hAnsiTheme="minorHAnsi"/>
              <w:sz w:val="22"/>
              <w:szCs w:val="22"/>
            </w:rPr>
          </w:pPr>
          <w:r>
            <w:rPr/>
            <w:t>1.3 Тектоника и сейсмичность</w:t>
          </w:r>
          <w:r>
            <w:rPr>
              <w:vanish/>
            </w:rPr>
            <w:tab/>
            <w:t>6</w:t>
          </w:r>
        </w:p>
        <w:p>
          <w:pPr>
            <w:pStyle w:val="28"/>
            <w:rPr>
              <w:rFonts w:ascii="Calibri" w:hAnsi="Calibri" w:eastAsia="" w:cs="" w:asciiTheme="minorHAnsi" w:cstheme="minorBidi" w:eastAsiaTheme="minorEastAsia" w:hAnsiTheme="minorHAnsi"/>
              <w:sz w:val="22"/>
              <w:szCs w:val="22"/>
            </w:rPr>
          </w:pPr>
          <w:r>
            <w:rPr/>
            <w:t>1.4 Полезные ископаемые</w:t>
          </w:r>
          <w:r>
            <w:rPr>
              <w:vanish/>
            </w:rPr>
            <w:tab/>
            <w:t>9</w:t>
          </w:r>
        </w:p>
        <w:p>
          <w:pPr>
            <w:pStyle w:val="28"/>
            <w:rPr>
              <w:rFonts w:ascii="Calibri" w:hAnsi="Calibri" w:eastAsia="" w:cs="" w:asciiTheme="minorHAnsi" w:cstheme="minorBidi" w:eastAsiaTheme="minorEastAsia" w:hAnsiTheme="minorHAnsi"/>
              <w:sz w:val="22"/>
              <w:szCs w:val="22"/>
            </w:rPr>
          </w:pPr>
          <w:r>
            <w:rPr/>
            <w:t>1.5 Гидрогеологические условия</w:t>
          </w:r>
          <w:r>
            <w:rPr>
              <w:vanish/>
            </w:rPr>
            <w:tab/>
            <w:t>9</w:t>
          </w:r>
        </w:p>
        <w:p>
          <w:pPr>
            <w:pStyle w:val="28"/>
            <w:rPr>
              <w:rFonts w:ascii="Calibri" w:hAnsi="Calibri" w:eastAsia="" w:cs="" w:asciiTheme="minorHAnsi" w:cstheme="minorBidi" w:eastAsiaTheme="minorEastAsia" w:hAnsiTheme="minorHAnsi"/>
              <w:sz w:val="22"/>
              <w:szCs w:val="22"/>
            </w:rPr>
          </w:pPr>
          <w:r>
            <w:rPr/>
            <w:t>1.6 Поверхностные воды</w:t>
          </w:r>
          <w:r>
            <w:rPr>
              <w:vanish/>
            </w:rPr>
            <w:tab/>
            <w:t>11</w:t>
          </w:r>
        </w:p>
        <w:p>
          <w:pPr>
            <w:pStyle w:val="28"/>
            <w:rPr>
              <w:rFonts w:ascii="Calibri" w:hAnsi="Calibri" w:eastAsia="" w:cs="" w:asciiTheme="minorHAnsi" w:cstheme="minorBidi" w:eastAsiaTheme="minorEastAsia" w:hAnsiTheme="minorHAnsi"/>
              <w:sz w:val="22"/>
              <w:szCs w:val="22"/>
            </w:rPr>
          </w:pPr>
          <w:r>
            <w:rPr/>
            <w:t>1.7 Климатическая характеристика</w:t>
          </w:r>
          <w:r>
            <w:rPr>
              <w:vanish/>
            </w:rPr>
            <w:tab/>
            <w:t>12</w:t>
          </w:r>
        </w:p>
        <w:p>
          <w:pPr>
            <w:pStyle w:val="28"/>
            <w:rPr>
              <w:rFonts w:ascii="Calibri" w:hAnsi="Calibri" w:eastAsia="" w:cs="" w:asciiTheme="minorHAnsi" w:cstheme="minorBidi" w:eastAsiaTheme="minorEastAsia" w:hAnsiTheme="minorHAnsi"/>
              <w:sz w:val="22"/>
              <w:szCs w:val="22"/>
            </w:rPr>
          </w:pPr>
          <w:r>
            <w:rPr/>
            <w:t>1.8 Ландшафты, почвенный покров, животный и растительный мир</w:t>
          </w:r>
          <w:r>
            <w:rPr>
              <w:vanish/>
            </w:rPr>
            <w:tab/>
            <w:t>14</w:t>
          </w:r>
        </w:p>
        <w:p>
          <w:pPr>
            <w:pStyle w:val="28"/>
            <w:rPr>
              <w:rFonts w:ascii="Calibri" w:hAnsi="Calibri" w:eastAsia="" w:cs="" w:asciiTheme="minorHAnsi" w:cstheme="minorBidi" w:eastAsiaTheme="minorEastAsia" w:hAnsiTheme="minorHAnsi"/>
              <w:sz w:val="22"/>
              <w:szCs w:val="22"/>
            </w:rPr>
          </w:pPr>
          <w:r>
            <w:rPr/>
            <w:t>1.9 Опасные инженерно-геологические процессы и явления</w:t>
          </w:r>
          <w:r>
            <w:rPr>
              <w:vanish/>
            </w:rPr>
            <w:tab/>
            <w:t>16</w:t>
          </w:r>
        </w:p>
        <w:p>
          <w:pPr>
            <w:pStyle w:val="17"/>
            <w:rPr>
              <w:rFonts w:ascii="Calibri" w:hAnsi="Calibri" w:eastAsia="" w:cs="" w:asciiTheme="minorHAnsi" w:cstheme="minorBidi" w:eastAsiaTheme="minorEastAsia" w:hAnsiTheme="minorHAnsi"/>
            </w:rPr>
          </w:pPr>
          <w:r>
            <w:rPr/>
            <w:t>2. ОЦЕНКА НЕГАТИВНОГО ВОЗДЕЙСТВИЯ НА ОКРУЖАЮЩУЮ СРЕДУ СУЩЕСТВУЮЩИХ И ПЛАНИРУЕМЫХ ОБЪЕКТОВ</w:t>
          </w:r>
          <w:r>
            <w:rPr>
              <w:vanish/>
            </w:rPr>
            <w:tab/>
            <w:t>19</w:t>
          </w:r>
        </w:p>
        <w:p>
          <w:pPr>
            <w:pStyle w:val="28"/>
            <w:rPr>
              <w:rFonts w:ascii="Calibri" w:hAnsi="Calibri" w:eastAsia="" w:cs="" w:asciiTheme="minorHAnsi" w:cstheme="minorBidi" w:eastAsiaTheme="minorEastAsia" w:hAnsiTheme="minorHAnsi"/>
              <w:sz w:val="22"/>
              <w:szCs w:val="22"/>
            </w:rPr>
          </w:pPr>
          <w:r>
            <w:rPr>
              <w:rFonts w:eastAsia="" w:eastAsiaTheme="majorEastAsia"/>
            </w:rPr>
            <w:t>2.1 Оценка негативного воздействия на атмосферный воздух</w:t>
          </w:r>
          <w:r>
            <w:rPr>
              <w:vanish/>
            </w:rPr>
            <w:tab/>
            <w:t>23</w:t>
          </w:r>
        </w:p>
        <w:p>
          <w:pPr>
            <w:pStyle w:val="28"/>
            <w:rPr>
              <w:rFonts w:ascii="Calibri" w:hAnsi="Calibri" w:eastAsia="" w:cs="" w:asciiTheme="minorHAnsi" w:cstheme="minorBidi" w:eastAsiaTheme="minorEastAsia" w:hAnsiTheme="minorHAnsi"/>
              <w:sz w:val="22"/>
              <w:szCs w:val="22"/>
            </w:rPr>
          </w:pPr>
          <w:r>
            <w:rPr/>
            <w:t>2.2 Оценка негативного воздействия на водные ресурсы</w:t>
          </w:r>
          <w:r>
            <w:rPr>
              <w:vanish/>
            </w:rPr>
            <w:tab/>
            <w:t>25</w:t>
          </w:r>
        </w:p>
        <w:p>
          <w:pPr>
            <w:pStyle w:val="28"/>
            <w:rPr>
              <w:rFonts w:ascii="Calibri" w:hAnsi="Calibri" w:eastAsia="" w:cs="" w:asciiTheme="minorHAnsi" w:cstheme="minorBidi" w:eastAsiaTheme="minorEastAsia" w:hAnsiTheme="minorHAnsi"/>
              <w:sz w:val="22"/>
              <w:szCs w:val="22"/>
            </w:rPr>
          </w:pPr>
          <w:r>
            <w:rPr/>
            <w:t>2.3 Оценка негативного воздействия на земельные ресурсы</w:t>
          </w:r>
          <w:r>
            <w:rPr>
              <w:vanish/>
            </w:rPr>
            <w:tab/>
            <w:t>26</w:t>
          </w:r>
        </w:p>
        <w:p>
          <w:pPr>
            <w:pStyle w:val="28"/>
            <w:rPr>
              <w:rFonts w:ascii="Calibri" w:hAnsi="Calibri" w:eastAsia="" w:cs="" w:asciiTheme="minorHAnsi" w:cstheme="minorBidi" w:eastAsiaTheme="minorEastAsia" w:hAnsiTheme="minorHAnsi"/>
              <w:sz w:val="22"/>
              <w:szCs w:val="22"/>
            </w:rPr>
          </w:pPr>
          <w:r>
            <w:rPr/>
            <w:t>2.4 Обращение с отходами производства и потребления</w:t>
          </w:r>
          <w:r>
            <w:rPr>
              <w:vanish/>
            </w:rPr>
            <w:tab/>
            <w:t>27</w:t>
          </w:r>
        </w:p>
        <w:p>
          <w:pPr>
            <w:pStyle w:val="28"/>
            <w:rPr>
              <w:rFonts w:ascii="Calibri" w:hAnsi="Calibri" w:eastAsia="" w:cs="" w:asciiTheme="minorHAnsi" w:cstheme="minorBidi" w:eastAsiaTheme="minorEastAsia" w:hAnsiTheme="minorHAnsi"/>
              <w:sz w:val="22"/>
              <w:szCs w:val="22"/>
            </w:rPr>
          </w:pPr>
          <w:r>
            <w:rPr/>
            <w:t>2.5 Акустический режим. Радиационно-гигиеническая обстановка и электромагнитные излучения</w:t>
          </w:r>
          <w:r>
            <w:rPr>
              <w:vanish/>
            </w:rPr>
            <w:tab/>
            <w:t>28</w:t>
          </w:r>
        </w:p>
        <w:p>
          <w:pPr>
            <w:pStyle w:val="28"/>
            <w:rPr>
              <w:rFonts w:ascii="Calibri" w:hAnsi="Calibri" w:eastAsia="" w:cs="" w:asciiTheme="minorHAnsi" w:cstheme="minorBidi" w:eastAsiaTheme="minorEastAsia" w:hAnsiTheme="minorHAnsi"/>
              <w:sz w:val="22"/>
              <w:szCs w:val="22"/>
            </w:rPr>
          </w:pPr>
          <w:r>
            <w:rPr/>
            <w:t>2.6.</w:t>
          </w:r>
          <w:r>
            <w:rPr>
              <w:rFonts w:eastAsia="" w:cs="" w:ascii="Calibri" w:hAnsi="Calibri" w:asciiTheme="minorHAnsi" w:cstheme="minorBidi" w:eastAsiaTheme="minorEastAsia" w:hAnsiTheme="minorHAnsi"/>
              <w:sz w:val="22"/>
              <w:szCs w:val="22"/>
            </w:rPr>
            <w:tab/>
          </w:r>
          <w:r>
            <w:rPr/>
            <w:t>Оценка негативного воздействия на озелененные территории</w:t>
          </w:r>
          <w:r>
            <w:rPr>
              <w:vanish/>
            </w:rPr>
            <w:tab/>
            <w:t>29</w:t>
          </w:r>
        </w:p>
        <w:p>
          <w:pPr>
            <w:pStyle w:val="28"/>
            <w:rPr>
              <w:rFonts w:ascii="Calibri" w:hAnsi="Calibri" w:eastAsia="" w:cs="" w:asciiTheme="minorHAnsi" w:cstheme="minorBidi" w:eastAsiaTheme="minorEastAsia" w:hAnsiTheme="minorHAnsi"/>
              <w:sz w:val="22"/>
              <w:szCs w:val="22"/>
            </w:rPr>
          </w:pPr>
          <w:r>
            <w:rPr/>
            <w:t>2.7.</w:t>
          </w:r>
          <w:r>
            <w:rPr>
              <w:rFonts w:eastAsia="" w:cs="" w:ascii="Calibri" w:hAnsi="Calibri" w:asciiTheme="minorHAnsi" w:cstheme="minorBidi" w:eastAsiaTheme="minorEastAsia" w:hAnsiTheme="minorHAnsi"/>
              <w:sz w:val="22"/>
              <w:szCs w:val="22"/>
            </w:rPr>
            <w:tab/>
          </w:r>
          <w:r>
            <w:rPr/>
            <w:t>Оценка негативного воздействия на животный и растительный мир</w:t>
          </w:r>
          <w:r>
            <w:rPr>
              <w:vanish/>
            </w:rPr>
            <w:tab/>
            <w:t>29</w:t>
          </w:r>
        </w:p>
        <w:p>
          <w:pPr>
            <w:pStyle w:val="28"/>
            <w:rPr>
              <w:rFonts w:ascii="Calibri" w:hAnsi="Calibri" w:eastAsia="" w:cs="" w:asciiTheme="minorHAnsi" w:cstheme="minorBidi" w:eastAsiaTheme="minorEastAsia" w:hAnsiTheme="minorHAnsi"/>
              <w:sz w:val="22"/>
              <w:szCs w:val="22"/>
            </w:rPr>
          </w:pPr>
          <w:r>
            <w:rPr/>
            <w:t>2.8.</w:t>
          </w:r>
          <w:r>
            <w:rPr>
              <w:rFonts w:eastAsia="" w:cs="" w:ascii="Calibri" w:hAnsi="Calibri" w:asciiTheme="minorHAnsi" w:cstheme="minorBidi" w:eastAsiaTheme="minorEastAsia" w:hAnsiTheme="minorHAnsi"/>
              <w:sz w:val="22"/>
              <w:szCs w:val="22"/>
            </w:rPr>
            <w:tab/>
          </w:r>
          <w:r>
            <w:rPr/>
            <w:t>Оценка риска для здоровья населения.</w:t>
          </w:r>
          <w:r>
            <w:rPr>
              <w:vanish/>
            </w:rPr>
            <w:tab/>
            <w:t>34</w:t>
          </w:r>
        </w:p>
        <w:p>
          <w:pPr>
            <w:pStyle w:val="17"/>
            <w:rPr>
              <w:rFonts w:ascii="Calibri" w:hAnsi="Calibri" w:eastAsia="" w:cs="" w:asciiTheme="minorHAnsi" w:cstheme="minorBidi" w:eastAsiaTheme="minorEastAsia" w:hAnsiTheme="minorHAnsi"/>
            </w:rPr>
          </w:pPr>
          <w:r>
            <w:rPr/>
            <w:t>3. ЗЕМЛИ ЛЕСНОГО ФОНДА</w:t>
          </w:r>
          <w:r>
            <w:rPr>
              <w:vanish/>
            </w:rPr>
            <w:tab/>
            <w:t>35</w:t>
          </w:r>
        </w:p>
        <w:p>
          <w:pPr>
            <w:pStyle w:val="17"/>
            <w:rPr>
              <w:rFonts w:ascii="Calibri" w:hAnsi="Calibri" w:eastAsia="" w:cs="" w:asciiTheme="minorHAnsi" w:cstheme="minorBidi" w:eastAsiaTheme="minorEastAsia" w:hAnsiTheme="minorHAnsi"/>
            </w:rPr>
          </w:pPr>
          <w:r>
            <w:rPr/>
            <w:t>4. МЕСТОРОЖДЕНИЯ ПОЛЕЗНЫХ ИСКОПАЕМЫХ, УЧАСТКИ НЕДР, ГОРНЫЕ ОТВОДЫ</w:t>
          </w:r>
          <w:r>
            <w:rPr>
              <w:vanish/>
            </w:rPr>
            <w:tab/>
            <w:t>38</w:t>
          </w:r>
        </w:p>
        <w:p>
          <w:pPr>
            <w:pStyle w:val="17"/>
            <w:rPr>
              <w:rFonts w:ascii="Calibri" w:hAnsi="Calibri" w:eastAsia="" w:cs="" w:asciiTheme="minorHAnsi" w:cstheme="minorBidi" w:eastAsiaTheme="minorEastAsia" w:hAnsiTheme="minorHAnsi"/>
            </w:rPr>
          </w:pPr>
          <w:r>
            <w:rPr/>
            <w:t>5.</w:t>
          </w:r>
          <w:r>
            <w:rPr>
              <w:rFonts w:eastAsia="" w:cs="" w:ascii="Calibri" w:hAnsi="Calibri" w:asciiTheme="minorHAnsi" w:cstheme="minorBidi" w:eastAsiaTheme="minorEastAsia" w:hAnsiTheme="minorHAnsi"/>
            </w:rPr>
            <w:tab/>
          </w:r>
          <w:r>
            <w:rPr/>
            <w:t>ОСОБО ОХРАНЯЕМЫЕ ПРИРОДНЫЕ ТЕРРИТОРИИ</w:t>
          </w:r>
          <w:r>
            <w:rPr>
              <w:vanish/>
            </w:rPr>
            <w:tab/>
            <w:t>41</w:t>
          </w:r>
        </w:p>
        <w:p>
          <w:pPr>
            <w:pStyle w:val="17"/>
            <w:rPr>
              <w:rFonts w:ascii="Calibri" w:hAnsi="Calibri" w:eastAsia="" w:cs="" w:asciiTheme="minorHAnsi" w:cstheme="minorBidi" w:eastAsiaTheme="minorEastAsia" w:hAnsiTheme="minorHAnsi"/>
            </w:rPr>
          </w:pPr>
          <w:r>
            <w:rPr/>
            <w:t>5.1 Особо охраняемые природные территории</w:t>
          </w:r>
          <w:r>
            <w:rPr>
              <w:vanish/>
            </w:rPr>
            <w:tab/>
            <w:t>41</w:t>
          </w:r>
        </w:p>
        <w:p>
          <w:pPr>
            <w:pStyle w:val="17"/>
            <w:rPr>
              <w:rFonts w:ascii="Calibri" w:hAnsi="Calibri" w:eastAsia="" w:cs="" w:asciiTheme="minorHAnsi" w:cstheme="minorBidi" w:eastAsiaTheme="minorEastAsia" w:hAnsiTheme="minorHAnsi"/>
            </w:rPr>
          </w:pPr>
          <w:r>
            <w:rPr/>
            <w:t>5.2 Особо охраняемые территории и объекты</w:t>
          </w:r>
          <w:r>
            <w:rPr>
              <w:vanish/>
            </w:rPr>
            <w:tab/>
            <w:t>48</w:t>
          </w:r>
        </w:p>
        <w:p>
          <w:pPr>
            <w:pStyle w:val="17"/>
            <w:rPr>
              <w:rFonts w:ascii="Calibri" w:hAnsi="Calibri" w:eastAsia="" w:cs="" w:asciiTheme="minorHAnsi" w:cstheme="minorBidi" w:eastAsiaTheme="minorEastAsia" w:hAnsiTheme="minorHAnsi"/>
            </w:rPr>
          </w:pPr>
          <w:r>
            <w:rPr/>
            <w:t>6.</w:t>
          </w:r>
          <w:r>
            <w:rPr>
              <w:rFonts w:eastAsia="" w:cs="" w:ascii="Calibri" w:hAnsi="Calibri" w:asciiTheme="minorHAnsi" w:cstheme="minorBidi" w:eastAsiaTheme="minorEastAsia" w:hAnsiTheme="minorHAnsi"/>
            </w:rPr>
            <w:tab/>
          </w:r>
          <w:r>
            <w:rPr/>
            <w:t>. ЗОНЫ С ОСОБЫМИ УСЛОВИЯМИ ИСПОЛЬЗОВАНИЯ ТЕРРИТОРИИ И ИНЫЕ ЗОНЫ ОГРАНИЧЕНИЙ</w:t>
          </w:r>
          <w:r>
            <w:rPr>
              <w:vanish/>
            </w:rPr>
            <w:tab/>
            <w:t>50</w:t>
          </w:r>
        </w:p>
        <w:p>
          <w:pPr>
            <w:pStyle w:val="28"/>
            <w:rPr>
              <w:rFonts w:ascii="Calibri" w:hAnsi="Calibri" w:eastAsia="" w:cs="" w:asciiTheme="minorHAnsi" w:cstheme="minorBidi" w:eastAsiaTheme="minorEastAsia" w:hAnsiTheme="minorHAnsi"/>
              <w:sz w:val="22"/>
              <w:szCs w:val="22"/>
            </w:rPr>
          </w:pPr>
          <w:r>
            <w:rPr>
              <w:rFonts w:eastAsia="" w:eastAsiaTheme="majorEastAsia"/>
            </w:rPr>
            <w:t>6.1 Санитарно-защитные зоны производственных и иных объектов</w:t>
          </w:r>
          <w:r>
            <w:rPr>
              <w:vanish/>
            </w:rPr>
            <w:tab/>
            <w:t>50</w:t>
          </w:r>
        </w:p>
        <w:p>
          <w:pPr>
            <w:pStyle w:val="28"/>
            <w:rPr>
              <w:rFonts w:ascii="Calibri" w:hAnsi="Calibri" w:eastAsia="" w:cs="" w:asciiTheme="minorHAnsi" w:cstheme="minorBidi" w:eastAsiaTheme="minorEastAsia" w:hAnsiTheme="minorHAnsi"/>
              <w:sz w:val="22"/>
              <w:szCs w:val="22"/>
            </w:rPr>
          </w:pPr>
          <w:r>
            <w:rPr>
              <w:rFonts w:eastAsia="" w:eastAsiaTheme="majorEastAsia"/>
            </w:rPr>
            <w:t>6.2 Придорожные полосы автомобильных дорог, санитарный разрыв и охранная зона железных дорог, приаэродромная территория, минимальные расстояния от АЗС</w:t>
          </w:r>
          <w:r>
            <w:rPr>
              <w:vanish/>
            </w:rPr>
            <w:tab/>
            <w:t>54</w:t>
          </w:r>
        </w:p>
        <w:p>
          <w:pPr>
            <w:pStyle w:val="28"/>
            <w:rPr>
              <w:rFonts w:ascii="Calibri" w:hAnsi="Calibri" w:eastAsia="" w:cs="" w:asciiTheme="minorHAnsi" w:cstheme="minorBidi" w:eastAsiaTheme="minorEastAsia" w:hAnsiTheme="minorHAnsi"/>
              <w:sz w:val="22"/>
              <w:szCs w:val="22"/>
            </w:rPr>
          </w:pPr>
          <w:r>
            <w:rPr/>
            <w:t>6.3 Зоны минимальных расстояний до магистральных или промышленных трубопроводов (газопроводов, нефтепроводов и нефтепродуктопроводов, аммиакопроводов) и объектов добычи и подготовки углеводородного сырья</w:t>
          </w:r>
          <w:r>
            <w:rPr>
              <w:vanish/>
            </w:rPr>
            <w:tab/>
            <w:t>56</w:t>
          </w:r>
        </w:p>
        <w:p>
          <w:pPr>
            <w:pStyle w:val="28"/>
            <w:rPr>
              <w:rFonts w:ascii="Calibri" w:hAnsi="Calibri" w:eastAsia="" w:cs="" w:asciiTheme="minorHAnsi" w:cstheme="minorBidi" w:eastAsiaTheme="minorEastAsia" w:hAnsiTheme="minorHAnsi"/>
              <w:sz w:val="22"/>
              <w:szCs w:val="22"/>
            </w:rPr>
          </w:pPr>
          <w:r>
            <w:rPr/>
            <w:t>6.4 Охранные зоны трубопроводов (газопроводов, нефтепроводов и нефтепродуктопроводов, аммиакопроводов)</w:t>
          </w:r>
          <w:r>
            <w:rPr>
              <w:vanish/>
            </w:rPr>
            <w:tab/>
            <w:t>59</w:t>
          </w:r>
        </w:p>
        <w:p>
          <w:pPr>
            <w:pStyle w:val="28"/>
            <w:rPr>
              <w:rFonts w:ascii="Calibri" w:hAnsi="Calibri" w:eastAsia="" w:cs="" w:asciiTheme="minorHAnsi" w:cstheme="minorBidi" w:eastAsiaTheme="minorEastAsia" w:hAnsiTheme="minorHAnsi"/>
              <w:sz w:val="22"/>
              <w:szCs w:val="22"/>
            </w:rPr>
          </w:pPr>
          <w:r>
            <w:rPr/>
            <w:t>6.5 Охранные зоны воздушных линий электропередач напряжением 6кВ и более</w:t>
          </w:r>
          <w:r>
            <w:rPr>
              <w:vanish/>
            </w:rPr>
            <w:tab/>
            <w:t>64</w:t>
          </w:r>
        </w:p>
        <w:p>
          <w:pPr>
            <w:pStyle w:val="28"/>
            <w:rPr>
              <w:rFonts w:ascii="Calibri" w:hAnsi="Calibri" w:eastAsia="" w:cs="" w:asciiTheme="minorHAnsi" w:cstheme="minorBidi" w:eastAsiaTheme="minorEastAsia" w:hAnsiTheme="minorHAnsi"/>
              <w:sz w:val="22"/>
              <w:szCs w:val="22"/>
            </w:rPr>
          </w:pPr>
          <w:r>
            <w:rPr/>
            <w:t>6.6 Охранная зона линий и сооружений связи</w:t>
          </w:r>
          <w:r>
            <w:rPr>
              <w:vanish/>
            </w:rPr>
            <w:tab/>
            <w:t>68</w:t>
          </w:r>
        </w:p>
        <w:p>
          <w:pPr>
            <w:pStyle w:val="28"/>
            <w:rPr>
              <w:rFonts w:ascii="Calibri" w:hAnsi="Calibri" w:eastAsia="" w:cs="" w:asciiTheme="minorHAnsi" w:cstheme="minorBidi" w:eastAsiaTheme="minorEastAsia" w:hAnsiTheme="minorHAnsi"/>
              <w:sz w:val="22"/>
              <w:szCs w:val="22"/>
            </w:rPr>
          </w:pPr>
          <w:r>
            <w:rPr/>
            <w:t>6.7 Зона ограничений передающего радиотехнического объекта, являющегося объектом капитального строительства</w:t>
          </w:r>
          <w:r>
            <w:rPr>
              <w:vanish/>
            </w:rPr>
            <w:tab/>
            <w:t>69</w:t>
          </w:r>
        </w:p>
        <w:p>
          <w:pPr>
            <w:pStyle w:val="28"/>
            <w:rPr>
              <w:rFonts w:ascii="Calibri" w:hAnsi="Calibri" w:eastAsia="" w:cs="" w:asciiTheme="minorHAnsi" w:cstheme="minorBidi" w:eastAsiaTheme="minorEastAsia" w:hAnsiTheme="minorHAnsi"/>
              <w:sz w:val="22"/>
              <w:szCs w:val="22"/>
            </w:rPr>
          </w:pPr>
          <w:r>
            <w:rPr/>
            <w:t>6.8 Охранная зона тепловых сетей</w:t>
          </w:r>
          <w:r>
            <w:rPr>
              <w:vanish/>
            </w:rPr>
            <w:tab/>
            <w:t>69</w:t>
          </w:r>
        </w:p>
        <w:p>
          <w:pPr>
            <w:pStyle w:val="28"/>
            <w:rPr>
              <w:rFonts w:ascii="Calibri" w:hAnsi="Calibri" w:eastAsia="" w:cs="" w:asciiTheme="minorHAnsi" w:cstheme="minorBidi" w:eastAsiaTheme="minorEastAsia" w:hAnsiTheme="minorHAnsi"/>
              <w:sz w:val="22"/>
              <w:szCs w:val="22"/>
            </w:rPr>
          </w:pPr>
          <w:r>
            <w:rPr/>
            <w:t>6.9 Водоохранные зоны, прибрежные защитные полосы и береговые полосы, рыбохозяйственные заповедные зоны</w:t>
          </w:r>
          <w:r>
            <w:rPr>
              <w:vanish/>
            </w:rPr>
            <w:tab/>
            <w:t>70</w:t>
          </w:r>
        </w:p>
        <w:p>
          <w:pPr>
            <w:pStyle w:val="28"/>
            <w:rPr>
              <w:rFonts w:ascii="Calibri" w:hAnsi="Calibri" w:eastAsia="" w:cs="" w:asciiTheme="minorHAnsi" w:cstheme="minorBidi" w:eastAsiaTheme="minorEastAsia" w:hAnsiTheme="minorHAnsi"/>
              <w:sz w:val="22"/>
              <w:szCs w:val="22"/>
            </w:rPr>
          </w:pPr>
          <w:r>
            <w:rPr/>
            <w:t>6.10 Зоны затопления и подтопления</w:t>
          </w:r>
          <w:r>
            <w:rPr>
              <w:vanish/>
            </w:rPr>
            <w:tab/>
            <w:t>74</w:t>
          </w:r>
        </w:p>
        <w:p>
          <w:pPr>
            <w:pStyle w:val="28"/>
            <w:rPr>
              <w:rFonts w:ascii="Calibri" w:hAnsi="Calibri" w:eastAsia="" w:cs="" w:asciiTheme="minorHAnsi" w:cstheme="minorBidi" w:eastAsiaTheme="minorEastAsia" w:hAnsiTheme="minorHAnsi"/>
              <w:sz w:val="22"/>
              <w:szCs w:val="22"/>
            </w:rPr>
          </w:pPr>
          <w:r>
            <w:rPr/>
            <w:t>6.11 Зоны санитарной охраны источников питьевого и хозяйственно-бытового водоснабжения</w:t>
          </w:r>
          <w:r>
            <w:rPr>
              <w:vanish/>
            </w:rPr>
            <w:tab/>
            <w:t>74</w:t>
          </w:r>
        </w:p>
        <w:p>
          <w:pPr>
            <w:pStyle w:val="28"/>
            <w:rPr>
              <w:rFonts w:ascii="Calibri" w:hAnsi="Calibri" w:eastAsia="" w:cs="" w:asciiTheme="minorHAnsi" w:cstheme="minorBidi" w:eastAsiaTheme="minorEastAsia" w:hAnsiTheme="minorHAnsi"/>
              <w:sz w:val="22"/>
              <w:szCs w:val="22"/>
            </w:rPr>
          </w:pPr>
          <w:r>
            <w:rPr/>
            <w:t>6.12 Округа санитарной (горно-санитарной) охраны лечебно-оздоровительных местностей, курортов и природных лечебных ресурсов</w:t>
          </w:r>
          <w:r>
            <w:rPr>
              <w:vanish/>
            </w:rPr>
            <w:tab/>
            <w:t>77</w:t>
          </w:r>
        </w:p>
        <w:p>
          <w:pPr>
            <w:pStyle w:val="28"/>
            <w:rPr>
              <w:rFonts w:ascii="Calibri" w:hAnsi="Calibri" w:eastAsia="" w:cs="" w:asciiTheme="minorHAnsi" w:cstheme="minorBidi" w:eastAsiaTheme="minorEastAsia" w:hAnsiTheme="minorHAnsi"/>
              <w:sz w:val="22"/>
              <w:szCs w:val="22"/>
            </w:rPr>
          </w:pPr>
          <w:r>
            <w:rPr/>
            <w:t>6.13 Зоны охраняемых объектов, зоны охраняемых военных объектов, охранные зоны военных объектов</w:t>
          </w:r>
          <w:r>
            <w:rPr>
              <w:vanish/>
            </w:rPr>
            <w:tab/>
            <w:t>77</w:t>
          </w:r>
        </w:p>
        <w:p>
          <w:pPr>
            <w:pStyle w:val="28"/>
            <w:rPr>
              <w:rFonts w:ascii="Calibri" w:hAnsi="Calibri" w:eastAsia="" w:cs="" w:asciiTheme="minorHAnsi" w:cstheme="minorBidi" w:eastAsiaTheme="minorEastAsia" w:hAnsiTheme="minorHAnsi"/>
              <w:sz w:val="22"/>
              <w:szCs w:val="22"/>
            </w:rPr>
          </w:pPr>
          <w:r>
            <w:rPr/>
            <w:t>6.14 Охранные зоны стационарных пунктов наблюдений за состоянием окружающей среды, охранные зоны пунктов государственной геодезической сети, государственной нивелирной сети и государственной гравиметрической сети</w:t>
          </w:r>
          <w:r>
            <w:rPr>
              <w:vanish/>
            </w:rPr>
            <w:tab/>
            <w:t>77</w:t>
          </w:r>
        </w:p>
        <w:p>
          <w:pPr>
            <w:pStyle w:val="28"/>
            <w:rPr>
              <w:rFonts w:ascii="Calibri" w:hAnsi="Calibri" w:eastAsia="" w:cs="" w:asciiTheme="minorHAnsi" w:cstheme="minorBidi" w:eastAsiaTheme="minorEastAsia" w:hAnsiTheme="minorHAnsi"/>
              <w:sz w:val="22"/>
              <w:szCs w:val="22"/>
            </w:rPr>
          </w:pPr>
          <w:r>
            <w:rPr/>
            <w:t>6.15 Охранные зоны особо охраняемых природных территорий (государственного природного заповедника, национального парка, природного парка, памятника природы)</w:t>
          </w:r>
          <w:r>
            <w:rPr>
              <w:vanish/>
            </w:rPr>
            <w:tab/>
            <w:t>80</w:t>
          </w:r>
        </w:p>
        <w:p>
          <w:pPr>
            <w:pStyle w:val="28"/>
            <w:rPr>
              <w:rFonts w:ascii="Calibri" w:hAnsi="Calibri" w:eastAsia="" w:cs="" w:asciiTheme="minorHAnsi" w:cstheme="minorBidi" w:eastAsiaTheme="minorEastAsia" w:hAnsiTheme="minorHAnsi"/>
              <w:sz w:val="22"/>
              <w:szCs w:val="22"/>
            </w:rPr>
          </w:pPr>
          <w:r>
            <w:rPr/>
            <w:t>6.16 Зоны охраны, защитные зоны объектов культурного наследия</w:t>
          </w:r>
          <w:r>
            <w:rPr>
              <w:vanish/>
            </w:rPr>
            <w:tab/>
            <w:t>80</w:t>
          </w:r>
        </w:p>
        <w:p>
          <w:pPr>
            <w:pStyle w:val="17"/>
            <w:rPr>
              <w:rFonts w:ascii="Calibri" w:hAnsi="Calibri" w:eastAsia="" w:cs="" w:asciiTheme="minorHAnsi" w:cstheme="minorBidi" w:eastAsiaTheme="minorEastAsia" w:hAnsiTheme="minorHAnsi"/>
            </w:rPr>
          </w:pPr>
          <w:r>
            <w:rPr/>
            <w:t>7.</w:t>
          </w:r>
          <w:r>
            <w:rPr>
              <w:rFonts w:eastAsia="" w:cs="" w:ascii="Calibri" w:hAnsi="Calibri" w:asciiTheme="minorHAnsi" w:cstheme="minorBidi" w:eastAsiaTheme="minorEastAsia" w:hAnsiTheme="minorHAnsi"/>
            </w:rPr>
            <w:tab/>
          </w:r>
          <w:r>
            <w:rPr/>
            <w:t>МЕРОПРИЯТИЯ ПО УСТОЙЧИВОМУ РАЗВИТИЮ ТЕРРИТОРИИ</w:t>
          </w:r>
          <w:r>
            <w:rPr>
              <w:vanish/>
            </w:rPr>
            <w:tab/>
            <w:t>82</w:t>
          </w:r>
        </w:p>
        <w:p>
          <w:pPr>
            <w:pStyle w:val="28"/>
            <w:rPr>
              <w:rFonts w:ascii="Calibri" w:hAnsi="Calibri" w:eastAsia="" w:cs="" w:asciiTheme="minorHAnsi" w:cstheme="minorBidi" w:eastAsiaTheme="minorEastAsia" w:hAnsiTheme="minorHAnsi"/>
              <w:sz w:val="22"/>
              <w:szCs w:val="22"/>
            </w:rPr>
          </w:pPr>
          <w:r>
            <w:rPr/>
            <w:t>7.1.</w:t>
          </w:r>
          <w:r>
            <w:rPr>
              <w:rFonts w:eastAsia="" w:cs="" w:ascii="Calibri" w:hAnsi="Calibri" w:asciiTheme="minorHAnsi" w:cstheme="minorBidi" w:eastAsiaTheme="minorEastAsia" w:hAnsiTheme="minorHAnsi"/>
              <w:sz w:val="22"/>
              <w:szCs w:val="22"/>
            </w:rPr>
            <w:tab/>
          </w:r>
          <w:r>
            <w:rPr/>
            <w:t>Мероприятия по охране атмосферного воздуха</w:t>
          </w:r>
          <w:r>
            <w:rPr>
              <w:vanish/>
            </w:rPr>
            <w:tab/>
            <w:t>82</w:t>
          </w:r>
        </w:p>
        <w:p>
          <w:pPr>
            <w:pStyle w:val="28"/>
            <w:rPr>
              <w:rFonts w:ascii="Calibri" w:hAnsi="Calibri" w:eastAsia="" w:cs="" w:asciiTheme="minorHAnsi" w:cstheme="minorBidi" w:eastAsiaTheme="minorEastAsia" w:hAnsiTheme="minorHAnsi"/>
              <w:sz w:val="22"/>
              <w:szCs w:val="22"/>
            </w:rPr>
          </w:pPr>
          <w:r>
            <w:rPr>
              <w:rFonts w:eastAsia="Calibri" w:eastAsiaTheme="minorHAnsi"/>
            </w:rPr>
            <w:t>7.2.</w:t>
          </w:r>
          <w:r>
            <w:rPr>
              <w:rFonts w:eastAsia="" w:cs="" w:ascii="Calibri" w:hAnsi="Calibri" w:asciiTheme="minorHAnsi" w:cstheme="minorBidi" w:eastAsiaTheme="minorEastAsia" w:hAnsiTheme="minorHAnsi"/>
              <w:sz w:val="22"/>
              <w:szCs w:val="22"/>
            </w:rPr>
            <w:tab/>
          </w:r>
          <w:r>
            <w:rPr/>
            <w:t>Мероприятия по охране и рациональному использованию поверхностных и подземных вод</w:t>
          </w:r>
          <w:r>
            <w:rPr>
              <w:vanish/>
            </w:rPr>
            <w:tab/>
            <w:t>85</w:t>
          </w:r>
        </w:p>
        <w:p>
          <w:pPr>
            <w:pStyle w:val="28"/>
            <w:rPr>
              <w:rFonts w:ascii="Calibri" w:hAnsi="Calibri" w:eastAsia="" w:cs="" w:asciiTheme="minorHAnsi" w:cstheme="minorBidi" w:eastAsiaTheme="minorEastAsia" w:hAnsiTheme="minorHAnsi"/>
              <w:sz w:val="22"/>
              <w:szCs w:val="22"/>
            </w:rPr>
          </w:pPr>
          <w:r>
            <w:rPr>
              <w:rFonts w:eastAsia="Calibri" w:eastAsiaTheme="minorHAnsi"/>
            </w:rPr>
            <w:t>7.3.</w:t>
          </w:r>
          <w:r>
            <w:rPr>
              <w:rFonts w:eastAsia="" w:cs="" w:ascii="Calibri" w:hAnsi="Calibri" w:asciiTheme="minorHAnsi" w:cstheme="minorBidi" w:eastAsiaTheme="minorEastAsia" w:hAnsiTheme="minorHAnsi"/>
              <w:sz w:val="22"/>
              <w:szCs w:val="22"/>
            </w:rPr>
            <w:tab/>
          </w:r>
          <w:r>
            <w:rPr/>
            <w:t>Мероприятия по охране и рациональному использованию земельных ресурсов</w:t>
          </w:r>
          <w:r>
            <w:rPr>
              <w:vanish/>
            </w:rPr>
            <w:tab/>
            <w:t>92</w:t>
          </w:r>
        </w:p>
        <w:p>
          <w:pPr>
            <w:pStyle w:val="28"/>
            <w:rPr>
              <w:rFonts w:ascii="Calibri" w:hAnsi="Calibri" w:eastAsia="" w:cs="" w:asciiTheme="minorHAnsi" w:cstheme="minorBidi" w:eastAsiaTheme="minorEastAsia" w:hAnsiTheme="minorHAnsi"/>
              <w:sz w:val="22"/>
              <w:szCs w:val="22"/>
            </w:rPr>
          </w:pPr>
          <w:r>
            <w:rPr>
              <w:rFonts w:eastAsia="Calibri" w:eastAsiaTheme="minorHAnsi"/>
            </w:rPr>
            <w:t>7.4.</w:t>
          </w:r>
          <w:r>
            <w:rPr>
              <w:rFonts w:eastAsia="" w:cs="" w:ascii="Calibri" w:hAnsi="Calibri" w:asciiTheme="minorHAnsi" w:cstheme="minorBidi" w:eastAsiaTheme="minorEastAsia" w:hAnsiTheme="minorHAnsi"/>
              <w:sz w:val="22"/>
              <w:szCs w:val="22"/>
            </w:rPr>
            <w:tab/>
          </w:r>
          <w:r>
            <w:rPr/>
            <w:t>Мероприятия по оптимизации системы обращения с отходами производства и потребления</w:t>
          </w:r>
          <w:r>
            <w:rPr>
              <w:vanish/>
            </w:rPr>
            <w:tab/>
            <w:t>95</w:t>
          </w:r>
        </w:p>
        <w:p>
          <w:pPr>
            <w:pStyle w:val="28"/>
            <w:rPr>
              <w:rFonts w:ascii="Calibri" w:hAnsi="Calibri" w:eastAsia="" w:cs="" w:asciiTheme="minorHAnsi" w:cstheme="minorBidi" w:eastAsiaTheme="minorEastAsia" w:hAnsiTheme="minorHAnsi"/>
              <w:sz w:val="22"/>
              <w:szCs w:val="22"/>
            </w:rPr>
          </w:pPr>
          <w:r>
            <w:rPr>
              <w:rFonts w:eastAsia="Calibri" w:eastAsiaTheme="minorHAnsi"/>
            </w:rPr>
            <w:t>7.5.</w:t>
          </w:r>
          <w:r>
            <w:rPr>
              <w:rFonts w:eastAsia="" w:cs="" w:ascii="Calibri" w:hAnsi="Calibri" w:asciiTheme="minorHAnsi" w:cstheme="minorBidi" w:eastAsiaTheme="minorEastAsia" w:hAnsiTheme="minorHAnsi"/>
              <w:sz w:val="22"/>
              <w:szCs w:val="22"/>
            </w:rPr>
            <w:tab/>
          </w:r>
          <w:r>
            <w:rPr/>
            <w:t>Мероприятия по защите населения от физических факторов воздействия</w:t>
          </w:r>
          <w:r>
            <w:rPr>
              <w:vanish/>
            </w:rPr>
            <w:tab/>
            <w:t>98</w:t>
          </w:r>
        </w:p>
        <w:p>
          <w:pPr>
            <w:pStyle w:val="28"/>
            <w:rPr>
              <w:rFonts w:ascii="Calibri" w:hAnsi="Calibri" w:eastAsia="" w:cs="" w:asciiTheme="minorHAnsi" w:cstheme="minorBidi" w:eastAsiaTheme="minorEastAsia" w:hAnsiTheme="minorHAnsi"/>
              <w:sz w:val="22"/>
              <w:szCs w:val="22"/>
            </w:rPr>
          </w:pPr>
          <w:r>
            <w:rPr>
              <w:rFonts w:eastAsia="Calibri" w:eastAsiaTheme="minorHAnsi"/>
            </w:rPr>
            <w:t>7.6.</w:t>
          </w:r>
          <w:r>
            <w:rPr>
              <w:rFonts w:eastAsia="" w:cs="" w:ascii="Calibri" w:hAnsi="Calibri" w:asciiTheme="minorHAnsi" w:cstheme="minorBidi" w:eastAsiaTheme="minorEastAsia" w:hAnsiTheme="minorHAnsi"/>
              <w:sz w:val="22"/>
              <w:szCs w:val="22"/>
            </w:rPr>
            <w:tab/>
          </w:r>
          <w:r>
            <w:rPr/>
            <w:t>Мероприятия по оптимизации производства и размещения объектов</w:t>
          </w:r>
          <w:r>
            <w:rPr>
              <w:vanish/>
            </w:rPr>
            <w:tab/>
            <w:t>99</w:t>
          </w:r>
        </w:p>
        <w:p>
          <w:pPr>
            <w:pStyle w:val="28"/>
            <w:rPr>
              <w:rFonts w:ascii="Calibri" w:hAnsi="Calibri" w:eastAsia="" w:cs="" w:asciiTheme="minorHAnsi" w:cstheme="minorBidi" w:eastAsiaTheme="minorEastAsia" w:hAnsiTheme="minorHAnsi"/>
              <w:sz w:val="22"/>
              <w:szCs w:val="22"/>
            </w:rPr>
          </w:pPr>
          <w:r>
            <w:rPr>
              <w:rFonts w:eastAsia="Calibri" w:eastAsiaTheme="minorHAnsi"/>
            </w:rPr>
            <w:t>7.7.</w:t>
          </w:r>
          <w:r>
            <w:rPr>
              <w:rFonts w:eastAsia="" w:cs="" w:ascii="Calibri" w:hAnsi="Calibri" w:asciiTheme="minorHAnsi" w:cstheme="minorBidi" w:eastAsiaTheme="minorEastAsia" w:hAnsiTheme="minorHAnsi"/>
              <w:sz w:val="22"/>
              <w:szCs w:val="22"/>
            </w:rPr>
            <w:tab/>
          </w:r>
          <w:r>
            <w:rPr/>
            <w:t>Мероприятия по организации зон с особыми условиями использования территории и соблюдению режима их использования</w:t>
          </w:r>
          <w:r>
            <w:rPr>
              <w:vanish/>
            </w:rPr>
            <w:tab/>
            <w:t>102</w:t>
          </w:r>
        </w:p>
        <w:p>
          <w:pPr>
            <w:pStyle w:val="28"/>
            <w:rPr>
              <w:rFonts w:ascii="Calibri" w:hAnsi="Calibri" w:eastAsia="" w:cs="" w:asciiTheme="minorHAnsi" w:cstheme="minorBidi" w:eastAsiaTheme="minorEastAsia" w:hAnsiTheme="minorHAnsi"/>
              <w:sz w:val="22"/>
              <w:szCs w:val="22"/>
            </w:rPr>
          </w:pPr>
          <w:r>
            <w:rPr>
              <w:rFonts w:eastAsia="Calibri" w:eastAsiaTheme="minorHAnsi"/>
            </w:rPr>
            <w:t>7.8.</w:t>
          </w:r>
          <w:r>
            <w:rPr>
              <w:rFonts w:eastAsia="" w:cs="" w:ascii="Calibri" w:hAnsi="Calibri" w:asciiTheme="minorHAnsi" w:cstheme="minorBidi" w:eastAsiaTheme="minorEastAsia" w:hAnsiTheme="minorHAnsi"/>
              <w:sz w:val="22"/>
              <w:szCs w:val="22"/>
            </w:rPr>
            <w:tab/>
          </w:r>
          <w:r>
            <w:rPr/>
            <w:t>Мероприятия по охране особо охраняемых природных территорий</w:t>
          </w:r>
          <w:r>
            <w:rPr>
              <w:vanish/>
            </w:rPr>
            <w:tab/>
            <w:t>106</w:t>
          </w:r>
        </w:p>
        <w:p>
          <w:pPr>
            <w:pStyle w:val="28"/>
            <w:rPr>
              <w:rFonts w:ascii="Calibri" w:hAnsi="Calibri" w:eastAsia="" w:cs="" w:asciiTheme="minorHAnsi" w:cstheme="minorBidi" w:eastAsiaTheme="minorEastAsia" w:hAnsiTheme="minorHAnsi"/>
              <w:sz w:val="22"/>
              <w:szCs w:val="22"/>
            </w:rPr>
          </w:pPr>
          <w:r>
            <w:rPr>
              <w:rFonts w:eastAsia="Calibri" w:eastAsiaTheme="minorHAnsi"/>
            </w:rPr>
            <w:t>7.9.</w:t>
          </w:r>
          <w:r>
            <w:rPr>
              <w:rFonts w:eastAsia="" w:cs="" w:ascii="Calibri" w:hAnsi="Calibri" w:asciiTheme="minorHAnsi" w:cstheme="minorBidi" w:eastAsiaTheme="minorEastAsia" w:hAnsiTheme="minorHAnsi"/>
              <w:sz w:val="22"/>
              <w:szCs w:val="22"/>
            </w:rPr>
            <w:tab/>
          </w:r>
          <w:r>
            <w:rPr/>
            <w:t>Мероприятия по формированию природно-экологического каркаса территории</w:t>
          </w:r>
          <w:r>
            <w:rPr>
              <w:vanish/>
            </w:rPr>
            <w:tab/>
            <w:t>106</w:t>
          </w:r>
        </w:p>
        <w:p>
          <w:pPr>
            <w:pStyle w:val="28"/>
            <w:rPr>
              <w:rFonts w:ascii="Calibri" w:hAnsi="Calibri" w:eastAsia="" w:cs="" w:asciiTheme="minorHAnsi" w:cstheme="minorBidi" w:eastAsiaTheme="minorEastAsia" w:hAnsiTheme="minorHAnsi"/>
              <w:sz w:val="22"/>
              <w:szCs w:val="22"/>
            </w:rPr>
          </w:pPr>
          <w:r>
            <w:rPr>
              <w:rFonts w:eastAsia="Calibri" w:eastAsiaTheme="minorHAnsi"/>
            </w:rPr>
            <w:t>7.10.</w:t>
          </w:r>
          <w:r>
            <w:rPr/>
            <w:t>Мероприятия по охране животного и растительного мира</w:t>
          </w:r>
          <w:r>
            <w:rPr>
              <w:vanish/>
            </w:rPr>
            <w:tab/>
            <w:t>106</w:t>
          </w:r>
        </w:p>
        <w:p>
          <w:pPr>
            <w:pStyle w:val="28"/>
            <w:rPr>
              <w:rFonts w:ascii="Calibri" w:hAnsi="Calibri" w:eastAsia="" w:cs="" w:asciiTheme="minorHAnsi" w:cstheme="minorBidi" w:eastAsiaTheme="minorEastAsia" w:hAnsiTheme="minorHAnsi"/>
              <w:sz w:val="22"/>
              <w:szCs w:val="22"/>
            </w:rPr>
          </w:pPr>
          <w:r>
            <w:rPr>
              <w:rFonts w:eastAsia="Calibri" w:eastAsiaTheme="minorHAnsi"/>
            </w:rPr>
            <w:t>7.11.</w:t>
          </w:r>
          <w:r>
            <w:rPr/>
            <w:t>Мероприятия по оптимизации санитарно-эпидемиологического негативного воздействия территории и здоровья населения</w:t>
          </w:r>
          <w:r>
            <w:rPr>
              <w:vanish/>
            </w:rPr>
            <w:tab/>
            <w:t>109</w:t>
          </w:r>
        </w:p>
        <w:p>
          <w:pPr>
            <w:pStyle w:val="17"/>
            <w:rPr>
              <w:rFonts w:ascii="Calibri" w:hAnsi="Calibri" w:eastAsia="" w:cs="" w:asciiTheme="minorHAnsi" w:cstheme="minorBidi" w:eastAsiaTheme="minorEastAsia" w:hAnsiTheme="minorHAnsi"/>
            </w:rPr>
          </w:pPr>
          <w:r>
            <w:rPr/>
            <w:t>8. МЕРОПРИЯТИЯ ИНЖЕНЕРНОЙ ПОДГОТОВКИ ТЕРРИТОРИИ</w:t>
          </w:r>
          <w:r>
            <w:rPr>
              <w:vanish/>
            </w:rPr>
            <w:tab/>
            <w:t>110</w:t>
          </w:r>
        </w:p>
        <w:p>
          <w:pPr>
            <w:pStyle w:val="17"/>
            <w:rPr>
              <w:rFonts w:ascii="Calibri" w:hAnsi="Calibri" w:eastAsia="" w:cs="" w:asciiTheme="minorHAnsi" w:cstheme="minorBidi" w:eastAsiaTheme="minorEastAsia" w:hAnsiTheme="minorHAnsi"/>
            </w:rPr>
          </w:pPr>
          <w:r>
            <w:rPr/>
            <w:t>9. ПЕРЕЧЕНЬ МЕРОПРИЯТИЙ ПО ГРАЖДАНСКОЙ ОБОРОНЕ, МЕРОПРИЯТИЙ ПО ПРЕДУПРЕЖДЕНИЮ ЧРЕЗВЫЧАЙНЫХ СИТУАЦИЙ ПРИРОДНОГО И ТЕХНОГЕННОГО ХАРАКТЕРА</w:t>
          </w:r>
          <w:r>
            <w:rPr>
              <w:vanish/>
            </w:rPr>
            <w:tab/>
            <w:t>119</w:t>
          </w:r>
        </w:p>
        <w:p>
          <w:pPr>
            <w:sectPr>
              <w:footerReference w:type="default" r:id="rId33"/>
              <w:type w:val="nextPage"/>
              <w:pgSz w:w="11906" w:h="16838"/>
              <w:pgMar w:left="1134" w:right="567" w:gutter="0" w:header="0" w:top="567" w:footer="567" w:bottom="1134"/>
              <w:pgNumType w:fmt="decimal"/>
              <w:formProt w:val="false"/>
              <w:textDirection w:val="lrTb"/>
              <w:docGrid w:type="default" w:linePitch="600" w:charSpace="24576"/>
            </w:sectPr>
            <w:pStyle w:val="17"/>
            <w:rPr>
              <w:rFonts w:ascii="Calibri" w:hAnsi="Calibri" w:eastAsia="" w:cs="" w:asciiTheme="minorHAnsi" w:cstheme="minorBidi" w:eastAsiaTheme="minorEastAsia" w:hAnsiTheme="minorHAnsi"/>
            </w:rPr>
          </w:pPr>
          <w:r>
            <w:rPr/>
            <w:t>СПИСОК ИСПОЛЬЗОВАННОЙ ЛИТЕРАТУРЫ</w:t>
          </w:r>
          <w:r>
            <w:rPr>
              <w:vanish/>
            </w:rPr>
            <w:tab/>
            <w:t>141</w:t>
          </w:r>
        </w:p>
        <w:p>
          <w:pPr>
            <w:pStyle w:val="Normal"/>
            <w:widowControl w:val="false"/>
            <w:numPr>
              <w:ilvl w:val="0"/>
              <w:numId w:val="0"/>
            </w:numPr>
            <w:suppressAutoHyphens w:val="true"/>
            <w:spacing w:lineRule="auto" w:line="240"/>
            <w:ind w:left="709" w:hanging="0"/>
            <w:jc w:val="center"/>
            <w:outlineLvl w:val="0"/>
            <w:rPr>
              <w:rFonts w:ascii="Times New Roman" w:hAnsi="Times New Roman" w:eastAsia="" w:cs="Times New Roman" w:eastAsiaTheme="majorEastAsia"/>
              <w:b/>
              <w:sz w:val="28"/>
              <w:szCs w:val="28"/>
            </w:rPr>
          </w:pPr>
          <w:bookmarkStart w:id="96" w:name="_Toc147740033"/>
          <w:bookmarkStart w:id="97" w:name="_Toc34215196"/>
          <w:r>
            <w:rPr>
              <w:rFonts w:eastAsia="" w:cs="Times New Roman" w:ascii="Times New Roman" w:hAnsi="Times New Roman" w:eastAsiaTheme="majorEastAsia"/>
              <w:b/>
              <w:sz w:val="28"/>
              <w:szCs w:val="28"/>
            </w:rPr>
            <w:t>ВВЕДЕНИЕ</w:t>
          </w:r>
          <w:bookmarkEnd w:id="96"/>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Целью работы является разработка проекта внесения изменений в генеральный план Вахитовского сельского поселения Верхнеуслонского муниципального района Республики Татарстан:</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в части изменения границы населенного пункта село Ташевка включение в границы населенного пункта земельных участков с кадастровыми номерами 16:15:030601:774 и 16:15:030601:776 на основании письма 22.11.2023 №ИСХ-7447;</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в части изменения категории земельных участков с кадастровыми номерами 16:15:030601:783 и 16:15:000000:2464 из категории земель сельскохозяйственного назначения в категорию земель особо охраняемых территорий и объектов на основании письма от 22.11.2023 №ИСХ-7447;</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в части отнесения земельного участка с кадастровым номером 16:15:000000:2717 к функциональной зоне рекреационного назначения на основании письма от 24.05.2023 № ИСХ-2911.</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Согласно 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 Распоряжением Правительства РФ от 19.03.2013 № 384-р), а также согласно Схеме территориального планирования Республики Татарстан (утв. Постановлением КМ РТ от 21.02.2011 № 134), на территории Вахитовского сельского поселения планируется строительство автомобильных дорог: «Москва – Нижний Новгород – Казань», «Вахитово-Ташевка», «Янга-Болгар - Матюшино - Бакча-Сарай».</w:t>
          </w:r>
          <w:r>
            <w:br w:type="page"/>
          </w:r>
        </w:p>
        <w:p>
          <w:pPr>
            <w:pStyle w:val="Normal"/>
            <w:widowControl w:val="false"/>
            <w:numPr>
              <w:ilvl w:val="0"/>
              <w:numId w:val="24"/>
            </w:numPr>
            <w:suppressAutoHyphens w:val="true"/>
            <w:spacing w:lineRule="auto" w:line="240"/>
            <w:ind w:left="0" w:firstLine="709"/>
            <w:jc w:val="center"/>
            <w:outlineLvl w:val="0"/>
            <w:rPr>
              <w:rFonts w:ascii="Times New Roman" w:hAnsi="Times New Roman" w:eastAsia="" w:cs="Times New Roman" w:eastAsiaTheme="majorEastAsia"/>
              <w:b/>
              <w:sz w:val="28"/>
              <w:szCs w:val="28"/>
            </w:rPr>
          </w:pPr>
          <w:bookmarkStart w:id="98" w:name="_Toc34215196"/>
          <w:bookmarkStart w:id="99" w:name="_Toc147740034"/>
          <w:r>
            <w:rPr>
              <w:rFonts w:eastAsia="" w:cs="Times New Roman" w:ascii="Times New Roman" w:hAnsi="Times New Roman" w:eastAsiaTheme="majorEastAsia"/>
              <w:b/>
              <w:sz w:val="28"/>
              <w:szCs w:val="28"/>
            </w:rPr>
            <w:t>ПРИРОДНАЯ ХАРАКТЕРИСТИКА ТЕРРИТОРИИ</w:t>
          </w:r>
          <w:bookmarkEnd w:id="98"/>
          <w:bookmarkEnd w:id="99"/>
        </w:p>
        <w:p>
          <w:pPr>
            <w:pStyle w:val="2"/>
            <w:numPr>
              <w:ilvl w:val="1"/>
              <w:numId w:val="24"/>
            </w:numPr>
            <w:spacing w:before="0" w:after="160"/>
            <w:ind w:left="0" w:firstLine="709"/>
            <w:jc w:val="center"/>
            <w:rPr>
              <w:rFonts w:ascii="Times New Roman" w:hAnsi="Times New Roman" w:cs="Times New Roman"/>
              <w:b/>
              <w:color w:val="auto"/>
              <w:sz w:val="28"/>
              <w:szCs w:val="28"/>
            </w:rPr>
          </w:pPr>
          <w:bookmarkStart w:id="100" w:name="_Toc34215197"/>
          <w:bookmarkStart w:id="101" w:name="_Toc147740035"/>
          <w:r>
            <w:rPr>
              <w:rFonts w:cs="Times New Roman" w:ascii="Times New Roman" w:hAnsi="Times New Roman"/>
              <w:b/>
              <w:color w:val="auto"/>
              <w:sz w:val="28"/>
              <w:szCs w:val="28"/>
            </w:rPr>
            <w:t>Рельеф и геоморфология</w:t>
          </w:r>
          <w:bookmarkEnd w:id="100"/>
          <w:bookmarkEnd w:id="101"/>
        </w:p>
        <w:p>
          <w:pPr>
            <w:pStyle w:val="Normal"/>
            <w:widowControl w:val="false"/>
            <w:suppressAutoHyphens w:val="tru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В геоморфологическом отношении территория поселения расположена в Предволжье, в пределах Волго-Свияжского возвышенного ландшафтного района, на правом берегу реки Волга.</w:t>
          </w:r>
        </w:p>
        <w:p>
          <w:pPr>
            <w:pStyle w:val="Normal"/>
            <w:widowControl w:val="false"/>
            <w:suppressAutoHyphens w:val="tru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Рельеф ландшафтного района представляет собой эрозионно-денудационную поверхность выравнивания, расчлененную овражно-балочной сетью и крутым уступом, обрывающуюся к урезу Волги (Куйбышевское водохранилище). Резко выраженная асимметрия волжской долины является характерной особенностью берегов водохранилища. Берег высокий с крутыми склонами, местами поросшими лесом и кустарником, в значительной степени изрезан оврагами, обрывистый.</w:t>
          </w:r>
        </w:p>
        <w:p>
          <w:pPr>
            <w:pStyle w:val="Normal"/>
            <w:tabs>
              <w:tab w:val="clear" w:pos="709"/>
              <w:tab w:val="left" w:pos="1900" w:leader="none"/>
            </w:tabs>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Максимальная высота рельефа достигает 220,3 возле деревни им. Мулланура Вахитова. Наименьшая отметка высоты наблюдается на восточной части поселения около села Гребни, по урезу Куйбышевского водохранилища – 53 м.</w:t>
          </w:r>
        </w:p>
        <w:p>
          <w:pPr>
            <w:pStyle w:val="Normal"/>
            <w:tabs>
              <w:tab w:val="clear" w:pos="709"/>
              <w:tab w:val="left" w:pos="1900" w:leader="none"/>
            </w:tabs>
            <w:spacing w:lineRule="auto" w:line="240"/>
            <w:ind w:firstLine="709"/>
            <w:jc w:val="both"/>
            <w:rPr>
              <w:rFonts w:ascii="Times New Roman" w:hAnsi="Times New Roman" w:cs="Times New Roman"/>
              <w:sz w:val="28"/>
              <w:szCs w:val="28"/>
            </w:rPr>
          </w:pPr>
          <w:r>
            <w:rPr>
              <w:rFonts w:cs="Times New Roman" w:ascii="Times New Roman" w:hAnsi="Times New Roman"/>
              <w:sz w:val="28"/>
              <w:szCs w:val="28"/>
            </w:rPr>
            <w:t>Из типов местности встречаются: средние и низкие части склонов, пойменный.</w:t>
          </w:r>
        </w:p>
        <w:p>
          <w:pPr>
            <w:pStyle w:val="2"/>
            <w:numPr>
              <w:ilvl w:val="1"/>
              <w:numId w:val="24"/>
            </w:numPr>
            <w:spacing w:lineRule="auto" w:line="240" w:before="0" w:after="160"/>
            <w:ind w:left="0" w:hanging="357"/>
            <w:jc w:val="center"/>
            <w:rPr>
              <w:rFonts w:ascii="Times New Roman" w:hAnsi="Times New Roman" w:cs="Times New Roman"/>
              <w:b/>
              <w:color w:val="auto"/>
              <w:sz w:val="28"/>
              <w:szCs w:val="28"/>
            </w:rPr>
          </w:pPr>
          <w:bookmarkStart w:id="102" w:name="_Toc57443754"/>
          <w:bookmarkStart w:id="103" w:name="_Toc147740036"/>
          <w:r>
            <w:rPr>
              <w:rFonts w:cs="Times New Roman" w:ascii="Times New Roman" w:hAnsi="Times New Roman"/>
              <w:b/>
              <w:color w:val="auto"/>
              <w:sz w:val="28"/>
              <w:szCs w:val="28"/>
            </w:rPr>
            <w:t>Геологическое строение</w:t>
          </w:r>
          <w:bookmarkEnd w:id="102"/>
          <w:bookmarkEnd w:id="103"/>
        </w:p>
        <w:p>
          <w:pPr>
            <w:pStyle w:val="Normal"/>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Согласно геологической карте Республики Татарстан, подготовленной ФГБУ «Всероссийский научно-исследовательский геологический институт имени          А.П. Карпинского», по состоянию на 01.09.2019, в геологическом строении рассматриваемой территории принимают участие:</w:t>
          </w:r>
        </w:p>
        <w:p>
          <w:pPr>
            <w:pStyle w:val="Normal"/>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отложения верхнего подъяруса казанского яруса верхнего отдела пермской системы (P</w:t>
          </w:r>
          <w:r>
            <w:rPr>
              <w:rFonts w:eastAsia="Times New Roman" w:cs="Times New Roman" w:ascii="Times New Roman" w:hAnsi="Times New Roman"/>
              <w:sz w:val="28"/>
              <w:szCs w:val="28"/>
              <w:vertAlign w:val="subscript"/>
              <w:lang w:eastAsia="ru-RU"/>
            </w:rPr>
            <w:t>2</w:t>
          </w:r>
          <w:r>
            <w:rPr>
              <w:rFonts w:eastAsia="Times New Roman" w:cs="Times New Roman" w:ascii="Times New Roman" w:hAnsi="Times New Roman"/>
              <w:sz w:val="28"/>
              <w:szCs w:val="28"/>
              <w:lang w:eastAsia="ru-RU"/>
            </w:rPr>
            <w:t>kz</w:t>
          </w:r>
          <w:r>
            <w:rPr>
              <w:rFonts w:eastAsia="Times New Roman" w:cs="Times New Roman" w:ascii="Times New Roman" w:hAnsi="Times New Roman"/>
              <w:sz w:val="28"/>
              <w:szCs w:val="28"/>
              <w:vertAlign w:val="subscript"/>
              <w:lang w:eastAsia="ru-RU"/>
            </w:rPr>
            <w:t>2</w:t>
          </w:r>
          <w:r>
            <w:rPr>
              <w:rFonts w:eastAsia="Times New Roman" w:cs="Times New Roman" w:ascii="Times New Roman" w:hAnsi="Times New Roman"/>
              <w:sz w:val="28"/>
              <w:szCs w:val="28"/>
              <w:lang w:eastAsia="ru-RU"/>
            </w:rPr>
            <w:t>), представленного глинами, мергелями, известняками, доломитами, алевролитами, песчаниками, конгломератами, каменной солью, гипсами, ангидритами;</w:t>
          </w:r>
        </w:p>
        <w:p>
          <w:pPr>
            <w:pStyle w:val="Normal"/>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 отложения уржумского горизонта нижнего подъяруса татарского яруса верхнего отдела пермской системы (P2ur), представленного глинами, известняками, доломитами, мергелями, алевролитами, песчаниками. </w:t>
          </w:r>
        </w:p>
        <w:p>
          <w:pPr>
            <w:pStyle w:val="Normal"/>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отложения верхнего подъяруса татарского яруса (P</w:t>
          </w:r>
          <w:r>
            <w:rPr>
              <w:rFonts w:eastAsia="Times New Roman" w:cs="Times New Roman" w:ascii="Times New Roman" w:hAnsi="Times New Roman"/>
              <w:sz w:val="28"/>
              <w:szCs w:val="28"/>
              <w:vertAlign w:val="subscript"/>
              <w:lang w:eastAsia="ru-RU"/>
            </w:rPr>
            <w:t>2</w:t>
          </w:r>
          <w:r>
            <w:rPr>
              <w:rFonts w:eastAsia="Times New Roman" w:cs="Times New Roman" w:ascii="Times New Roman" w:hAnsi="Times New Roman"/>
              <w:sz w:val="28"/>
              <w:szCs w:val="28"/>
              <w:lang w:eastAsia="ru-RU"/>
            </w:rPr>
            <w:t>kt), северодвинского горизонта, котельнической серии, представлены глинами, известняками, алевролитами, мергелями, конгломератами. Приурочены к поймам рек.</w:t>
          </w:r>
        </w:p>
        <w:p>
          <w:pPr>
            <w:pStyle w:val="Normal"/>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2"/>
            <w:numPr>
              <w:ilvl w:val="1"/>
              <w:numId w:val="24"/>
            </w:numPr>
            <w:spacing w:lineRule="auto" w:line="240" w:before="0" w:after="160"/>
            <w:ind w:left="357" w:hanging="357"/>
            <w:jc w:val="center"/>
            <w:rPr>
              <w:rFonts w:ascii="Times New Roman" w:hAnsi="Times New Roman" w:cs="Times New Roman"/>
              <w:b/>
              <w:color w:val="auto"/>
              <w:sz w:val="28"/>
              <w:szCs w:val="28"/>
            </w:rPr>
          </w:pPr>
          <w:bookmarkStart w:id="104" w:name="_Toc57443755"/>
          <w:bookmarkStart w:id="105" w:name="_Toc147740037"/>
          <w:r>
            <w:rPr>
              <w:rFonts w:cs="Times New Roman" w:ascii="Times New Roman" w:hAnsi="Times New Roman"/>
              <w:b/>
              <w:color w:val="auto"/>
              <w:sz w:val="28"/>
              <w:szCs w:val="28"/>
            </w:rPr>
            <w:t>Тектоника и сейсмичность</w:t>
          </w:r>
          <w:bookmarkEnd w:id="104"/>
          <w:bookmarkEnd w:id="105"/>
        </w:p>
        <w:p>
          <w:pPr>
            <w:pStyle w:val="Normal"/>
            <w:widowControl w:val="false"/>
            <w:suppressAutoHyphens w:val="tru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Согласно схеме тектонического районирования РТ (Войтович Д.Е., 2001), рассматриваемая территория находится в зоне влияния Алатырско-Казанско-Арского глубинного транзитного разлома. На территории района расположены с северо-запада – Казанская, с востока – Алькеевско-Пичкасская с максимальной магнитудой 5,5.</w:t>
          </w:r>
        </w:p>
        <w:p>
          <w:pPr>
            <w:pStyle w:val="Normal"/>
            <w:widowControl w:val="false"/>
            <w:suppressAutoHyphens w:val="tru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Согласно карте В (В – степень сейсмической опасности, равная 5%) СП 14.13330.2018 «Строительство в сейсмических районах. Актуализированная редакция СНиП II-7-81», рассматриваемая территория относится к зоне с интенсивностью землетрясений 5 баллов по шкале MSK-64, согласно карте С (1%) общего сейсмического районирования территории Российской Федерации ОСР-2015, территория поселения относится к зоне с интенсивностями землетрясений 6 баллов. </w:t>
          </w:r>
        </w:p>
        <w:p>
          <w:pPr>
            <w:sectPr>
              <w:footerReference w:type="even" r:id="rId34"/>
              <w:footerReference w:type="default" r:id="rId35"/>
              <w:footerReference w:type="first" r:id="rId36"/>
              <w:type w:val="nextPage"/>
              <w:pgSz w:orient="landscape" w:w="16838" w:h="11906"/>
              <w:pgMar w:left="1134" w:right="851" w:gutter="0" w:header="0" w:top="851" w:footer="709" w:bottom="851"/>
              <w:pgNumType w:fmt="decimal"/>
              <w:formProt w:val="false"/>
              <w:textDirection w:val="lrTb"/>
              <w:docGrid w:type="default" w:linePitch="381" w:charSpace="0"/>
            </w:sectPr>
            <w:pStyle w:val="Normal"/>
            <w:widowControl w:val="false"/>
            <w:suppressAutoHyphens w:val="tru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Согласно карте сейсмического районирования территории Республики Татарстан с учетом инженерно-геологических условий (М 1:500 000), сейсмическая балльность рассматриваемой территории составляет 6 баллов.</w:t>
          </w:r>
        </w:p>
        <w:p>
          <w:pPr>
            <w:pStyle w:val="Normal0"/>
            <w:jc w:val="center"/>
            <w:rPr/>
          </w:pPr>
          <w:r>
            <w:drawing>
              <wp:anchor behindDoc="0" distT="0" distB="0" distL="114300" distR="114300" simplePos="0" locked="0" layoutInCell="0" allowOverlap="1" relativeHeight="127">
                <wp:simplePos x="0" y="0"/>
                <wp:positionH relativeFrom="column">
                  <wp:posOffset>241935</wp:posOffset>
                </wp:positionH>
                <wp:positionV relativeFrom="page">
                  <wp:posOffset>523875</wp:posOffset>
                </wp:positionV>
                <wp:extent cx="9658350" cy="5775960"/>
                <wp:effectExtent l="0" t="0" r="0" b="0"/>
                <wp:wrapTopAndBottom/>
                <wp:docPr id="15" name="Рисунок 8" descr="Z:\ОТДЕЛ ТП\Экология\Геология\Карта основных разломов РТ и сейсмогенных зон —для вставки в П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8" descr="Z:\ОТДЕЛ ТП\Экология\Геология\Карта основных разломов РТ и сейсмогенных зон —для вставки в ПЗ.png"/>
                        <pic:cNvPicPr>
                          <a:picLocks noChangeAspect="1" noChangeArrowheads="1"/>
                        </pic:cNvPicPr>
                      </pic:nvPicPr>
                      <pic:blipFill>
                        <a:blip r:embed="rId37"/>
                        <a:stretch>
                          <a:fillRect/>
                        </a:stretch>
                      </pic:blipFill>
                      <pic:spPr bwMode="auto">
                        <a:xfrm>
                          <a:off x="0" y="0"/>
                          <a:ext cx="9658350" cy="5775960"/>
                        </a:xfrm>
                        <a:prstGeom prst="rect">
                          <a:avLst/>
                        </a:prstGeom>
                      </pic:spPr>
                    </pic:pic>
                  </a:graphicData>
                </a:graphic>
              </wp:anchor>
            </w:drawing>
          </w:r>
          <w:r>
            <w:rPr/>
            <w:t>Рисунок 1.3.1. Карта основных разломов и эпицентров исторических (с 1845 г.) и современных (1982-2003 гг.) землетрясений Республики Татарстан. М 1:500000 ((Мирзоев К.М., Степанов В.П., Гатиятуллин Р.Н.) [4]</w:t>
          </w:r>
        </w:p>
        <w:p>
          <w:pPr>
            <w:pStyle w:val="Normal0"/>
            <w:jc w:val="center"/>
            <w:rPr/>
          </w:pPr>
          <w:r>
            <w:drawing>
              <wp:anchor behindDoc="0" distT="0" distB="0" distL="114300" distR="114300" simplePos="0" locked="0" layoutInCell="0" allowOverlap="1" relativeHeight="128">
                <wp:simplePos x="0" y="0"/>
                <wp:positionH relativeFrom="column">
                  <wp:posOffset>822960</wp:posOffset>
                </wp:positionH>
                <wp:positionV relativeFrom="page">
                  <wp:posOffset>501015</wp:posOffset>
                </wp:positionV>
                <wp:extent cx="7715250" cy="4927600"/>
                <wp:effectExtent l="0" t="0" r="0" b="0"/>
                <wp:wrapTopAndBottom/>
                <wp:docPr id="16" name="Рисунок 3" descr="Z:\ОТДЕЛ ТП\Экология\Геология\Глубинные и региональные разломы  РТ — для вставки в П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3" descr="Z:\ОТДЕЛ ТП\Экология\Геология\Глубинные и региональные разломы  РТ — для вставки в ПЗ.png"/>
                        <pic:cNvPicPr>
                          <a:picLocks noChangeAspect="1" noChangeArrowheads="1"/>
                        </pic:cNvPicPr>
                      </pic:nvPicPr>
                      <pic:blipFill>
                        <a:blip r:embed="rId38"/>
                        <a:stretch>
                          <a:fillRect/>
                        </a:stretch>
                      </pic:blipFill>
                      <pic:spPr bwMode="auto">
                        <a:xfrm>
                          <a:off x="0" y="0"/>
                          <a:ext cx="7715250" cy="4927600"/>
                        </a:xfrm>
                        <a:prstGeom prst="rect">
                          <a:avLst/>
                        </a:prstGeom>
                      </pic:spPr>
                    </pic:pic>
                  </a:graphicData>
                </a:graphic>
              </wp:anchor>
            </w:drawing>
          </w:r>
          <w:r>
            <w:rPr/>
            <w:t>Рисунок 1.3.2. Сейсмоактивные разломы по Степанову В.П. и др. [5]</w:t>
          </w:r>
        </w:p>
        <w:p>
          <w:pPr>
            <w:pStyle w:val="Normal0"/>
            <w:ind w:left="927" w:hanging="0"/>
            <w:rPr>
              <w:sz w:val="24"/>
            </w:rPr>
          </w:pPr>
          <w:r>
            <w:rPr>
              <w:sz w:val="24"/>
            </w:rPr>
            <w:t xml:space="preserve">глубинные разломы: </w:t>
          </w:r>
          <w:r>
            <w:rPr>
              <w:sz w:val="24"/>
              <w:lang w:val="en-US"/>
            </w:rPr>
            <w:t>I</w:t>
          </w:r>
          <w:r>
            <w:rPr>
              <w:sz w:val="24"/>
            </w:rPr>
            <w:t xml:space="preserve"> – Алькеевско-Пичкасский; </w:t>
          </w:r>
          <w:r>
            <w:rPr>
              <w:sz w:val="24"/>
              <w:lang w:val="en-US"/>
            </w:rPr>
            <w:t>II</w:t>
          </w:r>
          <w:r>
            <w:rPr>
              <w:sz w:val="24"/>
            </w:rPr>
            <w:t xml:space="preserve"> – Прикамский; </w:t>
          </w:r>
          <w:r>
            <w:rPr>
              <w:sz w:val="24"/>
              <w:lang w:val="en-US"/>
            </w:rPr>
            <w:t>III</w:t>
          </w:r>
          <w:r>
            <w:rPr>
              <w:sz w:val="24"/>
            </w:rPr>
            <w:t xml:space="preserve"> – Главный Удмуртский; </w:t>
          </w:r>
          <w:r>
            <w:rPr>
              <w:sz w:val="24"/>
              <w:lang w:val="en-US"/>
            </w:rPr>
            <w:t>IV</w:t>
          </w:r>
          <w:r>
            <w:rPr>
              <w:sz w:val="24"/>
            </w:rPr>
            <w:t xml:space="preserve"> – Исаклинско- Бавлинско-Серафимовский; </w:t>
          </w:r>
          <w:r>
            <w:rPr>
              <w:sz w:val="24"/>
              <w:lang w:val="en-US"/>
            </w:rPr>
            <w:t>V</w:t>
          </w:r>
          <w:r>
            <w:rPr>
              <w:sz w:val="24"/>
            </w:rPr>
            <w:t xml:space="preserve"> – Алатырско-Казанско-Арский; </w:t>
          </w:r>
          <w:r>
            <w:rPr>
              <w:sz w:val="24"/>
              <w:lang w:val="en-US"/>
            </w:rPr>
            <w:t>VI</w:t>
          </w:r>
          <w:r>
            <w:rPr>
              <w:sz w:val="24"/>
            </w:rPr>
            <w:t xml:space="preserve"> – Ульяновско-Ижевско-Пермский; </w:t>
          </w:r>
          <w:r>
            <w:rPr>
              <w:sz w:val="24"/>
              <w:lang w:val="en-US"/>
            </w:rPr>
            <w:t>VII</w:t>
          </w:r>
          <w:r>
            <w:rPr>
              <w:sz w:val="24"/>
            </w:rPr>
            <w:t xml:space="preserve"> – Дигитлинско-Можгинский;</w:t>
          </w:r>
        </w:p>
        <w:p>
          <w:pPr>
            <w:pStyle w:val="Normal0"/>
            <w:ind w:left="927" w:hanging="0"/>
            <w:rPr>
              <w:sz w:val="24"/>
            </w:rPr>
          </w:pPr>
          <w:r>
            <w:rPr>
              <w:sz w:val="24"/>
            </w:rPr>
            <w:t xml:space="preserve"> </w:t>
          </w:r>
          <w:r>
            <w:rPr>
              <w:sz w:val="24"/>
            </w:rPr>
            <w:t>региональные разломы: 1-Баганинский; 2-  Кузайкинский; 3 – Алтунино-Шунакский; 4 – Миннибаевский; 5 – Сулюково-Шигаевский; 6 – Нуркеевско-Сакловский; 7 – Шалтинско-Азнакаевский; 8 – Зайский; 9 – Кичуйский; 10 – Казанский; 11 – Зеленодольский;</w:t>
          </w:r>
        </w:p>
        <w:p>
          <w:pPr>
            <w:pStyle w:val="Normal0"/>
            <w:ind w:left="927" w:hanging="0"/>
            <w:rPr>
              <w:sz w:val="24"/>
            </w:rPr>
          </w:pPr>
          <w:r>
            <w:rPr>
              <w:sz w:val="24"/>
            </w:rPr>
            <w:t xml:space="preserve"> </w:t>
          </w:r>
          <w:r>
            <w:rPr>
              <w:sz w:val="24"/>
            </w:rPr>
            <w:t>сейсмоактивный район, к которому приурочено Ромашкинское месторождение.</w:t>
          </w:r>
        </w:p>
        <w:p>
          <w:pPr>
            <w:sectPr>
              <w:footerReference w:type="even" r:id="rId39"/>
              <w:footerReference w:type="default" r:id="rId40"/>
              <w:footerReference w:type="first" r:id="rId41"/>
              <w:type w:val="nextPage"/>
              <w:pgSz w:orient="landscape" w:w="16838" w:h="11906"/>
              <w:pgMar w:left="1134" w:right="851" w:gutter="0" w:header="0" w:top="851" w:footer="709" w:bottom="851"/>
              <w:pgNumType w:fmt="decimal"/>
              <w:formProt w:val="false"/>
              <w:titlePg/>
              <w:textDirection w:val="lrTb"/>
              <w:docGrid w:type="default" w:linePitch="381" w:charSpace="0"/>
            </w:sectPr>
            <w:pStyle w:val="Normal0"/>
            <w:rPr/>
          </w:pPr>
          <w:r>
            <w:rPr/>
          </w:r>
        </w:p>
        <w:p>
          <w:pPr>
            <w:pStyle w:val="2"/>
            <w:numPr>
              <w:ilvl w:val="1"/>
              <w:numId w:val="24"/>
            </w:numPr>
            <w:spacing w:lineRule="auto" w:line="240" w:before="0" w:after="160"/>
            <w:ind w:left="357" w:hanging="357"/>
            <w:jc w:val="center"/>
            <w:rPr>
              <w:rFonts w:ascii="Times New Roman" w:hAnsi="Times New Roman" w:cs="Times New Roman"/>
              <w:b/>
              <w:color w:val="auto"/>
              <w:sz w:val="28"/>
              <w:szCs w:val="28"/>
            </w:rPr>
          </w:pPr>
          <w:bookmarkStart w:id="106" w:name="_Toc57443756"/>
          <w:bookmarkStart w:id="107" w:name="_Toc147740038"/>
          <w:r>
            <w:rPr>
              <w:rFonts w:cs="Times New Roman" w:ascii="Times New Roman" w:hAnsi="Times New Roman"/>
              <w:b/>
              <w:color w:val="auto"/>
              <w:sz w:val="28"/>
              <w:szCs w:val="28"/>
            </w:rPr>
            <w:t>Полезные ископаемые</w:t>
          </w:r>
          <w:bookmarkEnd w:id="106"/>
          <w:bookmarkEnd w:id="107"/>
        </w:p>
        <w:p>
          <w:pPr>
            <w:pStyle w:val="Normal"/>
            <w:spacing w:before="0" w:after="0"/>
            <w:ind w:firstLine="709"/>
            <w:jc w:val="both"/>
            <w:rPr>
              <w:rFonts w:ascii="Times New Roman" w:hAnsi="Times New Roman" w:cs="Times New Roman"/>
              <w:sz w:val="28"/>
              <w:szCs w:val="28"/>
            </w:rPr>
          </w:pPr>
          <w:r>
            <w:rPr>
              <w:rFonts w:eastAsia="Times New Roman" w:cs="Times New Roman" w:ascii="Times New Roman" w:hAnsi="Times New Roman"/>
              <w:sz w:val="28"/>
              <w:szCs w:val="28"/>
            </w:rPr>
            <w:t xml:space="preserve">Согласно карте оцифрованных границ площадей залегания полезных ископаемых, опубликованной на сайте ФГБУ «Российский федеральный геологический фонд» и по данным, имеющимся в фонде геологической информации Министерства экологии и природных ресурсов Республики Татарстан, на территории в 0,9 км западнее н.п. Бакча-Сарай, в 1,4 км юго-западнее н.п. Матюшино расположено Матюшинское месторождение известняков, эксплуатируемое ООО «Матюшинский карьер» </w:t>
          </w:r>
          <w:r>
            <w:rPr>
              <w:rFonts w:cs="Times New Roman" w:ascii="Times New Roman" w:hAnsi="Times New Roman"/>
              <w:sz w:val="28"/>
              <w:szCs w:val="28"/>
            </w:rPr>
            <w:t>(подробнее в разделе 4).</w:t>
          </w:r>
        </w:p>
        <w:p>
          <w:pPr>
            <w:pStyle w:val="Normal"/>
            <w:widowControl w:val="false"/>
            <w:suppressAutoHyphens w:val="tru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По данным, имеющимся в фонде геологической информации Министерства экологии и природных ресурсов РТ, месторождения подземных вод с утвержденными запасами не более 500 м3/сут отсутствуют. Утвержденные проекты ЗСО и установленные ЗСО источников питьевого и хозяйственно-бытового водоснабжения отсутствуют.</w:t>
          </w:r>
        </w:p>
        <w:p>
          <w:pPr>
            <w:pStyle w:val="Normal"/>
            <w:widowControl w:val="false"/>
            <w:suppressAutoHyphens w:val="tru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2"/>
            <w:numPr>
              <w:ilvl w:val="1"/>
              <w:numId w:val="24"/>
            </w:numPr>
            <w:spacing w:lineRule="auto" w:line="240" w:before="0" w:after="160"/>
            <w:ind w:left="357" w:hanging="357"/>
            <w:jc w:val="center"/>
            <w:rPr>
              <w:rFonts w:ascii="Times New Roman" w:hAnsi="Times New Roman" w:cs="Times New Roman"/>
              <w:b/>
              <w:color w:val="auto"/>
              <w:sz w:val="28"/>
              <w:szCs w:val="28"/>
            </w:rPr>
          </w:pPr>
          <w:bookmarkStart w:id="108" w:name="_Toc57443757"/>
          <w:bookmarkStart w:id="109" w:name="_Toc147740039"/>
          <w:r>
            <w:rPr>
              <w:rFonts w:cs="Times New Roman" w:ascii="Times New Roman" w:hAnsi="Times New Roman"/>
              <w:b/>
              <w:color w:val="auto"/>
              <w:sz w:val="28"/>
              <w:szCs w:val="28"/>
            </w:rPr>
            <w:t>Гидрогеологические условия</w:t>
          </w:r>
          <w:bookmarkEnd w:id="108"/>
          <w:bookmarkEnd w:id="109"/>
        </w:p>
        <w:p>
          <w:pPr>
            <w:pStyle w:val="Normal"/>
            <w:widowControl w:val="false"/>
            <w:suppressAutoHyphens w:val="tru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В гидрогеологическом отношении территория сельского поселения приурочена к Волго-Сурскому артезианскому бассейну, входящему в состав Восточно-Вятского артезианского бассейна пластовых и блоково-пластовых вод первого порядка (https://geomonitoring.ru:13158/).</w:t>
          </w:r>
        </w:p>
        <w:p>
          <w:pPr>
            <w:pStyle w:val="Normal"/>
            <w:widowControl w:val="false"/>
            <w:suppressAutoHyphens w:val="tru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По типу и величине водопроницаемости, характеру водоносности, литолого-фациальным особенностям водовмещающих пород на рассматриваемой территории выделяются следующие гидрогеологические подразделения:</w:t>
          </w:r>
        </w:p>
        <w:p>
          <w:pPr>
            <w:pStyle w:val="Style30"/>
            <w:numPr>
              <w:ilvl w:val="0"/>
              <w:numId w:val="25"/>
            </w:numPr>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водоносная котельническая карбонатно-терригенная свита (Р</w:t>
          </w:r>
          <w:r>
            <w:rPr>
              <w:rFonts w:cs="Times New Roman" w:ascii="Times New Roman" w:hAnsi="Times New Roman"/>
              <w:sz w:val="28"/>
              <w:szCs w:val="28"/>
              <w:vertAlign w:val="subscript"/>
            </w:rPr>
            <w:t>2</w:t>
          </w:r>
          <w:r>
            <w:rPr>
              <w:rFonts w:cs="Times New Roman" w:ascii="Times New Roman" w:hAnsi="Times New Roman"/>
              <w:sz w:val="28"/>
              <w:szCs w:val="28"/>
            </w:rPr>
            <w:t>kt);</w:t>
          </w:r>
        </w:p>
        <w:p>
          <w:pPr>
            <w:pStyle w:val="Style30"/>
            <w:numPr>
              <w:ilvl w:val="0"/>
              <w:numId w:val="25"/>
            </w:numPr>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водоносная локально слабоводоносная уржумская терригенно-карбонатная свита (P</w:t>
          </w:r>
          <w:r>
            <w:rPr>
              <w:rFonts w:cs="Times New Roman" w:ascii="Times New Roman" w:hAnsi="Times New Roman"/>
              <w:sz w:val="28"/>
              <w:szCs w:val="28"/>
              <w:vertAlign w:val="subscript"/>
            </w:rPr>
            <w:t>2</w:t>
          </w:r>
          <w:r>
            <w:rPr>
              <w:rFonts w:cs="Times New Roman" w:ascii="Times New Roman" w:hAnsi="Times New Roman"/>
              <w:sz w:val="28"/>
              <w:szCs w:val="28"/>
            </w:rPr>
            <w:t>ur);</w:t>
          </w:r>
        </w:p>
        <w:p>
          <w:pPr>
            <w:pStyle w:val="Style30"/>
            <w:numPr>
              <w:ilvl w:val="0"/>
              <w:numId w:val="25"/>
            </w:numPr>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водоносный казанский сульфатно-карбонатный комплекс (Р</w:t>
          </w:r>
          <w:r>
            <w:rPr>
              <w:rFonts w:cs="Times New Roman" w:ascii="Times New Roman" w:hAnsi="Times New Roman"/>
              <w:sz w:val="28"/>
              <w:szCs w:val="28"/>
              <w:vertAlign w:val="subscript"/>
            </w:rPr>
            <w:t>2</w:t>
          </w:r>
          <w:r>
            <w:rPr>
              <w:rFonts w:cs="Times New Roman" w:ascii="Times New Roman" w:hAnsi="Times New Roman"/>
              <w:sz w:val="28"/>
              <w:szCs w:val="28"/>
            </w:rPr>
            <w:t>kz).</w:t>
          </w:r>
        </w:p>
        <w:p>
          <w:pPr>
            <w:pStyle w:val="Style30"/>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i/>
              <w:sz w:val="28"/>
              <w:szCs w:val="28"/>
            </w:rPr>
            <w:t>Водоносная котельническая карбонатно-терригенная свита (Р</w:t>
          </w:r>
          <w:r>
            <w:rPr>
              <w:rFonts w:cs="Times New Roman" w:ascii="Times New Roman" w:hAnsi="Times New Roman"/>
              <w:i/>
              <w:sz w:val="28"/>
              <w:szCs w:val="28"/>
              <w:vertAlign w:val="subscript"/>
            </w:rPr>
            <w:t>2</w:t>
          </w:r>
          <w:r>
            <w:rPr>
              <w:rFonts w:cs="Times New Roman" w:ascii="Times New Roman" w:hAnsi="Times New Roman"/>
              <w:i/>
              <w:sz w:val="28"/>
              <w:szCs w:val="28"/>
            </w:rPr>
            <w:t>kt)</w:t>
          </w:r>
          <w:r>
            <w:rPr>
              <w:rFonts w:cs="Times New Roman" w:ascii="Times New Roman" w:hAnsi="Times New Roman"/>
              <w:sz w:val="28"/>
              <w:szCs w:val="28"/>
            </w:rPr>
            <w:t xml:space="preserve"> занимает восточную часть рассматриваемой территории. Площади ее распространения, представляющие в региональном плане краевую зону развития верхнетатарских напластований, имеют сложные, изрезанные очертания.</w:t>
          </w:r>
        </w:p>
        <w:p>
          <w:pPr>
            <w:pStyle w:val="Style30"/>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Котельнические отложения сохранились в объеме слободской и юр-паловской свит мощностью до 40 м.</w:t>
          </w:r>
        </w:p>
        <w:p>
          <w:pPr>
            <w:pStyle w:val="Style30"/>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Подземные воды, приуроченные к известнякам, мергелям, алевролитам, песчаникам, трещиноватым разностям глин, занимающим различные части разреза, в той или иной степени гидравлически взаимосвязаны, образуют единую водоносную систему. Наиболее водоносны и пространственно выдержаны породы верхней карбонатной пачки.</w:t>
          </w:r>
        </w:p>
        <w:p>
          <w:pPr>
            <w:pStyle w:val="Style30"/>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Воды свиты трещинные, пластово-поровые, безнапорные. Выходы родников прослежены на абсолютных отметках от 170-190 м. </w:t>
          </w:r>
        </w:p>
        <w:p>
          <w:pPr>
            <w:pStyle w:val="Style30"/>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Водообильность свиты неравномерная: удельные дебиты скважин колеблются от 0,04 до 1,5 л/с, при понижении уровня - 0,6 - 20,0 м.</w:t>
          </w:r>
        </w:p>
        <w:p>
          <w:pPr>
            <w:pStyle w:val="Style30"/>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Минерализация подземных вод, приуроченных к отложениям котельнической свиты, составляет 0,3-0,6 г/дм3. По составу воды гидрокарбонатные, по содержанию катионов смешанные, с превалирующим значением кальция. </w:t>
          </w:r>
        </w:p>
        <w:p>
          <w:pPr>
            <w:pStyle w:val="Style30"/>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Использование подземных вод котельнических отложений на территории ведется, в основном, путем каптажа родников, для целей крупного хозяйственно-питьевого водоснабжения свита не перспективна.</w:t>
          </w:r>
        </w:p>
        <w:p>
          <w:pPr>
            <w:pStyle w:val="Style30"/>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r>
        </w:p>
        <w:p>
          <w:pPr>
            <w:pStyle w:val="Style30"/>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i/>
              <w:sz w:val="28"/>
              <w:szCs w:val="28"/>
            </w:rPr>
            <w:t>Водоносная локально слабоводоносная уржумская терригенно-карбонатная свита (P</w:t>
          </w:r>
          <w:r>
            <w:rPr>
              <w:rFonts w:cs="Times New Roman" w:ascii="Times New Roman" w:hAnsi="Times New Roman"/>
              <w:i/>
              <w:sz w:val="28"/>
              <w:szCs w:val="28"/>
              <w:vertAlign w:val="subscript"/>
            </w:rPr>
            <w:t>2</w:t>
          </w:r>
          <w:r>
            <w:rPr>
              <w:rFonts w:cs="Times New Roman" w:ascii="Times New Roman" w:hAnsi="Times New Roman"/>
              <w:i/>
              <w:sz w:val="28"/>
              <w:szCs w:val="28"/>
            </w:rPr>
            <w:t>ur)</w:t>
          </w:r>
          <w:r>
            <w:rPr>
              <w:rFonts w:cs="Times New Roman" w:ascii="Times New Roman" w:hAnsi="Times New Roman"/>
              <w:sz w:val="28"/>
              <w:szCs w:val="28"/>
            </w:rPr>
            <w:t xml:space="preserve"> пользуется обширным распространением.</w:t>
          </w:r>
        </w:p>
        <w:p>
          <w:pPr>
            <w:pStyle w:val="Style30"/>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Водовмещающие породы представлены известняками, мергелями, алевролитами, песчаниками, иногда доломитами. Пространственно наиболее выдержанные пачки карбонатных пород (мощностью до 8,0 м) прослеживаются в верхнеуржумских отложениях.</w:t>
          </w:r>
        </w:p>
        <w:p>
          <w:pPr>
            <w:pStyle w:val="Style30"/>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На водоразделах отложения свиты практически полностью сдренированы. Питание подземных вод осуществляется за счет инфильтрации атмосферных осадков, разгрузка - в склонах долин родниками и путем перетекания в нижезалегающие водоносные горизонты и комплексы.</w:t>
          </w:r>
        </w:p>
        <w:p>
          <w:pPr>
            <w:pStyle w:val="Style30"/>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r>
        </w:p>
        <w:p>
          <w:pPr>
            <w:pStyle w:val="Style30"/>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i/>
              <w:sz w:val="28"/>
              <w:szCs w:val="28"/>
            </w:rPr>
            <w:t>Водоносная казанская сульфатно-карбонатная серия (P</w:t>
          </w:r>
          <w:r>
            <w:rPr>
              <w:rFonts w:cs="Times New Roman" w:ascii="Times New Roman" w:hAnsi="Times New Roman"/>
              <w:i/>
              <w:sz w:val="28"/>
              <w:szCs w:val="28"/>
              <w:vertAlign w:val="subscript"/>
            </w:rPr>
            <w:t>2</w:t>
          </w:r>
          <w:r>
            <w:rPr>
              <w:rFonts w:cs="Times New Roman" w:ascii="Times New Roman" w:hAnsi="Times New Roman"/>
              <w:i/>
              <w:sz w:val="28"/>
              <w:szCs w:val="28"/>
            </w:rPr>
            <w:t>kz)</w:t>
          </w:r>
          <w:r>
            <w:rPr>
              <w:rFonts w:cs="Times New Roman" w:ascii="Times New Roman" w:hAnsi="Times New Roman"/>
              <w:sz w:val="28"/>
              <w:szCs w:val="28"/>
            </w:rPr>
            <w:t xml:space="preserve"> распространена повсеместно. Непосредственно под четвертичными образованиями залегает на участках эрозионных врезов речных долин и в основаниях склонов. Общая мощность казанских отложений изменяется от 53,3 до 68,4 м. В их составе повсюду превалирующая роль принадлежит известнякам; доломиты, мергели, гипсы имеют подчиненное значение. </w:t>
          </w:r>
        </w:p>
        <w:p>
          <w:pPr>
            <w:pStyle w:val="Style30"/>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Известняки и доломиты средне-, толстоплитчатые, неравномерно глинистые, трещиноватые, кавернозные. Среди них отмечаются переходные разности горизонтально слоистых мергелей.</w:t>
          </w:r>
        </w:p>
        <w:p>
          <w:pPr>
            <w:pStyle w:val="Style30"/>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Гипсы и ангидриты приурочены к верхней части разреза казанских отложений.</w:t>
          </w:r>
        </w:p>
        <w:p>
          <w:pPr>
            <w:pStyle w:val="Style30"/>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Водовмещающими породами являются трещиноватые, кавернозные, пористые разности всех типов пород. Водообильность комплекса неравномерная: удельные дебиты скважин колеблются от 0,003 до 1,2 л/с, достигая иногда до 2,0-2,5 л/с. </w:t>
          </w:r>
        </w:p>
        <w:p>
          <w:pPr>
            <w:pStyle w:val="Style30"/>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Химический состав и степень минерализации подземных вод отражают особенности их залегания и своеобразие литофациального состава водовмещающих пород. В верхних слоях комплекса на участках, наиболее приближенных к поверхностным водотокам (Куйбышевское водохранилище, река Сулица), характеризующихся наилучшими условиями водообмена, формируются пресные, слабосолоноватые воды смешанного состава - от сульфатно-гидрокарбонатного до сульфатного и различного по содержанию катионов, с минерализацией 0,4-1,8 г/дм3. </w:t>
          </w:r>
        </w:p>
        <w:p>
          <w:pPr>
            <w:pStyle w:val="Style30"/>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Для большей части территории общая минерализация воды практически стабильна (2,1-3,2 г/дм3). Состав вод устойчиво сульфатный и преимущественно натриево-кальциевый.</w:t>
          </w:r>
        </w:p>
        <w:p>
          <w:pPr>
            <w:pStyle w:val="Style30"/>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r>
        </w:p>
        <w:p>
          <w:pPr>
            <w:pStyle w:val="2"/>
            <w:numPr>
              <w:ilvl w:val="1"/>
              <w:numId w:val="24"/>
            </w:numPr>
            <w:spacing w:lineRule="auto" w:line="240" w:before="0" w:after="160"/>
            <w:ind w:left="0" w:hanging="0"/>
            <w:jc w:val="center"/>
            <w:rPr>
              <w:rFonts w:ascii="Times New Roman" w:hAnsi="Times New Roman" w:cs="Times New Roman"/>
              <w:b/>
              <w:color w:val="auto"/>
              <w:sz w:val="28"/>
              <w:szCs w:val="28"/>
            </w:rPr>
          </w:pPr>
          <w:bookmarkStart w:id="110" w:name="_Toc57443758"/>
          <w:bookmarkStart w:id="111" w:name="_Toc147740040"/>
          <w:r>
            <w:rPr>
              <w:rFonts w:cs="Times New Roman" w:ascii="Times New Roman" w:hAnsi="Times New Roman"/>
              <w:b/>
              <w:color w:val="auto"/>
              <w:sz w:val="28"/>
              <w:szCs w:val="28"/>
            </w:rPr>
            <w:t>Поверхностные воды</w:t>
          </w:r>
          <w:bookmarkEnd w:id="110"/>
          <w:bookmarkEnd w:id="111"/>
        </w:p>
        <w:p>
          <w:pPr>
            <w:pStyle w:val="Style72"/>
            <w:jc w:val="both"/>
            <w:rPr>
              <w:spacing w:val="-2"/>
              <w:szCs w:val="28"/>
            </w:rPr>
          </w:pPr>
          <w:r>
            <w:rPr/>
            <w:t xml:space="preserve"> </w:t>
          </w:r>
          <w:r>
            <w:rPr>
              <w:spacing w:val="-2"/>
              <w:szCs w:val="28"/>
            </w:rPr>
            <w:t>Гидрографическая сеть района представлена Волжским отрогом Куйбышевского водохранилища и его правобережными притоками – реками Малая Ташевка и Большая Ташевка. Также по территории протекают безымянные ручьи.</w:t>
          </w:r>
        </w:p>
        <w:p>
          <w:pPr>
            <w:pStyle w:val="Normal0"/>
            <w:suppressAutoHyphens w:val="true"/>
            <w:jc w:val="both"/>
            <w:rPr/>
          </w:pPr>
          <w:r>
            <w:rPr>
              <w:i/>
            </w:rPr>
            <w:t>Куйбышевское водохранилище</w:t>
          </w:r>
          <w:r>
            <w:rPr/>
            <w:t xml:space="preserve"> образовано в результате перекрытия реки Волги плотиной Волжской ГЭС. Водохранилище является водоемом долинного типа. Большая площадь его ложа приходится на пойму и затапливаемые террасы волжской и камской долин. </w:t>
          </w:r>
        </w:p>
        <w:p>
          <w:pPr>
            <w:pStyle w:val="Normal0"/>
            <w:suppressAutoHyphens w:val="true"/>
            <w:jc w:val="both"/>
            <w:rPr/>
          </w:pPr>
          <w:r>
            <w:rPr/>
            <w:t>Водохранилище осуществляет неполное годичное (сезонное), недельное и суточное регулирование стока Волги. Полный объем водохранилища при НПУ-58,0 км</w:t>
          </w:r>
          <w:r>
            <w:rPr>
              <w:vertAlign w:val="superscript"/>
            </w:rPr>
            <w:t>3</w:t>
          </w:r>
          <w:r>
            <w:rPr/>
            <w:t>, полезный – 34,8 км</w:t>
          </w:r>
          <w:r>
            <w:rPr>
              <w:vertAlign w:val="superscript"/>
            </w:rPr>
            <w:t>3</w:t>
          </w:r>
          <w:r>
            <w:rPr/>
            <w:t>. Средние глубины составляют 10-15 м, максимальные - 25 м.</w:t>
          </w:r>
        </w:p>
        <w:p>
          <w:pPr>
            <w:pStyle w:val="Normal0"/>
            <w:suppressAutoHyphens w:val="true"/>
            <w:jc w:val="both"/>
            <w:rPr/>
          </w:pPr>
          <w:r>
            <w:rPr/>
            <w:t>Главными водопотребителями являются: энергетика, водный транспорт, водоснабжение, рыбное и сельское хозяйство.</w:t>
          </w:r>
        </w:p>
        <w:p>
          <w:pPr>
            <w:pStyle w:val="Normal0"/>
            <w:suppressAutoHyphens w:val="true"/>
            <w:jc w:val="both"/>
            <w:rPr/>
          </w:pPr>
          <w:r>
            <w:rPr/>
            <w:t>Основные параметры водохранилища (в створе плотины г. Жигули):</w:t>
          </w:r>
        </w:p>
        <w:p>
          <w:pPr>
            <w:pStyle w:val="Normal0"/>
            <w:numPr>
              <w:ilvl w:val="0"/>
              <w:numId w:val="26"/>
            </w:numPr>
            <w:suppressAutoHyphens w:val="true"/>
            <w:ind w:left="0" w:firstLine="567"/>
            <w:jc w:val="both"/>
            <w:rPr/>
          </w:pPr>
          <w:r>
            <w:rPr/>
            <w:t>Нормальный подпорный уровень (НПУ)</w:t>
            <w:tab/>
            <w:tab/>
            <w:tab/>
            <w:tab/>
            <w:t>53,0 м;</w:t>
          </w:r>
        </w:p>
        <w:p>
          <w:pPr>
            <w:pStyle w:val="Normal0"/>
            <w:numPr>
              <w:ilvl w:val="0"/>
              <w:numId w:val="26"/>
            </w:numPr>
            <w:suppressAutoHyphens w:val="true"/>
            <w:ind w:left="0" w:firstLine="567"/>
            <w:jc w:val="both"/>
            <w:rPr/>
          </w:pPr>
          <w:r>
            <w:rPr/>
            <w:t>Минимальный навигационный</w:t>
            <w:tab/>
            <w:tab/>
            <w:tab/>
            <w:tab/>
            <w:t xml:space="preserve">         </w:t>
            <w:tab/>
            <w:t>49,0 м;</w:t>
          </w:r>
        </w:p>
        <w:p>
          <w:pPr>
            <w:pStyle w:val="Normal0"/>
            <w:numPr>
              <w:ilvl w:val="0"/>
              <w:numId w:val="26"/>
            </w:numPr>
            <w:suppressAutoHyphens w:val="true"/>
            <w:ind w:left="0" w:firstLine="567"/>
            <w:jc w:val="both"/>
            <w:rPr/>
          </w:pPr>
          <w:r>
            <w:rPr/>
            <w:t>Нормальной предполоводной сработки (УНС)</w:t>
            <w:tab/>
            <w:tab/>
            <w:tab/>
            <w:t>48,0 м;</w:t>
          </w:r>
        </w:p>
        <w:p>
          <w:pPr>
            <w:pStyle w:val="Normal0"/>
            <w:numPr>
              <w:ilvl w:val="0"/>
              <w:numId w:val="26"/>
            </w:numPr>
            <w:suppressAutoHyphens w:val="true"/>
            <w:ind w:left="0" w:firstLine="567"/>
            <w:jc w:val="both"/>
            <w:rPr/>
          </w:pPr>
          <w:r>
            <w:rPr/>
            <w:t>Минимальный допустимый в зимний период (УМО)</w:t>
            <w:tab/>
            <w:tab/>
            <w:t>45,5 м;</w:t>
          </w:r>
        </w:p>
        <w:p>
          <w:pPr>
            <w:pStyle w:val="Normal0"/>
            <w:numPr>
              <w:ilvl w:val="0"/>
              <w:numId w:val="26"/>
            </w:numPr>
            <w:suppressAutoHyphens w:val="true"/>
            <w:ind w:left="0" w:firstLine="567"/>
            <w:jc w:val="both"/>
            <w:rPr/>
          </w:pPr>
          <w:r>
            <w:rPr/>
            <w:t xml:space="preserve">Максимальный проектный при пропуске весеннего </w:t>
          </w:r>
        </w:p>
        <w:p>
          <w:pPr>
            <w:pStyle w:val="Normal0"/>
            <w:numPr>
              <w:ilvl w:val="0"/>
              <w:numId w:val="26"/>
            </w:numPr>
            <w:suppressAutoHyphens w:val="true"/>
            <w:ind w:left="0" w:firstLine="567"/>
            <w:jc w:val="both"/>
            <w:rPr/>
          </w:pPr>
          <w:r>
            <w:rPr/>
            <w:t>половодья вероятностью превышения 0,01 %</w:t>
          </w:r>
        </w:p>
        <w:p>
          <w:pPr>
            <w:pStyle w:val="Normal0"/>
            <w:numPr>
              <w:ilvl w:val="0"/>
              <w:numId w:val="26"/>
            </w:numPr>
            <w:suppressAutoHyphens w:val="true"/>
            <w:ind w:left="0" w:firstLine="567"/>
            <w:jc w:val="both"/>
            <w:rPr/>
          </w:pPr>
          <w:r>
            <w:rPr/>
            <w:t>(с гарантийной поправкой)</w:t>
            <w:tab/>
            <w:tab/>
            <w:tab/>
            <w:tab/>
            <w:tab/>
            <w:tab/>
            <w:t>55,3 м;</w:t>
          </w:r>
        </w:p>
        <w:p>
          <w:pPr>
            <w:pStyle w:val="Normal0"/>
            <w:numPr>
              <w:ilvl w:val="0"/>
              <w:numId w:val="26"/>
            </w:numPr>
            <w:suppressAutoHyphens w:val="true"/>
            <w:ind w:left="0" w:firstLine="567"/>
            <w:jc w:val="both"/>
            <w:rPr/>
          </w:pPr>
          <w:r>
            <w:rPr/>
            <w:t>Максимальный допустимый при пропуске</w:t>
          </w:r>
        </w:p>
        <w:p>
          <w:pPr>
            <w:pStyle w:val="Normal0"/>
            <w:numPr>
              <w:ilvl w:val="0"/>
              <w:numId w:val="26"/>
            </w:numPr>
            <w:suppressAutoHyphens w:val="true"/>
            <w:ind w:left="0" w:firstLine="567"/>
            <w:jc w:val="both"/>
            <w:rPr/>
          </w:pPr>
          <w:r>
            <w:rPr/>
            <w:t>весеннего половодья вероятностью</w:t>
          </w:r>
        </w:p>
        <w:p>
          <w:pPr>
            <w:pStyle w:val="Normal0"/>
            <w:numPr>
              <w:ilvl w:val="0"/>
              <w:numId w:val="26"/>
            </w:numPr>
            <w:suppressAutoHyphens w:val="true"/>
            <w:ind w:left="0" w:firstLine="567"/>
            <w:jc w:val="both"/>
            <w:rPr/>
          </w:pPr>
          <w:r>
            <w:rPr/>
            <w:t>превышения 0,1 %</w:t>
            <w:tab/>
            <w:tab/>
            <w:tab/>
            <w:tab/>
            <w:tab/>
            <w:tab/>
            <w:tab/>
            <w:t>53,3 м;</w:t>
          </w:r>
        </w:p>
        <w:p>
          <w:pPr>
            <w:pStyle w:val="Normal0"/>
            <w:numPr>
              <w:ilvl w:val="0"/>
              <w:numId w:val="26"/>
            </w:numPr>
            <w:suppressAutoHyphens w:val="true"/>
            <w:ind w:left="0" w:firstLine="567"/>
            <w:jc w:val="both"/>
            <w:rPr/>
          </w:pPr>
          <w:r>
            <w:rPr/>
            <w:t>Полная статистическая емкость при НПУ</w:t>
            <w:tab/>
            <w:tab/>
            <w:tab/>
            <w:t>57,3 км</w:t>
          </w:r>
          <w:r>
            <w:rPr>
              <w:vertAlign w:val="superscript"/>
            </w:rPr>
            <w:t>3</w:t>
          </w:r>
          <w:r>
            <w:rPr/>
            <w:t>;</w:t>
          </w:r>
        </w:p>
        <w:p>
          <w:pPr>
            <w:pStyle w:val="Normal0"/>
            <w:numPr>
              <w:ilvl w:val="0"/>
              <w:numId w:val="26"/>
            </w:numPr>
            <w:suppressAutoHyphens w:val="true"/>
            <w:ind w:left="0" w:firstLine="567"/>
            <w:jc w:val="both"/>
            <w:rPr/>
          </w:pPr>
          <w:r>
            <w:rPr/>
            <w:t>при УНС</w:t>
            <w:tab/>
            <w:tab/>
            <w:tab/>
            <w:tab/>
            <w:tab/>
            <w:tab/>
            <w:tab/>
            <w:tab/>
            <w:tab/>
            <w:t>32,0 км</w:t>
          </w:r>
          <w:r>
            <w:rPr>
              <w:vertAlign w:val="superscript"/>
            </w:rPr>
            <w:t>2</w:t>
          </w:r>
          <w:r>
            <w:rPr/>
            <w:t>;</w:t>
          </w:r>
        </w:p>
        <w:p>
          <w:pPr>
            <w:pStyle w:val="Normal0"/>
            <w:numPr>
              <w:ilvl w:val="0"/>
              <w:numId w:val="26"/>
            </w:numPr>
            <w:suppressAutoHyphens w:val="true"/>
            <w:ind w:left="0" w:firstLine="567"/>
            <w:jc w:val="both"/>
            <w:rPr/>
          </w:pPr>
          <w:r>
            <w:rPr/>
            <w:t>при УМО</w:t>
            <w:tab/>
            <w:tab/>
            <w:tab/>
            <w:tab/>
            <w:tab/>
            <w:tab/>
            <w:tab/>
            <w:tab/>
            <w:tab/>
            <w:t>23,4 км</w:t>
          </w:r>
          <w:r>
            <w:rPr>
              <w:vertAlign w:val="superscript"/>
            </w:rPr>
            <w:t>2</w:t>
          </w:r>
          <w:r>
            <w:rPr/>
            <w:t>;</w:t>
          </w:r>
        </w:p>
        <w:p>
          <w:pPr>
            <w:pStyle w:val="Normal0"/>
            <w:numPr>
              <w:ilvl w:val="0"/>
              <w:numId w:val="26"/>
            </w:numPr>
            <w:suppressAutoHyphens w:val="true"/>
            <w:ind w:left="0" w:firstLine="567"/>
            <w:jc w:val="both"/>
            <w:rPr/>
          </w:pPr>
          <w:r>
            <w:rPr/>
            <w:t>Площадь зеркала при НПУ</w:t>
            <w:tab/>
            <w:tab/>
            <w:tab/>
            <w:tab/>
            <w:tab/>
            <w:tab/>
            <w:t>6150 км</w:t>
          </w:r>
          <w:r>
            <w:rPr>
              <w:vertAlign w:val="superscript"/>
            </w:rPr>
            <w:t>2</w:t>
          </w:r>
          <w:r>
            <w:rPr/>
            <w:t>;</w:t>
          </w:r>
        </w:p>
        <w:p>
          <w:pPr>
            <w:pStyle w:val="Normal0"/>
            <w:numPr>
              <w:ilvl w:val="0"/>
              <w:numId w:val="26"/>
            </w:numPr>
            <w:suppressAutoHyphens w:val="true"/>
            <w:ind w:left="0" w:firstLine="567"/>
            <w:jc w:val="both"/>
            <w:rPr/>
          </w:pPr>
          <w:r>
            <w:rPr/>
            <w:t>при УНС</w:t>
            <w:tab/>
            <w:tab/>
            <w:tab/>
            <w:tab/>
            <w:tab/>
            <w:tab/>
            <w:tab/>
            <w:tab/>
            <w:tab/>
            <w:t>3930 км</w:t>
          </w:r>
          <w:r>
            <w:rPr>
              <w:vertAlign w:val="superscript"/>
            </w:rPr>
            <w:t>2</w:t>
          </w:r>
          <w:r>
            <w:rPr/>
            <w:t>;</w:t>
          </w:r>
        </w:p>
        <w:p>
          <w:pPr>
            <w:pStyle w:val="Normal0"/>
            <w:numPr>
              <w:ilvl w:val="0"/>
              <w:numId w:val="26"/>
            </w:numPr>
            <w:suppressAutoHyphens w:val="true"/>
            <w:ind w:left="0" w:firstLine="567"/>
            <w:jc w:val="both"/>
            <w:rPr/>
          </w:pPr>
          <w:r>
            <w:rPr/>
            <w:t>при УМО</w:t>
            <w:tab/>
            <w:tab/>
            <w:tab/>
            <w:tab/>
            <w:tab/>
            <w:tab/>
            <w:tab/>
            <w:tab/>
            <w:tab/>
            <w:t>3060 км</w:t>
          </w:r>
          <w:r>
            <w:rPr>
              <w:vertAlign w:val="superscript"/>
            </w:rPr>
            <w:t>2</w:t>
          </w:r>
          <w:r>
            <w:rPr/>
            <w:t>;</w:t>
          </w:r>
        </w:p>
        <w:p>
          <w:pPr>
            <w:pStyle w:val="Normal0"/>
            <w:numPr>
              <w:ilvl w:val="0"/>
              <w:numId w:val="26"/>
            </w:numPr>
            <w:suppressAutoHyphens w:val="true"/>
            <w:ind w:left="0" w:firstLine="567"/>
            <w:jc w:val="both"/>
            <w:rPr/>
          </w:pPr>
          <w:r>
            <w:rPr/>
            <w:t>В пределах РТ площадь зеркала водохранилища при НПУ</w:t>
            <w:tab/>
            <w:t>3270 км</w:t>
          </w:r>
          <w:r>
            <w:rPr>
              <w:vertAlign w:val="superscript"/>
            </w:rPr>
            <w:t>2</w:t>
          </w:r>
          <w:r>
            <w:rPr/>
            <w:t>;</w:t>
          </w:r>
        </w:p>
        <w:p>
          <w:pPr>
            <w:pStyle w:val="Normal0"/>
            <w:numPr>
              <w:ilvl w:val="0"/>
              <w:numId w:val="26"/>
            </w:numPr>
            <w:suppressAutoHyphens w:val="true"/>
            <w:ind w:left="0" w:firstLine="567"/>
            <w:jc w:val="both"/>
            <w:rPr/>
          </w:pPr>
          <w:r>
            <w:rPr/>
            <w:t>Полезная статистическая емкость между НПУ и УНС</w:t>
            <w:tab/>
            <w:t>25,3 км</w:t>
          </w:r>
          <w:r>
            <w:rPr>
              <w:vertAlign w:val="superscript"/>
            </w:rPr>
            <w:t>3</w:t>
          </w:r>
          <w:r>
            <w:rPr/>
            <w:t>;</w:t>
          </w:r>
        </w:p>
        <w:p>
          <w:pPr>
            <w:pStyle w:val="Normal0"/>
            <w:numPr>
              <w:ilvl w:val="0"/>
              <w:numId w:val="26"/>
            </w:numPr>
            <w:suppressAutoHyphens w:val="true"/>
            <w:ind w:left="0" w:firstLine="567"/>
            <w:jc w:val="both"/>
            <w:rPr/>
          </w:pPr>
          <w:r>
            <w:rPr/>
            <w:t>Между НПУ и УМО</w:t>
            <w:tab/>
            <w:tab/>
            <w:tab/>
            <w:tab/>
            <w:tab/>
            <w:tab/>
            <w:tab/>
            <w:t>33,9 км</w:t>
          </w:r>
          <w:r>
            <w:rPr>
              <w:vertAlign w:val="superscript"/>
            </w:rPr>
            <w:t>3</w:t>
          </w:r>
          <w:r>
            <w:rPr/>
            <w:t>;</w:t>
          </w:r>
        </w:p>
        <w:p>
          <w:pPr>
            <w:pStyle w:val="Normal0"/>
            <w:numPr>
              <w:ilvl w:val="0"/>
              <w:numId w:val="26"/>
            </w:numPr>
            <w:suppressAutoHyphens w:val="true"/>
            <w:ind w:left="0" w:firstLine="567"/>
            <w:jc w:val="both"/>
            <w:rPr/>
          </w:pPr>
          <w:r>
            <w:rPr/>
            <w:t>Наибольшая ширина при НПУ</w:t>
            <w:tab/>
            <w:tab/>
            <w:tab/>
            <w:tab/>
            <w:tab/>
            <w:t>27 км;</w:t>
          </w:r>
        </w:p>
        <w:p>
          <w:pPr>
            <w:pStyle w:val="Normal0"/>
            <w:numPr>
              <w:ilvl w:val="0"/>
              <w:numId w:val="26"/>
            </w:numPr>
            <w:suppressAutoHyphens w:val="true"/>
            <w:ind w:left="0" w:firstLine="567"/>
            <w:jc w:val="both"/>
            <w:rPr/>
          </w:pPr>
          <w:r>
            <w:rPr/>
            <w:t>Средняя глубина при НПУ</w:t>
            <w:tab/>
            <w:tab/>
            <w:tab/>
            <w:tab/>
            <w:tab/>
            <w:tab/>
            <w:t>9,4 м.</w:t>
          </w:r>
        </w:p>
        <w:p>
          <w:pPr>
            <w:pStyle w:val="Style72"/>
            <w:jc w:val="both"/>
            <w:rPr/>
          </w:pPr>
          <w:r>
            <w:rPr/>
            <w:t>Подпор от Куйбышевского гидроузла в меженный период при нормальном подпорном уровне воды у плотины распространяется вверх по течению Волги до Чебоксарского гидроузла и по Каме до Нижнекамского гидроузла.</w:t>
          </w:r>
        </w:p>
        <w:p>
          <w:pPr>
            <w:pStyle w:val="Style72"/>
            <w:jc w:val="both"/>
            <w:rPr/>
          </w:pPr>
          <w:r>
            <w:rPr>
              <w:i/>
              <w:spacing w:val="-2"/>
              <w:szCs w:val="28"/>
            </w:rPr>
            <w:t>Река Малая Ташевка</w:t>
          </w:r>
          <w:r>
            <w:rPr>
              <w:spacing w:val="-2"/>
              <w:szCs w:val="28"/>
            </w:rPr>
            <w:t xml:space="preserve"> – приток реки Волги </w:t>
          </w:r>
          <w:r>
            <w:rPr>
              <w:szCs w:val="28"/>
            </w:rPr>
            <w:t>(Куйбышевское водохранилище)</w:t>
          </w:r>
          <w:r>
            <w:rPr>
              <w:spacing w:val="-2"/>
              <w:szCs w:val="28"/>
            </w:rPr>
            <w:t>. Длина реки составляет 4 км. Река протекает снизу по территории села Ташевка.</w:t>
          </w:r>
        </w:p>
        <w:p>
          <w:pPr>
            <w:pStyle w:val="Style72"/>
            <w:jc w:val="both"/>
            <w:rPr/>
          </w:pPr>
          <w:r>
            <w:rPr>
              <w:i/>
              <w:spacing w:val="-2"/>
              <w:szCs w:val="28"/>
            </w:rPr>
            <w:t>Река Большая Ташевка</w:t>
          </w:r>
          <w:r>
            <w:rPr>
              <w:spacing w:val="-2"/>
              <w:szCs w:val="28"/>
            </w:rPr>
            <w:t xml:space="preserve"> – приток реки Волга </w:t>
          </w:r>
          <w:r>
            <w:rPr>
              <w:szCs w:val="28"/>
            </w:rPr>
            <w:t>(Куйбышевское водохранилище)</w:t>
          </w:r>
          <w:r>
            <w:rPr>
              <w:spacing w:val="-2"/>
              <w:szCs w:val="28"/>
            </w:rPr>
            <w:t xml:space="preserve">. Длина реки составляет 6 км. Река протекает сверху по территории села Ташевка. </w:t>
          </w:r>
        </w:p>
        <w:p>
          <w:pPr>
            <w:pStyle w:val="Style72"/>
            <w:jc w:val="both"/>
            <w:rPr>
              <w:spacing w:val="-2"/>
            </w:rPr>
          </w:pPr>
          <w:r>
            <w:rPr>
              <w:spacing w:val="-2"/>
            </w:rPr>
          </w:r>
        </w:p>
        <w:p>
          <w:pPr>
            <w:pStyle w:val="2"/>
            <w:numPr>
              <w:ilvl w:val="1"/>
              <w:numId w:val="24"/>
            </w:numPr>
            <w:spacing w:lineRule="auto" w:line="240" w:before="0" w:after="160"/>
            <w:ind w:left="0" w:hanging="0"/>
            <w:jc w:val="both"/>
            <w:rPr/>
          </w:pPr>
          <w:bookmarkStart w:id="112" w:name="_Toc57443759"/>
          <w:bookmarkStart w:id="113" w:name="_Toc147740041"/>
          <w:r>
            <w:rPr>
              <w:rFonts w:cs="Times New Roman" w:ascii="Times New Roman" w:hAnsi="Times New Roman"/>
              <w:b/>
              <w:color w:val="auto"/>
              <w:sz w:val="28"/>
              <w:szCs w:val="28"/>
            </w:rPr>
            <w:t>Климатическая характеристика</w:t>
          </w:r>
          <w:bookmarkEnd w:id="112"/>
          <w:bookmarkEnd w:id="113"/>
        </w:p>
        <w:p>
          <w:pPr>
            <w:pStyle w:val="Normal0"/>
            <w:jc w:val="both"/>
            <w:rPr/>
          </w:pPr>
          <w:bookmarkStart w:id="114" w:name="_Toc57443760"/>
          <w:r>
            <w:rPr/>
            <w:t>Климатическая характеристика рассматриваемой территории приравнена к климатической характеристике территории Верхнеуслонского муниципального района и описана с использованием данных Схемы территориального планирования Верхнеуслонского муниципального района, утвержденным Советом Верхнеуслонского муниципального района 21.08.2012 №30-298. Ближайшая метеостанция «МС Вязовые» ФГБУ «Управление по гидрометеорологии и мониторингу окружающей среды Республики Татарстан».</w:t>
          </w:r>
        </w:p>
        <w:p>
          <w:pPr>
            <w:pStyle w:val="Normal0"/>
            <w:jc w:val="both"/>
            <w:rPr/>
          </w:pPr>
          <w:r>
            <w:rPr/>
            <w:t>Рассматриваемая территория расположена в климатическом районе IIB, характеризуется умеренно-континентальным климатом, с продолжительной холодной зимой и жарким коротким летом.</w:t>
          </w:r>
        </w:p>
        <w:p>
          <w:pPr>
            <w:pStyle w:val="Normal0"/>
            <w:jc w:val="both"/>
            <w:rPr/>
          </w:pPr>
          <w:r>
            <w:rPr/>
            <w:t>В таблице 1.7.1 представлены данные по среднемесячной и среднегодовой температуре атмосферного воздуха.</w:t>
          </w:r>
        </w:p>
        <w:p>
          <w:pPr>
            <w:pStyle w:val="Table0"/>
            <w:numPr>
              <w:ilvl w:val="0"/>
              <w:numId w:val="0"/>
            </w:numPr>
            <w:suppressAutoHyphens w:val="false"/>
            <w:ind w:left="8080" w:hanging="850"/>
            <w:jc w:val="both"/>
            <w:rPr/>
          </w:pPr>
          <w:r>
            <w:rPr>
              <w:szCs w:val="28"/>
            </w:rPr>
            <w:t>Таблица 1.7.1</w:t>
          </w:r>
        </w:p>
        <w:p>
          <w:pPr>
            <w:pStyle w:val="Name0"/>
            <w:jc w:val="both"/>
            <w:rPr/>
          </w:pPr>
          <w:r>
            <w:rPr>
              <w:i w:val="false"/>
            </w:rPr>
            <w:t>Распределение среднемесячных и среднегодовой температуры воздуха (</w:t>
          </w:r>
          <w:r>
            <w:rPr>
              <w:rFonts w:eastAsia="Symbol" w:cs="Symbol" w:ascii="Symbol" w:hAnsi="Symbol"/>
              <w:i w:val="false"/>
            </w:rPr>
            <w:sym w:font="Symbol" w:char="f0b0"/>
          </w:r>
          <w:r>
            <w:rPr>
              <w:i w:val="false"/>
            </w:rPr>
            <w:t>С)</w:t>
          </w:r>
        </w:p>
      </w:sdtContent>
    </w:sdt>
    <w:tbl>
      <w:tblPr>
        <w:tblW w:w="5000" w:type="pct"/>
        <w:jc w:val="center"/>
        <w:tblInd w:w="0" w:type="dxa"/>
        <w:tblLayout w:type="fixed"/>
        <w:tblCellMar>
          <w:top w:w="0" w:type="dxa"/>
          <w:left w:w="108" w:type="dxa"/>
          <w:bottom w:w="0" w:type="dxa"/>
          <w:right w:w="108" w:type="dxa"/>
        </w:tblCellMar>
        <w:tblLook w:noVBand="0" w:val="0000" w:noHBand="0" w:lastColumn="0" w:firstColumn="0" w:lastRow="0" w:firstRow="0"/>
      </w:tblPr>
      <w:tblGrid>
        <w:gridCol w:w="764"/>
        <w:gridCol w:w="765"/>
        <w:gridCol w:w="764"/>
        <w:gridCol w:w="763"/>
        <w:gridCol w:w="764"/>
        <w:gridCol w:w="764"/>
        <w:gridCol w:w="764"/>
        <w:gridCol w:w="764"/>
        <w:gridCol w:w="764"/>
        <w:gridCol w:w="764"/>
        <w:gridCol w:w="763"/>
        <w:gridCol w:w="763"/>
        <w:gridCol w:w="754"/>
      </w:tblGrid>
      <w:tr>
        <w:trPr>
          <w:trHeight w:val="319" w:hRule="atLeast"/>
        </w:trPr>
        <w:tc>
          <w:tcPr>
            <w:tcW w:w="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both"/>
              <w:rPr/>
            </w:pPr>
            <w:r>
              <w:rPr>
                <w:rFonts w:eastAsia="Times New Roman" w:cs="Times New Roman" w:ascii="Times New Roman" w:hAnsi="Times New Roman"/>
                <w:lang w:eastAsia="ru-RU"/>
              </w:rPr>
              <w:t>I</w:t>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both"/>
              <w:rPr/>
            </w:pPr>
            <w:r>
              <w:rPr>
                <w:rFonts w:eastAsia="Times New Roman" w:cs="Times New Roman" w:ascii="Times New Roman" w:hAnsi="Times New Roman"/>
                <w:lang w:eastAsia="ru-RU"/>
              </w:rPr>
              <w:t>II</w:t>
            </w:r>
          </w:p>
        </w:tc>
        <w:tc>
          <w:tcPr>
            <w:tcW w:w="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both"/>
              <w:rPr/>
            </w:pPr>
            <w:r>
              <w:rPr>
                <w:rFonts w:eastAsia="Times New Roman" w:cs="Times New Roman" w:ascii="Times New Roman" w:hAnsi="Times New Roman"/>
                <w:lang w:eastAsia="ru-RU"/>
              </w:rPr>
              <w:t>III</w:t>
            </w:r>
          </w:p>
        </w:tc>
        <w:tc>
          <w:tcPr>
            <w:tcW w:w="7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both"/>
              <w:rPr/>
            </w:pPr>
            <w:r>
              <w:rPr>
                <w:rFonts w:eastAsia="Times New Roman" w:cs="Times New Roman" w:ascii="Times New Roman" w:hAnsi="Times New Roman"/>
                <w:lang w:eastAsia="ru-RU"/>
              </w:rPr>
              <w:t>IV</w:t>
            </w:r>
          </w:p>
        </w:tc>
        <w:tc>
          <w:tcPr>
            <w:tcW w:w="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both"/>
              <w:rPr/>
            </w:pPr>
            <w:r>
              <w:rPr>
                <w:rFonts w:eastAsia="Times New Roman" w:cs="Times New Roman" w:ascii="Times New Roman" w:hAnsi="Times New Roman"/>
                <w:lang w:eastAsia="ru-RU"/>
              </w:rPr>
              <w:t>V</w:t>
            </w:r>
          </w:p>
        </w:tc>
        <w:tc>
          <w:tcPr>
            <w:tcW w:w="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both"/>
              <w:rPr/>
            </w:pPr>
            <w:r>
              <w:rPr>
                <w:rFonts w:eastAsia="Times New Roman" w:cs="Times New Roman" w:ascii="Times New Roman" w:hAnsi="Times New Roman"/>
                <w:lang w:eastAsia="ru-RU"/>
              </w:rPr>
              <w:t>VI</w:t>
            </w:r>
          </w:p>
        </w:tc>
        <w:tc>
          <w:tcPr>
            <w:tcW w:w="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both"/>
              <w:rPr/>
            </w:pPr>
            <w:r>
              <w:rPr>
                <w:rFonts w:eastAsia="Times New Roman" w:cs="Times New Roman" w:ascii="Times New Roman" w:hAnsi="Times New Roman"/>
                <w:lang w:eastAsia="ru-RU"/>
              </w:rPr>
              <w:t>VII</w:t>
            </w:r>
          </w:p>
        </w:tc>
        <w:tc>
          <w:tcPr>
            <w:tcW w:w="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both"/>
              <w:rPr/>
            </w:pPr>
            <w:r>
              <w:rPr>
                <w:rFonts w:eastAsia="Times New Roman" w:cs="Times New Roman" w:ascii="Times New Roman" w:hAnsi="Times New Roman"/>
                <w:lang w:eastAsia="ru-RU"/>
              </w:rPr>
              <w:t>VIII</w:t>
            </w:r>
          </w:p>
        </w:tc>
        <w:tc>
          <w:tcPr>
            <w:tcW w:w="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both"/>
              <w:rPr/>
            </w:pPr>
            <w:r>
              <w:rPr>
                <w:rFonts w:eastAsia="Times New Roman" w:cs="Times New Roman" w:ascii="Times New Roman" w:hAnsi="Times New Roman"/>
                <w:lang w:eastAsia="ru-RU"/>
              </w:rPr>
              <w:t>IX</w:t>
            </w:r>
          </w:p>
        </w:tc>
        <w:tc>
          <w:tcPr>
            <w:tcW w:w="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both"/>
              <w:rPr/>
            </w:pPr>
            <w:r>
              <w:rPr>
                <w:rFonts w:eastAsia="Times New Roman" w:cs="Times New Roman" w:ascii="Times New Roman" w:hAnsi="Times New Roman"/>
                <w:lang w:eastAsia="ru-RU"/>
              </w:rPr>
              <w:t>X</w:t>
            </w:r>
          </w:p>
        </w:tc>
        <w:tc>
          <w:tcPr>
            <w:tcW w:w="7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both"/>
              <w:rPr/>
            </w:pPr>
            <w:r>
              <w:rPr>
                <w:rFonts w:eastAsia="Times New Roman" w:cs="Times New Roman" w:ascii="Times New Roman" w:hAnsi="Times New Roman"/>
                <w:lang w:eastAsia="ru-RU"/>
              </w:rPr>
              <w:t>XI</w:t>
            </w:r>
          </w:p>
        </w:tc>
        <w:tc>
          <w:tcPr>
            <w:tcW w:w="7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both"/>
              <w:rPr/>
            </w:pPr>
            <w:r>
              <w:rPr>
                <w:rFonts w:eastAsia="Times New Roman" w:cs="Times New Roman" w:ascii="Times New Roman" w:hAnsi="Times New Roman"/>
                <w:lang w:eastAsia="ru-RU"/>
              </w:rPr>
              <w:t>XII</w:t>
            </w:r>
          </w:p>
        </w:tc>
        <w:tc>
          <w:tcPr>
            <w:tcW w:w="7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both"/>
              <w:rPr/>
            </w:pPr>
            <w:r>
              <w:rPr>
                <w:rFonts w:eastAsia="Times New Roman" w:cs="Times New Roman" w:ascii="Times New Roman" w:hAnsi="Times New Roman"/>
                <w:lang w:eastAsia="ru-RU"/>
              </w:rPr>
              <w:t>Год</w:t>
            </w:r>
          </w:p>
        </w:tc>
      </w:tr>
      <w:tr>
        <w:trPr>
          <w:trHeight w:val="126" w:hRule="atLeast"/>
        </w:trPr>
        <w:tc>
          <w:tcPr>
            <w:tcW w:w="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both"/>
              <w:rPr/>
            </w:pPr>
            <w:r>
              <w:rPr>
                <w:rFonts w:eastAsia="Times New Roman" w:cs="Times New Roman" w:ascii="Times New Roman" w:hAnsi="Times New Roman"/>
                <w:lang w:eastAsia="ru-RU"/>
              </w:rPr>
              <w:t>-10,6</w:t>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both"/>
              <w:rPr/>
            </w:pPr>
            <w:r>
              <w:rPr>
                <w:rFonts w:eastAsia="Times New Roman" w:cs="Times New Roman" w:ascii="Times New Roman" w:hAnsi="Times New Roman"/>
                <w:lang w:eastAsia="ru-RU"/>
              </w:rPr>
              <w:t>-10,4</w:t>
            </w:r>
          </w:p>
        </w:tc>
        <w:tc>
          <w:tcPr>
            <w:tcW w:w="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both"/>
              <w:rPr/>
            </w:pPr>
            <w:r>
              <w:rPr>
                <w:rFonts w:eastAsia="Times New Roman" w:cs="Times New Roman" w:ascii="Times New Roman" w:hAnsi="Times New Roman"/>
                <w:lang w:eastAsia="ru-RU"/>
              </w:rPr>
              <w:t>-3,9</w:t>
            </w:r>
          </w:p>
        </w:tc>
        <w:tc>
          <w:tcPr>
            <w:tcW w:w="7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both"/>
              <w:rPr/>
            </w:pPr>
            <w:r>
              <w:rPr>
                <w:rFonts w:eastAsia="Times New Roman" w:cs="Times New Roman" w:ascii="Times New Roman" w:hAnsi="Times New Roman"/>
                <w:lang w:eastAsia="ru-RU"/>
              </w:rPr>
              <w:t>5,7</w:t>
            </w:r>
          </w:p>
        </w:tc>
        <w:tc>
          <w:tcPr>
            <w:tcW w:w="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both"/>
              <w:rPr/>
            </w:pPr>
            <w:r>
              <w:rPr>
                <w:rFonts w:eastAsia="Times New Roman" w:cs="Times New Roman" w:ascii="Times New Roman" w:hAnsi="Times New Roman"/>
                <w:lang w:eastAsia="ru-RU"/>
              </w:rPr>
              <w:t>13,6</w:t>
            </w:r>
          </w:p>
        </w:tc>
        <w:tc>
          <w:tcPr>
            <w:tcW w:w="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both"/>
              <w:rPr/>
            </w:pPr>
            <w:r>
              <w:rPr>
                <w:rFonts w:eastAsia="Times New Roman" w:cs="Times New Roman" w:ascii="Times New Roman" w:hAnsi="Times New Roman"/>
                <w:lang w:eastAsia="ru-RU"/>
              </w:rPr>
              <w:t>18,4</w:t>
            </w:r>
          </w:p>
        </w:tc>
        <w:tc>
          <w:tcPr>
            <w:tcW w:w="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both"/>
              <w:rPr/>
            </w:pPr>
            <w:r>
              <w:rPr>
                <w:rFonts w:eastAsia="Times New Roman" w:cs="Times New Roman" w:ascii="Times New Roman" w:hAnsi="Times New Roman"/>
                <w:lang w:eastAsia="ru-RU"/>
              </w:rPr>
              <w:t>20,3</w:t>
            </w:r>
          </w:p>
        </w:tc>
        <w:tc>
          <w:tcPr>
            <w:tcW w:w="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both"/>
              <w:rPr/>
            </w:pPr>
            <w:r>
              <w:rPr>
                <w:rFonts w:eastAsia="Times New Roman" w:cs="Times New Roman" w:ascii="Times New Roman" w:hAnsi="Times New Roman"/>
                <w:lang w:eastAsia="ru-RU"/>
              </w:rPr>
              <w:t>17,8</w:t>
            </w:r>
          </w:p>
        </w:tc>
        <w:tc>
          <w:tcPr>
            <w:tcW w:w="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both"/>
              <w:rPr/>
            </w:pPr>
            <w:r>
              <w:rPr>
                <w:rFonts w:eastAsia="Times New Roman" w:cs="Times New Roman" w:ascii="Times New Roman" w:hAnsi="Times New Roman"/>
                <w:lang w:eastAsia="ru-RU"/>
              </w:rPr>
              <w:t>11,8</w:t>
            </w:r>
          </w:p>
        </w:tc>
        <w:tc>
          <w:tcPr>
            <w:tcW w:w="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both"/>
              <w:rPr/>
            </w:pPr>
            <w:r>
              <w:rPr>
                <w:rFonts w:eastAsia="Times New Roman" w:cs="Times New Roman" w:ascii="Times New Roman" w:hAnsi="Times New Roman"/>
                <w:lang w:eastAsia="ru-RU"/>
              </w:rPr>
              <w:t>5,0</w:t>
            </w:r>
          </w:p>
        </w:tc>
        <w:tc>
          <w:tcPr>
            <w:tcW w:w="7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both"/>
              <w:rPr/>
            </w:pPr>
            <w:r>
              <w:rPr>
                <w:rFonts w:eastAsia="Times New Roman" w:cs="Times New Roman" w:ascii="Times New Roman" w:hAnsi="Times New Roman"/>
                <w:lang w:eastAsia="ru-RU"/>
              </w:rPr>
              <w:t>-3,2</w:t>
            </w:r>
          </w:p>
        </w:tc>
        <w:tc>
          <w:tcPr>
            <w:tcW w:w="7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both"/>
              <w:rPr/>
            </w:pPr>
            <w:r>
              <w:rPr>
                <w:rFonts w:eastAsia="Times New Roman" w:cs="Times New Roman" w:ascii="Times New Roman" w:hAnsi="Times New Roman"/>
                <w:lang w:eastAsia="ru-RU"/>
              </w:rPr>
              <w:t>-8,8</w:t>
            </w:r>
          </w:p>
        </w:tc>
        <w:tc>
          <w:tcPr>
            <w:tcW w:w="7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both"/>
              <w:rPr/>
            </w:pPr>
            <w:r>
              <w:rPr>
                <w:rFonts w:eastAsia="Times New Roman" w:cs="Times New Roman" w:ascii="Times New Roman" w:hAnsi="Times New Roman"/>
                <w:lang w:eastAsia="ru-RU"/>
              </w:rPr>
              <w:t>4,6</w:t>
            </w:r>
          </w:p>
        </w:tc>
      </w:tr>
    </w:tbl>
    <w:p>
      <w:pPr>
        <w:pStyle w:val="Normal0"/>
        <w:ind w:firstLine="709"/>
        <w:jc w:val="both"/>
        <w:rPr/>
      </w:pPr>
      <w:r>
        <w:rPr/>
      </w:r>
    </w:p>
    <w:p>
      <w:pPr>
        <w:pStyle w:val="Normal"/>
        <w:spacing w:lineRule="auto" w:line="240" w:before="0" w:after="0"/>
        <w:ind w:firstLine="709"/>
        <w:jc w:val="both"/>
        <w:rPr/>
      </w:pPr>
      <w:r>
        <w:rPr>
          <w:rFonts w:cs="Times New Roman" w:ascii="Times New Roman" w:hAnsi="Times New Roman"/>
          <w:sz w:val="28"/>
        </w:rPr>
        <w:t>Самым тёплым месяцем в году является июль со среднемесячной максимальной температурой 20,3</w:t>
      </w:r>
      <w:r>
        <w:rPr>
          <w:rFonts w:cs="Times New Roman" w:ascii="Times New Roman" w:hAnsi="Times New Roman"/>
          <w:sz w:val="28"/>
          <w:vertAlign w:val="superscript"/>
        </w:rPr>
        <w:t>0</w:t>
      </w:r>
      <w:r>
        <w:rPr>
          <w:rFonts w:cs="Times New Roman" w:ascii="Times New Roman" w:hAnsi="Times New Roman"/>
          <w:sz w:val="28"/>
        </w:rPr>
        <w:t>С.</w:t>
      </w:r>
    </w:p>
    <w:p>
      <w:pPr>
        <w:pStyle w:val="Normal"/>
        <w:spacing w:lineRule="auto" w:line="240" w:before="0" w:after="0"/>
        <w:ind w:firstLine="709"/>
        <w:jc w:val="both"/>
        <w:rPr/>
      </w:pPr>
      <w:r>
        <w:rPr>
          <w:rFonts w:cs="Times New Roman" w:ascii="Times New Roman" w:hAnsi="Times New Roman"/>
          <w:sz w:val="28"/>
        </w:rPr>
        <w:t>Средняя температура наиболее холодной части отопительного периода равна –10,6</w:t>
      </w:r>
      <w:r>
        <w:rPr>
          <w:rFonts w:cs="Times New Roman" w:ascii="Times New Roman" w:hAnsi="Times New Roman"/>
          <w:sz w:val="28"/>
          <w:vertAlign w:val="superscript"/>
        </w:rPr>
        <w:t>0</w:t>
      </w:r>
      <w:r>
        <w:rPr>
          <w:rFonts w:cs="Times New Roman" w:ascii="Times New Roman" w:hAnsi="Times New Roman"/>
          <w:sz w:val="28"/>
        </w:rPr>
        <w:t>С.</w:t>
      </w:r>
    </w:p>
    <w:p>
      <w:pPr>
        <w:pStyle w:val="Normal"/>
        <w:spacing w:lineRule="auto" w:line="240" w:before="0" w:after="0"/>
        <w:ind w:firstLine="709"/>
        <w:jc w:val="both"/>
        <w:rPr/>
      </w:pPr>
      <w:r>
        <w:rPr>
          <w:rFonts w:cs="Times New Roman" w:ascii="Times New Roman" w:hAnsi="Times New Roman"/>
          <w:sz w:val="28"/>
        </w:rPr>
        <w:t>Годовая суммарная радиация увеличивается с запада на восток, принимая значения от 3713 мДж/м2 в бассейне р. Свияги (Чулпаниха) до 3880 мДж/м2 в бассейне р. Волги (Шеланга).</w:t>
      </w:r>
    </w:p>
    <w:p>
      <w:pPr>
        <w:pStyle w:val="Style30"/>
        <w:spacing w:lineRule="auto" w:line="240" w:before="0" w:after="0"/>
        <w:ind w:firstLine="567"/>
        <w:jc w:val="both"/>
        <w:rPr/>
      </w:pPr>
      <w:r>
        <w:rPr>
          <w:rFonts w:cs="Times New Roman" w:ascii="Times New Roman" w:hAnsi="Times New Roman"/>
          <w:sz w:val="28"/>
        </w:rPr>
        <w:t>По количеству осадков район относится к зоне достаточного увлажнения, что способствует вымыванию загрязнителей из атмосферы.</w:t>
      </w:r>
    </w:p>
    <w:p>
      <w:pPr>
        <w:pStyle w:val="Normal0"/>
        <w:ind w:firstLine="709"/>
        <w:jc w:val="both"/>
        <w:rPr/>
      </w:pPr>
      <w:r>
        <w:rPr/>
        <w:t>Данные об изменении количества осадков по месяцам и в среднем за год представлены в таблице 1.7.2. Многолетняя средняя сумма осадков – 568,5 мм.</w:t>
      </w:r>
    </w:p>
    <w:p>
      <w:pPr>
        <w:pStyle w:val="Table0"/>
        <w:numPr>
          <w:ilvl w:val="0"/>
          <w:numId w:val="0"/>
        </w:numPr>
        <w:suppressAutoHyphens w:val="false"/>
        <w:ind w:left="8080" w:hanging="850"/>
        <w:jc w:val="both"/>
        <w:rPr/>
      </w:pPr>
      <w:r>
        <w:rPr/>
        <w:t>Таблица 1.7.2</w:t>
      </w:r>
    </w:p>
    <w:p>
      <w:pPr>
        <w:pStyle w:val="Name0"/>
        <w:jc w:val="both"/>
        <w:rPr/>
      </w:pPr>
      <w:r>
        <w:rPr>
          <w:i w:val="false"/>
        </w:rPr>
        <w:t>Среднемесячное и годовое количество осадков, мм</w:t>
      </w:r>
    </w:p>
    <w:tbl>
      <w:tblPr>
        <w:tblW w:w="5000" w:type="pct"/>
        <w:jc w:val="center"/>
        <w:tblInd w:w="0" w:type="dxa"/>
        <w:tblLayout w:type="fixed"/>
        <w:tblCellMar>
          <w:top w:w="0" w:type="dxa"/>
          <w:left w:w="108" w:type="dxa"/>
          <w:bottom w:w="0" w:type="dxa"/>
          <w:right w:w="108" w:type="dxa"/>
        </w:tblCellMar>
        <w:tblLook w:noVBand="0" w:val="0000" w:noHBand="0" w:lastColumn="0" w:firstColumn="0" w:lastRow="0" w:firstRow="0"/>
      </w:tblPr>
      <w:tblGrid>
        <w:gridCol w:w="758"/>
        <w:gridCol w:w="761"/>
        <w:gridCol w:w="759"/>
        <w:gridCol w:w="760"/>
        <w:gridCol w:w="760"/>
        <w:gridCol w:w="760"/>
        <w:gridCol w:w="760"/>
        <w:gridCol w:w="760"/>
        <w:gridCol w:w="759"/>
        <w:gridCol w:w="760"/>
        <w:gridCol w:w="760"/>
        <w:gridCol w:w="760"/>
        <w:gridCol w:w="803"/>
      </w:tblGrid>
      <w:tr>
        <w:trPr>
          <w:trHeight w:val="281" w:hRule="atLeast"/>
        </w:trPr>
        <w:tc>
          <w:tcPr>
            <w:tcW w:w="7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pPr>
            <w:r>
              <w:rPr>
                <w:rFonts w:eastAsia="Times New Roman" w:cs="Times New Roman" w:ascii="Times New Roman" w:hAnsi="Times New Roman"/>
                <w:lang w:eastAsia="ru-RU"/>
              </w:rPr>
              <w:t>I</w:t>
            </w:r>
          </w:p>
        </w:tc>
        <w:tc>
          <w:tcPr>
            <w:tcW w:w="76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pPr>
            <w:r>
              <w:rPr>
                <w:rFonts w:eastAsia="Times New Roman" w:cs="Times New Roman" w:ascii="Times New Roman" w:hAnsi="Times New Roman"/>
                <w:lang w:eastAsia="ru-RU"/>
              </w:rPr>
              <w:t>II</w:t>
            </w:r>
          </w:p>
        </w:tc>
        <w:tc>
          <w:tcPr>
            <w:tcW w:w="75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pPr>
            <w:r>
              <w:rPr>
                <w:rFonts w:eastAsia="Times New Roman" w:cs="Times New Roman" w:ascii="Times New Roman" w:hAnsi="Times New Roman"/>
                <w:lang w:eastAsia="ru-RU"/>
              </w:rPr>
              <w:t>III</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pPr>
            <w:r>
              <w:rPr>
                <w:rFonts w:eastAsia="Times New Roman" w:cs="Times New Roman" w:ascii="Times New Roman" w:hAnsi="Times New Roman"/>
                <w:lang w:eastAsia="ru-RU"/>
              </w:rPr>
              <w:t>IV</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pPr>
            <w:r>
              <w:rPr>
                <w:rFonts w:eastAsia="Times New Roman" w:cs="Times New Roman" w:ascii="Times New Roman" w:hAnsi="Times New Roman"/>
                <w:lang w:eastAsia="ru-RU"/>
              </w:rPr>
              <w:t>V</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pPr>
            <w:r>
              <w:rPr>
                <w:rFonts w:eastAsia="Times New Roman" w:cs="Times New Roman" w:ascii="Times New Roman" w:hAnsi="Times New Roman"/>
                <w:lang w:eastAsia="ru-RU"/>
              </w:rPr>
              <w:t>VI</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pPr>
            <w:r>
              <w:rPr>
                <w:rFonts w:eastAsia="Times New Roman" w:cs="Times New Roman" w:ascii="Times New Roman" w:hAnsi="Times New Roman"/>
                <w:lang w:eastAsia="ru-RU"/>
              </w:rPr>
              <w:t>VII</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pPr>
            <w:r>
              <w:rPr>
                <w:rFonts w:eastAsia="Times New Roman" w:cs="Times New Roman" w:ascii="Times New Roman" w:hAnsi="Times New Roman"/>
                <w:lang w:eastAsia="ru-RU"/>
              </w:rPr>
              <w:t>VIII</w:t>
            </w:r>
          </w:p>
        </w:tc>
        <w:tc>
          <w:tcPr>
            <w:tcW w:w="75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pPr>
            <w:r>
              <w:rPr>
                <w:rFonts w:eastAsia="Times New Roman" w:cs="Times New Roman" w:ascii="Times New Roman" w:hAnsi="Times New Roman"/>
                <w:lang w:eastAsia="ru-RU"/>
              </w:rPr>
              <w:t>IX</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pPr>
            <w:r>
              <w:rPr>
                <w:rFonts w:eastAsia="Times New Roman" w:cs="Times New Roman" w:ascii="Times New Roman" w:hAnsi="Times New Roman"/>
                <w:lang w:eastAsia="ru-RU"/>
              </w:rPr>
              <w:t>X</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pPr>
            <w:r>
              <w:rPr>
                <w:rFonts w:eastAsia="Times New Roman" w:cs="Times New Roman" w:ascii="Times New Roman" w:hAnsi="Times New Roman"/>
                <w:lang w:eastAsia="ru-RU"/>
              </w:rPr>
              <w:t>XI</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pPr>
            <w:r>
              <w:rPr>
                <w:rFonts w:eastAsia="Times New Roman" w:cs="Times New Roman" w:ascii="Times New Roman" w:hAnsi="Times New Roman"/>
                <w:lang w:eastAsia="ru-RU"/>
              </w:rPr>
              <w:t>XII</w:t>
            </w:r>
          </w:p>
        </w:tc>
        <w:tc>
          <w:tcPr>
            <w:tcW w:w="80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pPr>
            <w:r>
              <w:rPr>
                <w:rFonts w:eastAsia="Times New Roman" w:cs="Times New Roman" w:ascii="Times New Roman" w:hAnsi="Times New Roman"/>
                <w:lang w:eastAsia="ru-RU"/>
              </w:rPr>
              <w:t>Год</w:t>
            </w:r>
          </w:p>
        </w:tc>
      </w:tr>
      <w:tr>
        <w:trPr>
          <w:trHeight w:val="273" w:hRule="atLeast"/>
        </w:trPr>
        <w:tc>
          <w:tcPr>
            <w:tcW w:w="75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pPr>
            <w:r>
              <w:rPr>
                <w:rFonts w:eastAsia="Times New Roman" w:cs="Times New Roman" w:ascii="Times New Roman" w:hAnsi="Times New Roman"/>
                <w:lang w:eastAsia="ru-RU"/>
              </w:rPr>
              <w:t>41,5</w:t>
            </w:r>
          </w:p>
        </w:tc>
        <w:tc>
          <w:tcPr>
            <w:tcW w:w="76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pPr>
            <w:r>
              <w:rPr>
                <w:rFonts w:eastAsia="Times New Roman" w:cs="Times New Roman" w:ascii="Times New Roman" w:hAnsi="Times New Roman"/>
                <w:lang w:eastAsia="ru-RU"/>
              </w:rPr>
              <w:t>32,3</w:t>
            </w:r>
          </w:p>
        </w:tc>
        <w:tc>
          <w:tcPr>
            <w:tcW w:w="75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pPr>
            <w:r>
              <w:rPr>
                <w:rFonts w:eastAsia="Times New Roman" w:cs="Times New Roman" w:ascii="Times New Roman" w:hAnsi="Times New Roman"/>
                <w:lang w:eastAsia="ru-RU"/>
              </w:rPr>
              <w:t>36,6</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pPr>
            <w:r>
              <w:rPr>
                <w:rFonts w:eastAsia="Times New Roman" w:cs="Times New Roman" w:ascii="Times New Roman" w:hAnsi="Times New Roman"/>
                <w:lang w:eastAsia="ru-RU"/>
              </w:rPr>
              <w:t>28,4</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pPr>
            <w:r>
              <w:rPr>
                <w:rFonts w:eastAsia="Times New Roman" w:cs="Times New Roman" w:ascii="Times New Roman" w:hAnsi="Times New Roman"/>
                <w:lang w:eastAsia="ru-RU"/>
              </w:rPr>
              <w:t>38,3</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pPr>
            <w:r>
              <w:rPr>
                <w:rFonts w:eastAsia="Times New Roman" w:cs="Times New Roman" w:ascii="Times New Roman" w:hAnsi="Times New Roman"/>
                <w:lang w:eastAsia="ru-RU"/>
              </w:rPr>
              <w:t>62,0</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pPr>
            <w:r>
              <w:rPr>
                <w:rFonts w:eastAsia="Times New Roman" w:cs="Times New Roman" w:ascii="Times New Roman" w:hAnsi="Times New Roman"/>
                <w:lang w:eastAsia="ru-RU"/>
              </w:rPr>
              <w:t>68,3</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pPr>
            <w:r>
              <w:rPr>
                <w:rFonts w:eastAsia="Times New Roman" w:cs="Times New Roman" w:ascii="Times New Roman" w:hAnsi="Times New Roman"/>
                <w:lang w:eastAsia="ru-RU"/>
              </w:rPr>
              <w:t>57,6</w:t>
            </w:r>
          </w:p>
        </w:tc>
        <w:tc>
          <w:tcPr>
            <w:tcW w:w="75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pPr>
            <w:r>
              <w:rPr>
                <w:rFonts w:eastAsia="Times New Roman" w:cs="Times New Roman" w:ascii="Times New Roman" w:hAnsi="Times New Roman"/>
                <w:lang w:eastAsia="ru-RU"/>
              </w:rPr>
              <w:t>55,0</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pPr>
            <w:r>
              <w:rPr>
                <w:rFonts w:eastAsia="Times New Roman" w:cs="Times New Roman" w:ascii="Times New Roman" w:hAnsi="Times New Roman"/>
                <w:lang w:eastAsia="ru-RU"/>
              </w:rPr>
              <w:t>54,3</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pPr>
            <w:r>
              <w:rPr>
                <w:rFonts w:eastAsia="Times New Roman" w:cs="Times New Roman" w:ascii="Times New Roman" w:hAnsi="Times New Roman"/>
                <w:lang w:eastAsia="ru-RU"/>
              </w:rPr>
              <w:t>46,9</w:t>
            </w:r>
          </w:p>
        </w:tc>
        <w:tc>
          <w:tcPr>
            <w:tcW w:w="7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pPr>
            <w:r>
              <w:rPr>
                <w:rFonts w:eastAsia="Times New Roman" w:cs="Times New Roman" w:ascii="Times New Roman" w:hAnsi="Times New Roman"/>
                <w:lang w:eastAsia="ru-RU"/>
              </w:rPr>
              <w:t>47,3</w:t>
            </w:r>
          </w:p>
        </w:tc>
        <w:tc>
          <w:tcPr>
            <w:tcW w:w="80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pPr>
            <w:r>
              <w:rPr>
                <w:rFonts w:eastAsia="Times New Roman" w:cs="Times New Roman" w:ascii="Times New Roman" w:hAnsi="Times New Roman"/>
                <w:lang w:eastAsia="ru-RU"/>
              </w:rPr>
              <w:t>568,5</w:t>
            </w:r>
          </w:p>
        </w:tc>
      </w:tr>
    </w:tbl>
    <w:p>
      <w:pPr>
        <w:pStyle w:val="Style30"/>
        <w:overflowPunct w:val="true"/>
        <w:spacing w:lineRule="auto" w:line="240" w:before="0" w:after="0"/>
        <w:ind w:firstLine="709"/>
        <w:jc w:val="both"/>
        <w:rPr/>
      </w:pPr>
      <w:r>
        <w:rPr>
          <w:rFonts w:cs="Times New Roman" w:ascii="Times New Roman" w:hAnsi="Times New Roman"/>
          <w:sz w:val="28"/>
          <w:szCs w:val="28"/>
        </w:rPr>
        <w:t xml:space="preserve">Данные о повторяемости направлений ветра и штилей в течение года на рассматриваемой территории представлены таблица 1.7.5, рисунок 1.7.1. </w:t>
      </w:r>
    </w:p>
    <w:p>
      <w:pPr>
        <w:pStyle w:val="Style30"/>
        <w:overflowPunct w:val="true"/>
        <w:spacing w:lineRule="auto" w:line="240" w:before="0" w:after="0"/>
        <w:ind w:firstLine="709"/>
        <w:jc w:val="both"/>
        <w:rPr/>
      </w:pPr>
      <w:r>
        <w:rPr>
          <w:rFonts w:cs="Times New Roman" w:ascii="Times New Roman" w:hAnsi="Times New Roman"/>
          <w:sz w:val="28"/>
          <w:szCs w:val="28"/>
        </w:rPr>
        <w:t>Господствующими ветрами являются ветры южных и юго-восточных направлений.</w:t>
      </w:r>
    </w:p>
    <w:p>
      <w:pPr>
        <w:pStyle w:val="Table0"/>
        <w:numPr>
          <w:ilvl w:val="0"/>
          <w:numId w:val="0"/>
        </w:numPr>
        <w:suppressAutoHyphens w:val="false"/>
        <w:ind w:left="8080" w:hanging="850"/>
        <w:jc w:val="both"/>
        <w:rPr/>
      </w:pPr>
      <w:r>
        <w:rPr/>
        <w:t>Таблица 1.7.5</w:t>
      </w:r>
    </w:p>
    <w:p>
      <w:pPr>
        <w:pStyle w:val="Name0"/>
        <w:rPr>
          <w:i w:val="false"/>
          <w:i w:val="false"/>
        </w:rPr>
      </w:pPr>
      <w:r>
        <w:rPr>
          <w:i w:val="false"/>
        </w:rPr>
        <w:t>Повторяемость направлений ветра и штилей (%)</w:t>
      </w:r>
    </w:p>
    <w:tbl>
      <w:tblPr>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993"/>
        <w:gridCol w:w="966"/>
        <w:gridCol w:w="1022"/>
        <w:gridCol w:w="978"/>
        <w:gridCol w:w="991"/>
        <w:gridCol w:w="992"/>
        <w:gridCol w:w="992"/>
        <w:gridCol w:w="992"/>
        <w:gridCol w:w="1002"/>
        <w:gridCol w:w="992"/>
      </w:tblGrid>
      <w:tr>
        <w:trPr>
          <w:trHeight w:val="300" w:hRule="atLeast"/>
          <w:cantSplit w:val="true"/>
        </w:trPr>
        <w:tc>
          <w:tcPr>
            <w:tcW w:w="99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Месяц</w:t>
            </w:r>
          </w:p>
        </w:tc>
        <w:tc>
          <w:tcPr>
            <w:tcW w:w="7935" w:type="dxa"/>
            <w:gridSpan w:val="8"/>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Направления ветра</w:t>
            </w:r>
          </w:p>
        </w:tc>
        <w:tc>
          <w:tcPr>
            <w:tcW w:w="99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Штиль</w:t>
            </w:r>
          </w:p>
        </w:tc>
      </w:tr>
      <w:tr>
        <w:trPr>
          <w:trHeight w:val="300" w:hRule="atLeast"/>
        </w:trPr>
        <w:tc>
          <w:tcPr>
            <w:tcW w:w="99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С</w:t>
            </w:r>
          </w:p>
        </w:tc>
        <w:tc>
          <w:tcPr>
            <w:tcW w:w="10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СВ</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В</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ЮВ</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Ю</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ЮЗ</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З</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СЗ</w:t>
            </w:r>
          </w:p>
        </w:tc>
        <w:tc>
          <w:tcPr>
            <w:tcW w:w="99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r>
          </w:p>
        </w:tc>
      </w:tr>
      <w:tr>
        <w:trPr>
          <w:trHeight w:val="300" w:hRule="atLeast"/>
        </w:trPr>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I</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7</w:t>
            </w:r>
          </w:p>
        </w:tc>
        <w:tc>
          <w:tcPr>
            <w:tcW w:w="10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4</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7</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19</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27</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12</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16</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8</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9</w:t>
            </w:r>
          </w:p>
        </w:tc>
      </w:tr>
      <w:tr>
        <w:trPr>
          <w:trHeight w:val="300" w:hRule="atLeast"/>
        </w:trPr>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II</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8</w:t>
            </w:r>
          </w:p>
        </w:tc>
        <w:tc>
          <w:tcPr>
            <w:tcW w:w="10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11</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19</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21</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12</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15</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8</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9</w:t>
            </w:r>
          </w:p>
        </w:tc>
      </w:tr>
      <w:tr>
        <w:trPr>
          <w:trHeight w:val="315" w:hRule="atLeast"/>
        </w:trPr>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III</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7</w:t>
            </w:r>
          </w:p>
        </w:tc>
        <w:tc>
          <w:tcPr>
            <w:tcW w:w="10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9</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18</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25</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13</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16</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6</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10</w:t>
            </w:r>
          </w:p>
        </w:tc>
      </w:tr>
      <w:tr>
        <w:trPr>
          <w:trHeight w:val="300" w:hRule="atLeast"/>
        </w:trPr>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IV</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10</w:t>
            </w:r>
          </w:p>
        </w:tc>
        <w:tc>
          <w:tcPr>
            <w:tcW w:w="10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12</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15</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19</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10</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17</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7</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9</w:t>
            </w:r>
          </w:p>
        </w:tc>
      </w:tr>
      <w:tr>
        <w:trPr>
          <w:trHeight w:val="300" w:hRule="atLeast"/>
        </w:trPr>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V</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14</w:t>
            </w:r>
          </w:p>
        </w:tc>
        <w:tc>
          <w:tcPr>
            <w:tcW w:w="10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10</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11</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15</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10</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17</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13</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11</w:t>
            </w:r>
          </w:p>
        </w:tc>
      </w:tr>
      <w:tr>
        <w:trPr>
          <w:trHeight w:val="300" w:hRule="atLeast"/>
        </w:trPr>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VI</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13</w:t>
            </w:r>
          </w:p>
        </w:tc>
        <w:tc>
          <w:tcPr>
            <w:tcW w:w="10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11</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11</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12</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13</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10</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18</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12</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11</w:t>
            </w:r>
          </w:p>
        </w:tc>
      </w:tr>
      <w:tr>
        <w:trPr>
          <w:trHeight w:val="300" w:hRule="atLeast"/>
        </w:trPr>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VII</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16</w:t>
            </w:r>
          </w:p>
        </w:tc>
        <w:tc>
          <w:tcPr>
            <w:tcW w:w="10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12</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14</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9</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10</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8</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16</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15</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15</w:t>
            </w:r>
          </w:p>
        </w:tc>
      </w:tr>
      <w:tr>
        <w:trPr>
          <w:trHeight w:val="300" w:hRule="atLeast"/>
        </w:trPr>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VIII</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16</w:t>
            </w:r>
          </w:p>
        </w:tc>
        <w:tc>
          <w:tcPr>
            <w:tcW w:w="10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11</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10</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12</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10</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18</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13</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14</w:t>
            </w:r>
          </w:p>
        </w:tc>
      </w:tr>
      <w:tr>
        <w:trPr>
          <w:trHeight w:val="300" w:hRule="atLeast"/>
        </w:trPr>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IX</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12</w:t>
            </w:r>
          </w:p>
        </w:tc>
        <w:tc>
          <w:tcPr>
            <w:tcW w:w="10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6</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10</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12</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17</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11</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19</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13</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11</w:t>
            </w:r>
          </w:p>
        </w:tc>
      </w:tr>
      <w:tr>
        <w:trPr>
          <w:trHeight w:val="300" w:hRule="atLeast"/>
        </w:trPr>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X</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11</w:t>
            </w:r>
          </w:p>
        </w:tc>
        <w:tc>
          <w:tcPr>
            <w:tcW w:w="10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4</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11</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20</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15</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21</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13</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7</w:t>
            </w:r>
          </w:p>
        </w:tc>
      </w:tr>
      <w:tr>
        <w:trPr>
          <w:trHeight w:val="300" w:hRule="atLeast"/>
        </w:trPr>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XI</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8</w:t>
            </w:r>
          </w:p>
        </w:tc>
        <w:tc>
          <w:tcPr>
            <w:tcW w:w="10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7</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14</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24</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14</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18</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10</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5</w:t>
            </w:r>
          </w:p>
        </w:tc>
      </w:tr>
      <w:tr>
        <w:trPr>
          <w:trHeight w:val="300" w:hRule="atLeast"/>
        </w:trPr>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XII</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6</w:t>
            </w:r>
          </w:p>
        </w:tc>
        <w:tc>
          <w:tcPr>
            <w:tcW w:w="10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4</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8</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17</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25</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14</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18</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8</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8</w:t>
            </w:r>
          </w:p>
        </w:tc>
      </w:tr>
      <w:tr>
        <w:trPr>
          <w:trHeight w:val="300" w:hRule="atLeast"/>
        </w:trPr>
        <w:tc>
          <w:tcPr>
            <w:tcW w:w="9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Год</w:t>
            </w:r>
          </w:p>
        </w:tc>
        <w:tc>
          <w:tcPr>
            <w:tcW w:w="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11</w:t>
            </w:r>
          </w:p>
        </w:tc>
        <w:tc>
          <w:tcPr>
            <w:tcW w:w="10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7</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10</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14</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19</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12</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17</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10</w:t>
            </w:r>
          </w:p>
        </w:tc>
        <w:tc>
          <w:tcPr>
            <w:tcW w:w="9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10</w:t>
            </w:r>
          </w:p>
        </w:tc>
      </w:tr>
    </w:tbl>
    <w:p>
      <w:pPr>
        <w:pStyle w:val="Table0"/>
        <w:numPr>
          <w:ilvl w:val="0"/>
          <w:numId w:val="0"/>
        </w:numPr>
        <w:suppressAutoHyphens w:val="false"/>
        <w:ind w:left="0" w:hanging="0"/>
        <w:jc w:val="left"/>
        <w:rPr/>
      </w:pPr>
      <w:r>
        <w:rPr/>
      </w:r>
    </w:p>
    <w:p>
      <w:pPr>
        <w:pStyle w:val="311"/>
        <w:spacing w:lineRule="auto" w:line="240"/>
        <w:ind w:right="-1" w:firstLine="567"/>
        <w:jc w:val="center"/>
        <w:rPr>
          <w:rFonts w:ascii="Times New Roman" w:hAnsi="Times New Roman"/>
          <w:sz w:val="28"/>
          <w:szCs w:val="28"/>
        </w:rPr>
      </w:pPr>
      <w:r>
        <w:rPr>
          <w:rFonts w:ascii="Times New Roman" w:hAnsi="Times New Roman"/>
          <w:sz w:val="28"/>
          <w:szCs w:val="28"/>
        </w:rPr>
        <w:t>Рисунок 1.7.1 Повторяемость ветров по направлениям (%)</w:t>
      </w:r>
    </w:p>
    <w:p>
      <w:pPr>
        <w:pStyle w:val="Style30"/>
        <w:overflowPunct w:val="true"/>
        <w:spacing w:lineRule="auto" w:line="240" w:before="0" w:after="0"/>
        <w:ind w:firstLine="709"/>
        <w:jc w:val="center"/>
        <w:rPr>
          <w:rFonts w:ascii="Times New Roman" w:hAnsi="Times New Roman" w:cs="Times New Roman"/>
          <w:sz w:val="28"/>
          <w:szCs w:val="28"/>
        </w:rPr>
      </w:pPr>
      <w:r>
        <w:rPr/>
        <w:drawing>
          <wp:inline distT="0" distB="0" distL="0" distR="0">
            <wp:extent cx="4686300" cy="3009900"/>
            <wp:effectExtent l="0" t="0" r="0" b="0"/>
            <wp:docPr id="18" name="Диаграмма 9" descr="Объект 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Диаграмма 9" descr="Объект OLE"/>
                    <pic:cNvPicPr>
                      <a:picLocks noChangeAspect="1" noChangeArrowheads="1"/>
                    </pic:cNvPicPr>
                  </pic:nvPicPr>
                  <pic:blipFill>
                    <a:blip/>
                    <a:stretch>
                      <a:fillRect/>
                    </a:stretch>
                  </pic:blipFill>
                  <pic:spPr bwMode="auto">
                    <a:xfrm>
                      <a:off x="0" y="0"/>
                      <a:ext cx="4686300" cy="3009900"/>
                    </a:xfrm>
                    <a:prstGeom prst="rect">
                      <a:avLst/>
                    </a:prstGeom>
                  </pic:spPr>
                </pic:pic>
              </a:graphicData>
            </a:graphic>
          </wp:inline>
        </w:drawing>
      </w:r>
    </w:p>
    <w:p>
      <w:pPr>
        <w:pStyle w:val="Style30"/>
        <w:overflowPunct w:val="true"/>
        <w:spacing w:lineRule="auto" w:line="240" w:before="0" w:after="0"/>
        <w:ind w:firstLine="709"/>
        <w:jc w:val="center"/>
        <w:rPr>
          <w:rFonts w:ascii="Times New Roman" w:hAnsi="Times New Roman" w:cs="Times New Roman"/>
          <w:sz w:val="28"/>
          <w:szCs w:val="28"/>
        </w:rPr>
      </w:pPr>
      <w:r>
        <w:rPr/>
        <w:drawing>
          <wp:inline distT="0" distB="0" distL="0" distR="0">
            <wp:extent cx="4219575" cy="400050"/>
            <wp:effectExtent l="0" t="0" r="0" b="0"/>
            <wp:docPr id="19"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0" descr=""/>
                    <pic:cNvPicPr>
                      <a:picLocks noChangeAspect="1" noChangeArrowheads="1"/>
                    </pic:cNvPicPr>
                  </pic:nvPicPr>
                  <pic:blipFill>
                    <a:blip r:embed="rId42"/>
                    <a:stretch>
                      <a:fillRect/>
                    </a:stretch>
                  </pic:blipFill>
                  <pic:spPr bwMode="auto">
                    <a:xfrm>
                      <a:off x="0" y="0"/>
                      <a:ext cx="4219575" cy="400050"/>
                    </a:xfrm>
                    <a:prstGeom prst="rect">
                      <a:avLst/>
                    </a:prstGeom>
                  </pic:spPr>
                </pic:pic>
              </a:graphicData>
            </a:graphic>
          </wp:inline>
        </w:drawing>
      </w:r>
    </w:p>
    <w:p>
      <w:pPr>
        <w:pStyle w:val="Style30"/>
        <w:overflowPunct w:val="true"/>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Среднегодовая скорость ветра составляет 2,5 м/с (таблица 1.7.6).</w:t>
      </w:r>
    </w:p>
    <w:p>
      <w:pPr>
        <w:pStyle w:val="Table0"/>
        <w:numPr>
          <w:ilvl w:val="0"/>
          <w:numId w:val="0"/>
        </w:numPr>
        <w:suppressAutoHyphens w:val="false"/>
        <w:ind w:left="8080" w:hanging="850"/>
        <w:rPr/>
      </w:pPr>
      <w:r>
        <w:rPr/>
        <w:t>Таблица 1.7.6</w:t>
      </w:r>
    </w:p>
    <w:p>
      <w:pPr>
        <w:pStyle w:val="Name0"/>
        <w:rPr>
          <w:i w:val="false"/>
          <w:i w:val="false"/>
        </w:rPr>
      </w:pPr>
      <w:r>
        <w:rPr>
          <w:i w:val="false"/>
        </w:rPr>
        <w:t>Средняя месячная и годовая скорость ветра, м/с</w:t>
      </w:r>
    </w:p>
    <w:tbl>
      <w:tblPr>
        <w:tblW w:w="5000" w:type="pct"/>
        <w:jc w:val="center"/>
        <w:tblInd w:w="0" w:type="dxa"/>
        <w:tblLayout w:type="fixed"/>
        <w:tblCellMar>
          <w:top w:w="0" w:type="dxa"/>
          <w:left w:w="108" w:type="dxa"/>
          <w:bottom w:w="0" w:type="dxa"/>
          <w:right w:w="108" w:type="dxa"/>
        </w:tblCellMar>
        <w:tblLook w:noVBand="0" w:val="0000" w:noHBand="0" w:lastColumn="0" w:firstColumn="0" w:lastRow="0" w:firstRow="0"/>
      </w:tblPr>
      <w:tblGrid>
        <w:gridCol w:w="764"/>
        <w:gridCol w:w="765"/>
        <w:gridCol w:w="764"/>
        <w:gridCol w:w="763"/>
        <w:gridCol w:w="764"/>
        <w:gridCol w:w="764"/>
        <w:gridCol w:w="764"/>
        <w:gridCol w:w="764"/>
        <w:gridCol w:w="764"/>
        <w:gridCol w:w="764"/>
        <w:gridCol w:w="763"/>
        <w:gridCol w:w="763"/>
        <w:gridCol w:w="754"/>
      </w:tblGrid>
      <w:tr>
        <w:trPr>
          <w:trHeight w:val="85" w:hRule="atLeast"/>
        </w:trPr>
        <w:tc>
          <w:tcPr>
            <w:tcW w:w="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I</w:t>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II</w:t>
            </w:r>
          </w:p>
        </w:tc>
        <w:tc>
          <w:tcPr>
            <w:tcW w:w="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III</w:t>
            </w:r>
          </w:p>
        </w:tc>
        <w:tc>
          <w:tcPr>
            <w:tcW w:w="7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IV</w:t>
            </w:r>
          </w:p>
        </w:tc>
        <w:tc>
          <w:tcPr>
            <w:tcW w:w="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V</w:t>
            </w:r>
          </w:p>
        </w:tc>
        <w:tc>
          <w:tcPr>
            <w:tcW w:w="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VI</w:t>
            </w:r>
          </w:p>
        </w:tc>
        <w:tc>
          <w:tcPr>
            <w:tcW w:w="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VII</w:t>
            </w:r>
          </w:p>
        </w:tc>
        <w:tc>
          <w:tcPr>
            <w:tcW w:w="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VIII</w:t>
            </w:r>
          </w:p>
        </w:tc>
        <w:tc>
          <w:tcPr>
            <w:tcW w:w="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IX</w:t>
            </w:r>
          </w:p>
        </w:tc>
        <w:tc>
          <w:tcPr>
            <w:tcW w:w="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X</w:t>
            </w:r>
          </w:p>
        </w:tc>
        <w:tc>
          <w:tcPr>
            <w:tcW w:w="7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XI</w:t>
            </w:r>
          </w:p>
        </w:tc>
        <w:tc>
          <w:tcPr>
            <w:tcW w:w="7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XII</w:t>
            </w:r>
          </w:p>
        </w:tc>
        <w:tc>
          <w:tcPr>
            <w:tcW w:w="7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Год</w:t>
            </w:r>
          </w:p>
        </w:tc>
      </w:tr>
      <w:tr>
        <w:trPr>
          <w:trHeight w:val="474" w:hRule="atLeast"/>
        </w:trPr>
        <w:tc>
          <w:tcPr>
            <w:tcW w:w="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2,8</w:t>
            </w:r>
          </w:p>
        </w:tc>
        <w:tc>
          <w:tcPr>
            <w:tcW w:w="7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2,8</w:t>
            </w:r>
          </w:p>
        </w:tc>
        <w:tc>
          <w:tcPr>
            <w:tcW w:w="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2,6</w:t>
            </w:r>
          </w:p>
        </w:tc>
        <w:tc>
          <w:tcPr>
            <w:tcW w:w="7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2,6</w:t>
            </w:r>
          </w:p>
        </w:tc>
        <w:tc>
          <w:tcPr>
            <w:tcW w:w="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2,5</w:t>
            </w:r>
          </w:p>
        </w:tc>
        <w:tc>
          <w:tcPr>
            <w:tcW w:w="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2,3</w:t>
            </w:r>
          </w:p>
        </w:tc>
        <w:tc>
          <w:tcPr>
            <w:tcW w:w="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2,0</w:t>
            </w:r>
          </w:p>
        </w:tc>
        <w:tc>
          <w:tcPr>
            <w:tcW w:w="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2,1</w:t>
            </w:r>
          </w:p>
        </w:tc>
        <w:tc>
          <w:tcPr>
            <w:tcW w:w="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2,3</w:t>
            </w:r>
          </w:p>
        </w:tc>
        <w:tc>
          <w:tcPr>
            <w:tcW w:w="7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2,7</w:t>
            </w:r>
          </w:p>
        </w:tc>
        <w:tc>
          <w:tcPr>
            <w:tcW w:w="7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2,8</w:t>
            </w:r>
          </w:p>
        </w:tc>
        <w:tc>
          <w:tcPr>
            <w:tcW w:w="7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2,7</w:t>
            </w:r>
          </w:p>
        </w:tc>
        <w:tc>
          <w:tcPr>
            <w:tcW w:w="7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2,5</w:t>
            </w:r>
          </w:p>
        </w:tc>
      </w:tr>
    </w:tbl>
    <w:p>
      <w:pPr>
        <w:pStyle w:val="Style30"/>
        <w:spacing w:lineRule="auto" w:line="240" w:before="0" w:after="0"/>
        <w:ind w:firstLine="709"/>
        <w:jc w:val="both"/>
        <w:rPr>
          <w:rFonts w:ascii="Times New Roman" w:hAnsi="Times New Roman" w:eastAsia="Times New Roman" w:cs="Times New Roman"/>
          <w:sz w:val="28"/>
          <w:szCs w:val="20"/>
          <w:lang w:eastAsia="ru-RU"/>
        </w:rPr>
      </w:pPr>
      <w:r>
        <w:rPr>
          <w:rFonts w:eastAsia="Times New Roman" w:cs="Times New Roman" w:ascii="Times New Roman" w:hAnsi="Times New Roman"/>
          <w:sz w:val="28"/>
          <w:szCs w:val="20"/>
          <w:lang w:eastAsia="ru-RU"/>
        </w:rPr>
      </w:r>
    </w:p>
    <w:p>
      <w:pPr>
        <w:pStyle w:val="Style30"/>
        <w:spacing w:lineRule="auto" w:line="240" w:before="0" w:after="0"/>
        <w:ind w:firstLine="567"/>
        <w:jc w:val="both"/>
        <w:rPr>
          <w:rFonts w:ascii="Times New Roman" w:hAnsi="Times New Roman" w:eastAsia="Times New Roman" w:cs="Times New Roman"/>
          <w:sz w:val="28"/>
          <w:szCs w:val="20"/>
          <w:lang w:eastAsia="ru-RU"/>
        </w:rPr>
      </w:pPr>
      <w:r>
        <w:rPr>
          <w:rFonts w:eastAsia="Times New Roman" w:cs="Times New Roman" w:ascii="Times New Roman" w:hAnsi="Times New Roman"/>
          <w:sz w:val="28"/>
          <w:szCs w:val="20"/>
          <w:lang w:eastAsia="ru-RU"/>
        </w:rPr>
        <w:t>Следует отметить, что Куйбышевское водохранилище оказывает следующее влияние на микроклимат прибрежной зоны (4-5 км):</w:t>
      </w:r>
    </w:p>
    <w:p>
      <w:pPr>
        <w:pStyle w:val="Style91"/>
        <w:numPr>
          <w:ilvl w:val="0"/>
          <w:numId w:val="29"/>
        </w:numPr>
        <w:ind w:firstLine="567"/>
        <w:rPr/>
      </w:pPr>
      <w:r>
        <w:rPr/>
        <w:t>увеличивается среднемесячная скорость ветра до 6,2 м/с в декабре-январе и до 5,5 м/с – в июле;</w:t>
      </w:r>
    </w:p>
    <w:p>
      <w:pPr>
        <w:pStyle w:val="Style91"/>
        <w:numPr>
          <w:ilvl w:val="0"/>
          <w:numId w:val="29"/>
        </w:numPr>
        <w:ind w:firstLine="567"/>
        <w:rPr/>
      </w:pPr>
      <w:r>
        <w:rPr/>
        <w:t>увеличивается повторяемость ливневых дождей.</w:t>
      </w:r>
    </w:p>
    <w:p>
      <w:pPr>
        <w:pStyle w:val="Style30"/>
        <w:spacing w:lineRule="auto" w:line="240" w:before="0" w:after="0"/>
        <w:ind w:firstLine="567"/>
        <w:jc w:val="both"/>
        <w:rPr>
          <w:rFonts w:ascii="Times New Roman" w:hAnsi="Times New Roman" w:eastAsia="Times New Roman" w:cs="Times New Roman"/>
          <w:sz w:val="28"/>
          <w:szCs w:val="20"/>
          <w:lang w:eastAsia="ru-RU"/>
        </w:rPr>
      </w:pPr>
      <w:r>
        <w:rPr>
          <w:rFonts w:eastAsia="Times New Roman" w:cs="Times New Roman" w:ascii="Times New Roman" w:hAnsi="Times New Roman"/>
          <w:sz w:val="28"/>
          <w:szCs w:val="20"/>
          <w:lang w:eastAsia="ru-RU"/>
        </w:rPr>
        <w:t>Согласно Схеме территориального планирования Республики Татарстан Верхнеуслонский муниципальный район располагается в зоне умеренного метеорологического потенциала загрязнения атмосферы, то есть здесь создаются равновесные условия как для рассеивания, так и для накопления выбросов.</w:t>
      </w:r>
    </w:p>
    <w:p>
      <w:pPr>
        <w:pStyle w:val="Style30"/>
        <w:spacing w:lineRule="auto" w:line="240" w:before="0" w:after="0"/>
        <w:ind w:firstLine="567"/>
        <w:jc w:val="both"/>
        <w:rPr>
          <w:rFonts w:ascii="Times New Roman" w:hAnsi="Times New Roman" w:eastAsia="Times New Roman" w:cs="Times New Roman"/>
          <w:sz w:val="28"/>
          <w:szCs w:val="20"/>
          <w:lang w:eastAsia="ru-RU"/>
        </w:rPr>
      </w:pPr>
      <w:r>
        <w:rPr>
          <w:rFonts w:eastAsia="Times New Roman" w:cs="Times New Roman" w:ascii="Times New Roman" w:hAnsi="Times New Roman"/>
          <w:sz w:val="28"/>
          <w:szCs w:val="20"/>
          <w:lang w:eastAsia="ru-RU"/>
        </w:rPr>
        <w:t>Параметры, определяющие потенциал загрязнения атмосферы:</w:t>
      </w:r>
    </w:p>
    <w:p>
      <w:pPr>
        <w:pStyle w:val="Style91"/>
        <w:numPr>
          <w:ilvl w:val="0"/>
          <w:numId w:val="29"/>
        </w:numPr>
        <w:rPr/>
      </w:pPr>
      <w:r>
        <w:rPr/>
        <w:t>повторяемость приземных инверсий – 46 %;</w:t>
      </w:r>
    </w:p>
    <w:p>
      <w:pPr>
        <w:pStyle w:val="Style91"/>
        <w:numPr>
          <w:ilvl w:val="0"/>
          <w:numId w:val="29"/>
        </w:numPr>
        <w:rPr/>
      </w:pPr>
      <w:r>
        <w:rPr/>
        <w:t>мощность приземных инверсий – 0,32 км;</w:t>
      </w:r>
    </w:p>
    <w:p>
      <w:pPr>
        <w:pStyle w:val="Style91"/>
        <w:numPr>
          <w:ilvl w:val="0"/>
          <w:numId w:val="29"/>
        </w:numPr>
        <w:rPr/>
      </w:pPr>
      <w:r>
        <w:rPr/>
        <w:t>продолжительность туманов составляет 60 ч.</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2"/>
        <w:numPr>
          <w:ilvl w:val="1"/>
          <w:numId w:val="24"/>
        </w:numPr>
        <w:spacing w:lineRule="auto" w:line="240" w:before="0" w:after="0"/>
        <w:ind w:left="357" w:hanging="357"/>
        <w:jc w:val="center"/>
        <w:rPr>
          <w:rFonts w:ascii="Times New Roman" w:hAnsi="Times New Roman" w:cs="Times New Roman"/>
          <w:b/>
          <w:color w:val="auto"/>
          <w:sz w:val="28"/>
          <w:szCs w:val="28"/>
        </w:rPr>
      </w:pPr>
      <w:bookmarkStart w:id="115" w:name="_Toc57443760"/>
      <w:bookmarkStart w:id="116" w:name="_Toc147740042"/>
      <w:r>
        <w:rPr>
          <w:rFonts w:cs="Times New Roman" w:ascii="Times New Roman" w:hAnsi="Times New Roman"/>
          <w:b/>
          <w:color w:val="auto"/>
          <w:sz w:val="28"/>
          <w:szCs w:val="28"/>
        </w:rPr>
        <w:t>Ландшафты, почвенный покров, животный и растительный мир</w:t>
      </w:r>
      <w:bookmarkEnd w:id="115"/>
      <w:bookmarkEnd w:id="116"/>
    </w:p>
    <w:p>
      <w:pPr>
        <w:pStyle w:val="Normal"/>
        <w:rPr/>
      </w:pPr>
      <w:r>
        <w:rPr/>
      </w:r>
    </w:p>
    <w:p>
      <w:pPr>
        <w:pStyle w:val="Normal"/>
        <w:spacing w:lineRule="auto" w:line="240" w:before="0" w:after="0"/>
        <w:ind w:firstLine="709"/>
        <w:contextualSpacing/>
        <w:jc w:val="center"/>
        <w:rPr>
          <w:rFonts w:ascii="Times New Roman" w:hAnsi="Times New Roman" w:eastAsia="Times New Roman" w:cs="Times New Roman"/>
          <w:b/>
          <w:sz w:val="28"/>
          <w:szCs w:val="20"/>
          <w:lang w:eastAsia="ru-RU"/>
        </w:rPr>
      </w:pPr>
      <w:r>
        <w:rPr>
          <w:rFonts w:eastAsia="Times New Roman" w:cs="Times New Roman" w:ascii="Times New Roman" w:hAnsi="Times New Roman"/>
          <w:b/>
          <w:sz w:val="28"/>
          <w:szCs w:val="20"/>
          <w:lang w:eastAsia="ru-RU"/>
        </w:rPr>
        <w:t>Ландшафты</w:t>
      </w:r>
    </w:p>
    <w:p>
      <w:pPr>
        <w:pStyle w:val="Normal"/>
        <w:widowControl w:val="false"/>
        <w:suppressAutoHyphens w:val="true"/>
        <w:spacing w:lineRule="auto" w:line="240" w:before="0" w:after="0"/>
        <w:ind w:firstLine="709"/>
        <w:jc w:val="both"/>
        <w:rPr>
          <w:rFonts w:ascii="Times New Roman" w:hAnsi="Times New Roman" w:eastAsia="Times New Roman" w:cs="Times New Roman"/>
          <w:sz w:val="28"/>
          <w:szCs w:val="20"/>
          <w:lang w:eastAsia="ru-RU"/>
        </w:rPr>
      </w:pPr>
      <w:r>
        <w:rPr>
          <w:rFonts w:eastAsia="Times New Roman" w:cs="Times New Roman" w:ascii="Times New Roman" w:hAnsi="Times New Roman"/>
          <w:sz w:val="28"/>
          <w:szCs w:val="20"/>
          <w:lang w:eastAsia="ru-RU"/>
        </w:rPr>
        <w:t xml:space="preserve">Сельское поселение расположено в пределах суббореальной северной семигумидной ландшафтной зоны, широколиственной ландшафтой подзоны, Волго-Свияжского ландшафтного района. </w:t>
      </w:r>
    </w:p>
    <w:p>
      <w:pPr>
        <w:pStyle w:val="Normal"/>
        <w:widowControl w:val="false"/>
        <w:suppressAutoHyphens w:val="true"/>
        <w:spacing w:lineRule="auto" w:line="240" w:before="0" w:after="0"/>
        <w:ind w:firstLine="709"/>
        <w:jc w:val="both"/>
        <w:rPr>
          <w:rFonts w:ascii="Times New Roman" w:hAnsi="Times New Roman" w:eastAsia="Times New Roman" w:cs="Times New Roman"/>
          <w:sz w:val="28"/>
          <w:szCs w:val="20"/>
          <w:lang w:eastAsia="ru-RU"/>
        </w:rPr>
      </w:pPr>
      <w:r>
        <w:rPr>
          <w:rFonts w:eastAsia="Times New Roman" w:cs="Times New Roman" w:ascii="Times New Roman" w:hAnsi="Times New Roman"/>
          <w:sz w:val="28"/>
          <w:szCs w:val="20"/>
          <w:lang w:eastAsia="ru-RU"/>
        </w:rPr>
        <w:t xml:space="preserve">Волго-Свияжский ландшафтный район является возвышенным со Среднерусско-волжскими широколиственными (липово-дубовыми) неморальнотравяными лесами на серых и светло-серых лесных почвах. </w:t>
      </w:r>
    </w:p>
    <w:p>
      <w:pPr>
        <w:pStyle w:val="Normal"/>
        <w:widowControl w:val="false"/>
        <w:suppressAutoHyphens w:val="true"/>
        <w:spacing w:lineRule="auto" w:line="240" w:before="0" w:after="0"/>
        <w:ind w:firstLine="709"/>
        <w:jc w:val="both"/>
        <w:rPr>
          <w:rFonts w:ascii="Times New Roman" w:hAnsi="Times New Roman" w:eastAsia="Times New Roman" w:cs="Times New Roman"/>
          <w:sz w:val="28"/>
          <w:szCs w:val="20"/>
          <w:lang w:eastAsia="ru-RU"/>
        </w:rPr>
      </w:pPr>
      <w:r>
        <w:rPr>
          <w:rFonts w:eastAsia="Times New Roman" w:cs="Times New Roman" w:ascii="Times New Roman" w:hAnsi="Times New Roman"/>
          <w:sz w:val="28"/>
          <w:szCs w:val="20"/>
          <w:lang w:eastAsia="ru-RU"/>
        </w:rPr>
        <w:t>Доминирующими типами местности являются склоновые ландшафты.</w:t>
      </w:r>
    </w:p>
    <w:p>
      <w:pPr>
        <w:pStyle w:val="Normal"/>
        <w:widowControl w:val="false"/>
        <w:suppressAutoHyphens w:val="true"/>
        <w:spacing w:lineRule="auto" w:line="240" w:before="0" w:after="0"/>
        <w:ind w:firstLine="709"/>
        <w:jc w:val="both"/>
        <w:rPr>
          <w:rFonts w:ascii="Times New Roman" w:hAnsi="Times New Roman" w:eastAsia="Times New Roman" w:cs="Times New Roman"/>
          <w:sz w:val="28"/>
          <w:szCs w:val="20"/>
          <w:lang w:eastAsia="ru-RU"/>
        </w:rPr>
      </w:pPr>
      <w:r>
        <w:rPr>
          <w:rFonts w:eastAsia="Times New Roman" w:cs="Times New Roman" w:ascii="Times New Roman" w:hAnsi="Times New Roman"/>
          <w:sz w:val="28"/>
          <w:szCs w:val="20"/>
          <w:lang w:eastAsia="ru-RU"/>
        </w:rPr>
      </w:r>
    </w:p>
    <w:p>
      <w:pPr>
        <w:pStyle w:val="Style38"/>
        <w:spacing w:before="0" w:after="0"/>
        <w:ind w:firstLine="709"/>
        <w:contextualSpacing/>
        <w:jc w:val="center"/>
        <w:rPr>
          <w:b/>
          <w:szCs w:val="28"/>
        </w:rPr>
      </w:pPr>
      <w:r>
        <w:rPr>
          <w:b/>
          <w:szCs w:val="28"/>
        </w:rPr>
        <w:t>Почвенный покров</w:t>
      </w:r>
    </w:p>
    <w:p>
      <w:pPr>
        <w:pStyle w:val="Normal"/>
        <w:spacing w:lineRule="auto" w:line="240" w:before="0" w:after="0"/>
        <w:ind w:firstLine="709"/>
        <w:jc w:val="both"/>
        <w:rPr>
          <w:rFonts w:ascii="Times New Roman" w:hAnsi="Times New Roman" w:eastAsia="Times New Roman" w:cs="Arial"/>
          <w:sz w:val="28"/>
          <w:szCs w:val="20"/>
          <w:lang w:eastAsia="ru-RU"/>
        </w:rPr>
      </w:pPr>
      <w:r>
        <w:rPr>
          <w:rFonts w:eastAsia="Times New Roman" w:cs="Arial" w:ascii="Times New Roman" w:hAnsi="Times New Roman"/>
          <w:sz w:val="28"/>
          <w:szCs w:val="20"/>
          <w:lang w:eastAsia="ru-RU"/>
        </w:rPr>
        <w:t xml:space="preserve">Согласно информации ИС Почвенно-географической базы данных России (https://soil-db.ru/), территория поселения расположена в границах Среднерусской широколиственной-лесной провинции серых лесных почв, зоне серых лесных почв лиственных лесов. Основной почвенный покров территории представлен серыми лесными остаточно-карбонатными почвами. Сопутствующие почвы представлены светло-серыми лесными, серыми лесными и дерново-карбонатными (включая выщелоченные оподзоленные) почвами. </w:t>
      </w:r>
    </w:p>
    <w:p>
      <w:pPr>
        <w:pStyle w:val="Normal"/>
        <w:spacing w:lineRule="auto" w:line="240" w:before="0" w:after="0"/>
        <w:ind w:firstLine="709"/>
        <w:jc w:val="both"/>
        <w:rPr>
          <w:rFonts w:ascii="Times New Roman" w:hAnsi="Times New Roman" w:eastAsia="Times New Roman" w:cs="Arial"/>
          <w:sz w:val="28"/>
          <w:szCs w:val="20"/>
          <w:lang w:eastAsia="ru-RU"/>
        </w:rPr>
      </w:pPr>
      <w:r>
        <w:rPr>
          <w:rFonts w:eastAsia="Times New Roman" w:cs="Arial" w:ascii="Times New Roman" w:hAnsi="Times New Roman"/>
          <w:sz w:val="28"/>
          <w:szCs w:val="20"/>
          <w:lang w:eastAsia="ru-RU"/>
        </w:rPr>
        <w:t xml:space="preserve">Основными породами территории являются глинистые и тяжелосуглинистые породы. Сопутствующие породы представлены известняками и другими карбонатными породами. </w:t>
      </w:r>
    </w:p>
    <w:p>
      <w:pPr>
        <w:pStyle w:val="Normal"/>
        <w:spacing w:lineRule="auto" w:line="240" w:before="0" w:after="0"/>
        <w:ind w:firstLine="709"/>
        <w:jc w:val="center"/>
        <w:rPr>
          <w:rFonts w:ascii="Times New Roman" w:hAnsi="Times New Roman" w:eastAsia="Times New Roman" w:cs="Arial"/>
          <w:b/>
          <w:sz w:val="28"/>
          <w:szCs w:val="20"/>
          <w:lang w:eastAsia="ru-RU"/>
        </w:rPr>
      </w:pPr>
      <w:r>
        <w:rPr>
          <w:rFonts w:eastAsia="Times New Roman" w:cs="Arial" w:ascii="Times New Roman" w:hAnsi="Times New Roman"/>
          <w:b/>
          <w:sz w:val="28"/>
          <w:szCs w:val="20"/>
          <w:lang w:eastAsia="ru-RU"/>
        </w:rPr>
        <w:t>Животный и растительный мир</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Растительность территории представлена лесными насаждениями, лугами, кустарниковыми зарослями и сельскохозяйственными угодьями. Основными лесообразующими породами являются: сосна, ель, дуб, липа, береза, осина. Значительная часть площадей занята посевными растениями (сорнополевые и культурные виды).</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Лесная растительность представлена преимущественно дубовыми и липово-дубовыми неморальнотравяными лесами с участием в покрове бореальных элементов.</w:t>
      </w:r>
    </w:p>
    <w:p>
      <w:pPr>
        <w:pStyle w:val="Normal"/>
        <w:spacing w:lineRule="auto" w:line="240" w:before="0" w:after="0"/>
        <w:ind w:firstLine="709"/>
        <w:jc w:val="both"/>
        <w:rPr>
          <w:rFonts w:ascii="Times New Roman" w:hAnsi="Times New Roman" w:cs="Times New Roman"/>
          <w:sz w:val="28"/>
          <w:szCs w:val="28"/>
          <w:highlight w:val="yellow"/>
        </w:rPr>
      </w:pPr>
      <w:r>
        <w:rPr>
          <w:rFonts w:cs="Times New Roman" w:ascii="Times New Roman" w:hAnsi="Times New Roman"/>
          <w:sz w:val="28"/>
          <w:szCs w:val="28"/>
        </w:rPr>
        <w:t>Луговая растительность на склоновых участках представлена разнотравно-полевицевыми лугами на песках, на нижних частях склонов – типчаковыми степно-разнотравными лугами, в поймах рек – типчаковыми степно-разнотравными лугами с ковылем.</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Географическое положение территории определяет характер фауны. Встречаются таежные представители: глухарь, рябчик, белка, иногда медведь. Обычными являются многие типично степные животные (суслики, стрепет, дрофа). Встречаются и животные широколиственных лесов (кабан, косуля и т. д.). </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Большим числом видов представлены млекопитающие и птицы. В лесах обитают заяц-беляк, куница, черный хорь, барсук, американская норка, крот, рысь, волк.</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Широко представлены следующие виды птиц: зяблик, иволга, певчий дрозд, дрозд-деряба, вертишейка, соловей, горлинка, вихирь, ястреб-перепелятник, ястреб-тетеревятник, тетерев, глухарь. По берегам водохранилища на высоких деревьях гнездятся черный коршун, пустельга, копчик, серая цапля.</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На территории встречаются редкие и находящихся под угрозой исчезновения 70 видов животных, занесенных в Красную книгу Республики Татарстан, а именно:</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Класс Млекопитающие – 14 видов: кутора обыкновенная, ночница водяная</w:t>
      </w:r>
      <w:r>
        <w:rPr>
          <w:rFonts w:cs="Times New Roman" w:ascii="Times New Roman" w:hAnsi="Times New Roman"/>
          <w:i/>
          <w:sz w:val="28"/>
          <w:szCs w:val="28"/>
        </w:rPr>
        <w:t xml:space="preserve">, </w:t>
      </w:r>
      <w:r>
        <w:rPr>
          <w:rFonts w:cs="Times New Roman" w:ascii="Times New Roman" w:hAnsi="Times New Roman"/>
          <w:sz w:val="28"/>
          <w:szCs w:val="28"/>
        </w:rPr>
        <w:t>ночница Наттерера</w:t>
      </w:r>
      <w:r>
        <w:rPr>
          <w:rFonts w:cs="Times New Roman" w:ascii="Times New Roman" w:hAnsi="Times New Roman"/>
          <w:i/>
          <w:sz w:val="28"/>
          <w:szCs w:val="28"/>
        </w:rPr>
        <w:t xml:space="preserve">, </w:t>
      </w:r>
      <w:r>
        <w:rPr>
          <w:rFonts w:cs="Times New Roman" w:ascii="Times New Roman" w:hAnsi="Times New Roman"/>
          <w:sz w:val="28"/>
          <w:szCs w:val="28"/>
        </w:rPr>
        <w:t>ночница прудовая</w:t>
      </w:r>
      <w:r>
        <w:rPr>
          <w:rFonts w:cs="Times New Roman" w:ascii="Times New Roman" w:hAnsi="Times New Roman"/>
          <w:i/>
          <w:sz w:val="28"/>
          <w:szCs w:val="28"/>
        </w:rPr>
        <w:t xml:space="preserve">, </w:t>
      </w:r>
      <w:r>
        <w:rPr>
          <w:rFonts w:cs="Times New Roman" w:ascii="Times New Roman" w:hAnsi="Times New Roman"/>
          <w:sz w:val="28"/>
          <w:szCs w:val="28"/>
        </w:rPr>
        <w:t>ушан бурый, вечерница гигантская, кожан северный,</w:t>
      </w:r>
      <w:r>
        <w:rPr>
          <w:rFonts w:cs="Times New Roman" w:ascii="Times New Roman" w:hAnsi="Times New Roman"/>
          <w:i/>
          <w:sz w:val="28"/>
          <w:szCs w:val="28"/>
        </w:rPr>
        <w:t xml:space="preserve"> </w:t>
      </w:r>
      <w:r>
        <w:rPr>
          <w:rFonts w:cs="Times New Roman" w:ascii="Times New Roman" w:hAnsi="Times New Roman"/>
          <w:sz w:val="28"/>
          <w:szCs w:val="28"/>
        </w:rPr>
        <w:t>кожан двухцветный, суслик крапчатый,</w:t>
      </w:r>
      <w:r>
        <w:rPr>
          <w:rFonts w:cs="Times New Roman" w:ascii="Times New Roman" w:hAnsi="Times New Roman"/>
          <w:i/>
          <w:sz w:val="28"/>
          <w:szCs w:val="28"/>
        </w:rPr>
        <w:t xml:space="preserve"> </w:t>
      </w:r>
      <w:r>
        <w:rPr>
          <w:rFonts w:cs="Times New Roman" w:ascii="Times New Roman" w:hAnsi="Times New Roman"/>
          <w:sz w:val="28"/>
          <w:szCs w:val="28"/>
        </w:rPr>
        <w:t>полчок,</w:t>
      </w:r>
      <w:r>
        <w:rPr>
          <w:rFonts w:cs="Times New Roman" w:ascii="Times New Roman" w:hAnsi="Times New Roman"/>
          <w:i/>
          <w:sz w:val="28"/>
          <w:szCs w:val="28"/>
        </w:rPr>
        <w:t xml:space="preserve"> </w:t>
      </w:r>
      <w:r>
        <w:rPr>
          <w:rFonts w:cs="Times New Roman" w:ascii="Times New Roman" w:hAnsi="Times New Roman"/>
          <w:sz w:val="28"/>
          <w:szCs w:val="28"/>
        </w:rPr>
        <w:t>мышовка лесная,</w:t>
      </w:r>
      <w:r>
        <w:rPr>
          <w:rFonts w:cs="Times New Roman" w:ascii="Times New Roman" w:hAnsi="Times New Roman"/>
          <w:i/>
          <w:sz w:val="28"/>
          <w:szCs w:val="28"/>
        </w:rPr>
        <w:t xml:space="preserve"> </w:t>
      </w:r>
      <w:r>
        <w:rPr>
          <w:rFonts w:cs="Times New Roman" w:ascii="Times New Roman" w:hAnsi="Times New Roman"/>
          <w:sz w:val="28"/>
          <w:szCs w:val="28"/>
        </w:rPr>
        <w:t>хомячок серый,</w:t>
      </w:r>
      <w:r>
        <w:rPr>
          <w:rFonts w:cs="Times New Roman" w:ascii="Times New Roman" w:hAnsi="Times New Roman"/>
          <w:i/>
          <w:sz w:val="28"/>
          <w:szCs w:val="28"/>
        </w:rPr>
        <w:t xml:space="preserve"> </w:t>
      </w:r>
      <w:r>
        <w:rPr>
          <w:rFonts w:cs="Times New Roman" w:ascii="Times New Roman" w:hAnsi="Times New Roman"/>
          <w:sz w:val="28"/>
          <w:szCs w:val="28"/>
        </w:rPr>
        <w:t>тушканчик большой, куница каменная.</w:t>
      </w:r>
    </w:p>
    <w:p>
      <w:pPr>
        <w:pStyle w:val="Normal"/>
        <w:spacing w:lineRule="auto" w:line="240" w:before="0" w:after="0"/>
        <w:ind w:firstLine="709"/>
        <w:jc w:val="both"/>
        <w:rPr>
          <w:rFonts w:ascii="Times New Roman" w:hAnsi="Times New Roman" w:cs="Times New Roman"/>
          <w:i/>
          <w:i/>
          <w:sz w:val="28"/>
          <w:szCs w:val="28"/>
        </w:rPr>
      </w:pPr>
      <w:r>
        <w:rPr>
          <w:rFonts w:cs="Times New Roman" w:ascii="Times New Roman" w:hAnsi="Times New Roman"/>
          <w:sz w:val="28"/>
          <w:szCs w:val="28"/>
        </w:rPr>
        <w:t>Класс Птицы – 25 видов:</w:t>
      </w:r>
      <w:r>
        <w:rPr>
          <w:rFonts w:cs="Times New Roman" w:ascii="Times New Roman" w:hAnsi="Times New Roman"/>
          <w:i/>
          <w:sz w:val="28"/>
          <w:szCs w:val="28"/>
        </w:rPr>
        <w:t xml:space="preserve"> </w:t>
      </w:r>
      <w:r>
        <w:rPr>
          <w:rFonts w:cs="Times New Roman" w:ascii="Times New Roman" w:hAnsi="Times New Roman"/>
          <w:sz w:val="28"/>
          <w:szCs w:val="28"/>
        </w:rPr>
        <w:t>гусь серый</w:t>
      </w:r>
      <w:r>
        <w:rPr>
          <w:rFonts w:cs="Times New Roman" w:ascii="Times New Roman" w:hAnsi="Times New Roman"/>
          <w:i/>
          <w:sz w:val="28"/>
          <w:szCs w:val="28"/>
        </w:rPr>
        <w:t xml:space="preserve">, </w:t>
      </w:r>
      <w:r>
        <w:rPr>
          <w:rFonts w:cs="Times New Roman" w:ascii="Times New Roman" w:hAnsi="Times New Roman"/>
          <w:sz w:val="28"/>
          <w:szCs w:val="28"/>
        </w:rPr>
        <w:t>лебедь-шипун</w:t>
      </w:r>
      <w:r>
        <w:rPr>
          <w:rFonts w:cs="Times New Roman" w:ascii="Times New Roman" w:hAnsi="Times New Roman"/>
          <w:i/>
          <w:sz w:val="28"/>
          <w:szCs w:val="28"/>
        </w:rPr>
        <w:t xml:space="preserve">, </w:t>
      </w:r>
      <w:r>
        <w:rPr>
          <w:rFonts w:cs="Times New Roman" w:ascii="Times New Roman" w:hAnsi="Times New Roman"/>
          <w:sz w:val="28"/>
          <w:szCs w:val="28"/>
        </w:rPr>
        <w:t>скопа</w:t>
      </w:r>
      <w:r>
        <w:rPr>
          <w:rFonts w:cs="Times New Roman" w:ascii="Times New Roman" w:hAnsi="Times New Roman"/>
          <w:i/>
          <w:sz w:val="28"/>
          <w:szCs w:val="28"/>
        </w:rPr>
        <w:t xml:space="preserve">, </w:t>
      </w:r>
      <w:r>
        <w:rPr>
          <w:rFonts w:cs="Times New Roman" w:ascii="Times New Roman" w:hAnsi="Times New Roman"/>
          <w:sz w:val="28"/>
          <w:szCs w:val="28"/>
        </w:rPr>
        <w:t>лунь полевой</w:t>
      </w:r>
      <w:r>
        <w:rPr>
          <w:rFonts w:cs="Times New Roman" w:ascii="Times New Roman" w:hAnsi="Times New Roman"/>
          <w:i/>
          <w:sz w:val="28"/>
          <w:szCs w:val="28"/>
        </w:rPr>
        <w:t xml:space="preserve">, </w:t>
      </w:r>
      <w:r>
        <w:rPr>
          <w:rFonts w:cs="Times New Roman" w:ascii="Times New Roman" w:hAnsi="Times New Roman"/>
          <w:sz w:val="28"/>
          <w:szCs w:val="28"/>
        </w:rPr>
        <w:t>лунь степной</w:t>
      </w:r>
      <w:r>
        <w:rPr>
          <w:rFonts w:cs="Times New Roman" w:ascii="Times New Roman" w:hAnsi="Times New Roman"/>
          <w:i/>
          <w:sz w:val="28"/>
          <w:szCs w:val="28"/>
        </w:rPr>
        <w:t xml:space="preserve">, </w:t>
      </w:r>
      <w:r>
        <w:rPr>
          <w:rFonts w:cs="Times New Roman" w:ascii="Times New Roman" w:hAnsi="Times New Roman"/>
          <w:sz w:val="28"/>
          <w:szCs w:val="28"/>
        </w:rPr>
        <w:t>лунь луговой</w:t>
      </w:r>
      <w:r>
        <w:rPr>
          <w:rFonts w:cs="Times New Roman" w:ascii="Times New Roman" w:hAnsi="Times New Roman"/>
          <w:i/>
          <w:sz w:val="28"/>
          <w:szCs w:val="28"/>
        </w:rPr>
        <w:t xml:space="preserve">, </w:t>
      </w:r>
      <w:r>
        <w:rPr>
          <w:rFonts w:cs="Times New Roman" w:ascii="Times New Roman" w:hAnsi="Times New Roman"/>
          <w:sz w:val="28"/>
          <w:szCs w:val="28"/>
        </w:rPr>
        <w:t>осоед обыкновенный</w:t>
      </w:r>
      <w:r>
        <w:rPr>
          <w:rFonts w:cs="Times New Roman" w:ascii="Times New Roman" w:hAnsi="Times New Roman"/>
          <w:i/>
          <w:sz w:val="28"/>
          <w:szCs w:val="28"/>
        </w:rPr>
        <w:t xml:space="preserve">, </w:t>
      </w:r>
      <w:r>
        <w:rPr>
          <w:rFonts w:cs="Times New Roman" w:ascii="Times New Roman" w:hAnsi="Times New Roman"/>
          <w:sz w:val="28"/>
          <w:szCs w:val="28"/>
        </w:rPr>
        <w:t>орел-карлик</w:t>
      </w:r>
      <w:r>
        <w:rPr>
          <w:rFonts w:cs="Times New Roman" w:ascii="Times New Roman" w:hAnsi="Times New Roman"/>
          <w:i/>
          <w:sz w:val="28"/>
          <w:szCs w:val="28"/>
        </w:rPr>
        <w:t xml:space="preserve">, </w:t>
      </w:r>
      <w:r>
        <w:rPr>
          <w:rFonts w:cs="Times New Roman" w:ascii="Times New Roman" w:hAnsi="Times New Roman"/>
          <w:sz w:val="28"/>
          <w:szCs w:val="28"/>
        </w:rPr>
        <w:t>подорлик большой, орлан-белохвост</w:t>
      </w:r>
      <w:r>
        <w:rPr>
          <w:rFonts w:cs="Times New Roman" w:ascii="Times New Roman" w:hAnsi="Times New Roman"/>
          <w:i/>
          <w:sz w:val="28"/>
          <w:szCs w:val="28"/>
        </w:rPr>
        <w:t xml:space="preserve">, </w:t>
      </w:r>
      <w:r>
        <w:rPr>
          <w:rFonts w:cs="Times New Roman" w:ascii="Times New Roman" w:hAnsi="Times New Roman"/>
          <w:sz w:val="28"/>
          <w:szCs w:val="28"/>
        </w:rPr>
        <w:t>балобан</w:t>
      </w:r>
      <w:r>
        <w:rPr>
          <w:rFonts w:cs="Times New Roman" w:ascii="Times New Roman" w:hAnsi="Times New Roman"/>
          <w:i/>
          <w:sz w:val="28"/>
          <w:szCs w:val="28"/>
        </w:rPr>
        <w:t xml:space="preserve">, </w:t>
      </w:r>
      <w:r>
        <w:rPr>
          <w:rFonts w:cs="Times New Roman" w:ascii="Times New Roman" w:hAnsi="Times New Roman"/>
          <w:sz w:val="28"/>
          <w:szCs w:val="28"/>
        </w:rPr>
        <w:t>сапсан</w:t>
      </w:r>
      <w:r>
        <w:rPr>
          <w:rFonts w:cs="Times New Roman" w:ascii="Times New Roman" w:hAnsi="Times New Roman"/>
          <w:i/>
          <w:sz w:val="28"/>
          <w:szCs w:val="28"/>
        </w:rPr>
        <w:t xml:space="preserve">, </w:t>
      </w:r>
      <w:r>
        <w:rPr>
          <w:rFonts w:cs="Times New Roman" w:ascii="Times New Roman" w:hAnsi="Times New Roman"/>
          <w:sz w:val="28"/>
          <w:szCs w:val="28"/>
        </w:rPr>
        <w:t>дербник</w:t>
      </w:r>
      <w:r>
        <w:rPr>
          <w:rFonts w:cs="Times New Roman" w:ascii="Times New Roman" w:hAnsi="Times New Roman"/>
          <w:i/>
          <w:sz w:val="28"/>
          <w:szCs w:val="28"/>
        </w:rPr>
        <w:t xml:space="preserve">, </w:t>
      </w:r>
      <w:r>
        <w:rPr>
          <w:rFonts w:cs="Times New Roman" w:ascii="Times New Roman" w:hAnsi="Times New Roman"/>
          <w:sz w:val="28"/>
          <w:szCs w:val="28"/>
        </w:rPr>
        <w:t>кобчик</w:t>
      </w:r>
      <w:r>
        <w:rPr>
          <w:rFonts w:cs="Times New Roman" w:ascii="Times New Roman" w:hAnsi="Times New Roman"/>
          <w:i/>
          <w:sz w:val="28"/>
          <w:szCs w:val="28"/>
        </w:rPr>
        <w:t xml:space="preserve">, </w:t>
      </w:r>
      <w:r>
        <w:rPr>
          <w:rFonts w:cs="Times New Roman" w:ascii="Times New Roman" w:hAnsi="Times New Roman"/>
          <w:sz w:val="28"/>
          <w:szCs w:val="28"/>
        </w:rPr>
        <w:t>пустельга обыкновенная</w:t>
      </w:r>
      <w:r>
        <w:rPr>
          <w:rFonts w:cs="Times New Roman" w:ascii="Times New Roman" w:hAnsi="Times New Roman"/>
          <w:i/>
          <w:sz w:val="28"/>
          <w:szCs w:val="28"/>
        </w:rPr>
        <w:t xml:space="preserve">, </w:t>
      </w:r>
      <w:r>
        <w:rPr>
          <w:rFonts w:cs="Times New Roman" w:ascii="Times New Roman" w:hAnsi="Times New Roman"/>
          <w:sz w:val="28"/>
          <w:szCs w:val="28"/>
        </w:rPr>
        <w:t>хохотун черноголовый</w:t>
      </w:r>
      <w:r>
        <w:rPr>
          <w:rFonts w:cs="Times New Roman" w:ascii="Times New Roman" w:hAnsi="Times New Roman"/>
          <w:i/>
          <w:sz w:val="28"/>
          <w:szCs w:val="28"/>
        </w:rPr>
        <w:t xml:space="preserve">, </w:t>
      </w:r>
      <w:r>
        <w:rPr>
          <w:rFonts w:cs="Times New Roman" w:ascii="Times New Roman" w:hAnsi="Times New Roman"/>
          <w:sz w:val="28"/>
          <w:szCs w:val="28"/>
        </w:rPr>
        <w:t>клинтух</w:t>
      </w:r>
      <w:r>
        <w:rPr>
          <w:rFonts w:cs="Times New Roman" w:ascii="Times New Roman" w:hAnsi="Times New Roman"/>
          <w:i/>
          <w:sz w:val="28"/>
          <w:szCs w:val="28"/>
        </w:rPr>
        <w:t xml:space="preserve">, </w:t>
      </w:r>
      <w:r>
        <w:rPr>
          <w:rFonts w:cs="Times New Roman" w:ascii="Times New Roman" w:hAnsi="Times New Roman"/>
          <w:sz w:val="28"/>
          <w:szCs w:val="28"/>
        </w:rPr>
        <w:t>горлица обыкновенная</w:t>
      </w:r>
      <w:r>
        <w:rPr>
          <w:rFonts w:cs="Times New Roman" w:ascii="Times New Roman" w:hAnsi="Times New Roman"/>
          <w:i/>
          <w:sz w:val="28"/>
          <w:szCs w:val="28"/>
        </w:rPr>
        <w:t xml:space="preserve">, </w:t>
      </w:r>
      <w:r>
        <w:rPr>
          <w:rFonts w:cs="Times New Roman" w:ascii="Times New Roman" w:hAnsi="Times New Roman"/>
          <w:sz w:val="28"/>
          <w:szCs w:val="28"/>
        </w:rPr>
        <w:t>сова белая</w:t>
      </w:r>
      <w:r>
        <w:rPr>
          <w:rFonts w:cs="Times New Roman" w:ascii="Times New Roman" w:hAnsi="Times New Roman"/>
          <w:i/>
          <w:sz w:val="28"/>
          <w:szCs w:val="28"/>
        </w:rPr>
        <w:t xml:space="preserve">, </w:t>
      </w:r>
      <w:r>
        <w:rPr>
          <w:rFonts w:cs="Times New Roman" w:ascii="Times New Roman" w:hAnsi="Times New Roman"/>
          <w:sz w:val="28"/>
          <w:szCs w:val="28"/>
        </w:rPr>
        <w:t>филин</w:t>
      </w:r>
      <w:r>
        <w:rPr>
          <w:rFonts w:cs="Times New Roman" w:ascii="Times New Roman" w:hAnsi="Times New Roman"/>
          <w:i/>
          <w:sz w:val="28"/>
          <w:szCs w:val="28"/>
        </w:rPr>
        <w:t xml:space="preserve">, </w:t>
      </w:r>
      <w:r>
        <w:rPr>
          <w:rFonts w:cs="Times New Roman" w:ascii="Times New Roman" w:hAnsi="Times New Roman"/>
          <w:sz w:val="28"/>
          <w:szCs w:val="28"/>
        </w:rPr>
        <w:t>неясыть серая</w:t>
      </w:r>
      <w:r>
        <w:rPr>
          <w:rFonts w:cs="Times New Roman" w:ascii="Times New Roman" w:hAnsi="Times New Roman"/>
          <w:i/>
          <w:sz w:val="28"/>
          <w:szCs w:val="28"/>
        </w:rPr>
        <w:t xml:space="preserve">, </w:t>
      </w:r>
      <w:r>
        <w:rPr>
          <w:rFonts w:cs="Times New Roman" w:ascii="Times New Roman" w:hAnsi="Times New Roman"/>
          <w:sz w:val="28"/>
          <w:szCs w:val="28"/>
        </w:rPr>
        <w:t>неясыть длиннохвостая</w:t>
      </w:r>
      <w:r>
        <w:rPr>
          <w:rFonts w:cs="Times New Roman" w:ascii="Times New Roman" w:hAnsi="Times New Roman"/>
          <w:i/>
          <w:sz w:val="28"/>
          <w:szCs w:val="28"/>
        </w:rPr>
        <w:t xml:space="preserve">, </w:t>
      </w:r>
      <w:r>
        <w:rPr>
          <w:rFonts w:cs="Times New Roman" w:ascii="Times New Roman" w:hAnsi="Times New Roman"/>
          <w:sz w:val="28"/>
          <w:szCs w:val="28"/>
        </w:rPr>
        <w:t>зимородок обыкновенный</w:t>
      </w:r>
      <w:r>
        <w:rPr>
          <w:rFonts w:cs="Times New Roman" w:ascii="Times New Roman" w:hAnsi="Times New Roman"/>
          <w:i/>
          <w:sz w:val="28"/>
          <w:szCs w:val="28"/>
        </w:rPr>
        <w:t xml:space="preserve">, </w:t>
      </w:r>
      <w:r>
        <w:rPr>
          <w:rFonts w:cs="Times New Roman" w:ascii="Times New Roman" w:hAnsi="Times New Roman"/>
          <w:sz w:val="28"/>
          <w:szCs w:val="28"/>
        </w:rPr>
        <w:t>дятел седой, дятел зеленый.</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Класс Рептилии – 2 вида: веретеница ломкая</w:t>
      </w:r>
      <w:r>
        <w:rPr>
          <w:rFonts w:cs="Times New Roman" w:ascii="Times New Roman" w:hAnsi="Times New Roman"/>
          <w:i/>
          <w:sz w:val="28"/>
          <w:szCs w:val="28"/>
        </w:rPr>
        <w:t xml:space="preserve">, </w:t>
      </w:r>
      <w:r>
        <w:rPr>
          <w:rFonts w:cs="Times New Roman" w:ascii="Times New Roman" w:hAnsi="Times New Roman"/>
          <w:sz w:val="28"/>
          <w:szCs w:val="28"/>
        </w:rPr>
        <w:t>медянка.</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Класс Рыбы – 2 вида: горчак европейский обыкновенный, подуст волжский;</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Беспозвоночные – 27 видов: тарантул русский, пилохвост восточный, скакун лесной,</w:t>
      </w:r>
      <w:r>
        <w:rPr>
          <w:rFonts w:cs="Times New Roman" w:ascii="Times New Roman" w:hAnsi="Times New Roman"/>
          <w:i/>
          <w:sz w:val="28"/>
          <w:szCs w:val="28"/>
        </w:rPr>
        <w:t xml:space="preserve"> </w:t>
      </w:r>
      <w:r>
        <w:rPr>
          <w:rFonts w:cs="Times New Roman" w:ascii="Times New Roman" w:hAnsi="Times New Roman"/>
          <w:sz w:val="28"/>
          <w:szCs w:val="28"/>
        </w:rPr>
        <w:t>красотел бронзовый</w:t>
      </w:r>
      <w:r>
        <w:rPr>
          <w:rFonts w:cs="Times New Roman" w:ascii="Times New Roman" w:hAnsi="Times New Roman"/>
          <w:i/>
          <w:sz w:val="28"/>
          <w:szCs w:val="28"/>
        </w:rPr>
        <w:t>,</w:t>
      </w:r>
      <w:r>
        <w:rPr>
          <w:rFonts w:cs="Times New Roman" w:ascii="Times New Roman" w:hAnsi="Times New Roman"/>
          <w:sz w:val="28"/>
          <w:szCs w:val="28"/>
        </w:rPr>
        <w:t xml:space="preserve"> жужелица таёжная, жужелица фиолетовая, жужелица Шонхерри,</w:t>
      </w:r>
      <w:r>
        <w:rPr>
          <w:rFonts w:cs="Times New Roman" w:ascii="Times New Roman" w:hAnsi="Times New Roman"/>
          <w:i/>
          <w:sz w:val="28"/>
          <w:szCs w:val="28"/>
        </w:rPr>
        <w:t xml:space="preserve"> </w:t>
      </w:r>
      <w:r>
        <w:rPr>
          <w:rFonts w:cs="Times New Roman" w:ascii="Times New Roman" w:hAnsi="Times New Roman"/>
          <w:sz w:val="28"/>
          <w:szCs w:val="28"/>
        </w:rPr>
        <w:t>жужелица-улиткоед</w:t>
      </w:r>
      <w:r>
        <w:rPr>
          <w:rFonts w:cs="Times New Roman" w:ascii="Times New Roman" w:hAnsi="Times New Roman"/>
          <w:i/>
          <w:sz w:val="28"/>
          <w:szCs w:val="28"/>
        </w:rPr>
        <w:t xml:space="preserve">, </w:t>
      </w:r>
      <w:r>
        <w:rPr>
          <w:rFonts w:cs="Times New Roman" w:ascii="Times New Roman" w:hAnsi="Times New Roman"/>
          <w:sz w:val="28"/>
          <w:szCs w:val="28"/>
        </w:rPr>
        <w:t>оленек обыкновенный, рогачик березовый (скромный), бронзовка большая зеленая, восковик-отшельник пахучий,</w:t>
      </w:r>
      <w:r>
        <w:rPr>
          <w:rFonts w:cs="Times New Roman" w:ascii="Times New Roman" w:hAnsi="Times New Roman"/>
          <w:i/>
          <w:sz w:val="28"/>
          <w:szCs w:val="28"/>
        </w:rPr>
        <w:t xml:space="preserve"> </w:t>
      </w:r>
      <w:r>
        <w:rPr>
          <w:rFonts w:cs="Times New Roman" w:ascii="Times New Roman" w:hAnsi="Times New Roman"/>
          <w:sz w:val="28"/>
          <w:szCs w:val="28"/>
        </w:rPr>
        <w:t>майка синяя, усач, златоглазка перламутровая, мнемозина</w:t>
      </w:r>
      <w:r>
        <w:rPr>
          <w:rFonts w:cs="Times New Roman" w:ascii="Times New Roman" w:hAnsi="Times New Roman"/>
          <w:i/>
          <w:sz w:val="28"/>
          <w:szCs w:val="28"/>
        </w:rPr>
        <w:t>,</w:t>
      </w:r>
      <w:r>
        <w:rPr>
          <w:rFonts w:cs="Times New Roman" w:ascii="Times New Roman" w:hAnsi="Times New Roman"/>
          <w:sz w:val="28"/>
          <w:szCs w:val="28"/>
        </w:rPr>
        <w:t xml:space="preserve"> голубянка дафнис, прозерпина, медведица-хозяйка, медведица-госпожа, медведица желтоватая, орденская лента голубая,</w:t>
      </w:r>
      <w:r>
        <w:rPr>
          <w:rFonts w:cs="Times New Roman" w:ascii="Times New Roman" w:hAnsi="Times New Roman"/>
          <w:i/>
          <w:sz w:val="28"/>
          <w:szCs w:val="28"/>
        </w:rPr>
        <w:t xml:space="preserve"> </w:t>
      </w:r>
      <w:r>
        <w:rPr>
          <w:rFonts w:cs="Times New Roman" w:ascii="Times New Roman" w:hAnsi="Times New Roman"/>
          <w:sz w:val="28"/>
          <w:szCs w:val="28"/>
        </w:rPr>
        <w:t>бражник сиреневый</w:t>
      </w:r>
      <w:r>
        <w:rPr>
          <w:rFonts w:cs="Times New Roman" w:ascii="Times New Roman" w:hAnsi="Times New Roman"/>
          <w:i/>
          <w:sz w:val="28"/>
          <w:szCs w:val="28"/>
        </w:rPr>
        <w:t xml:space="preserve"> </w:t>
      </w:r>
      <w:r>
        <w:rPr>
          <w:rFonts w:cs="Times New Roman" w:ascii="Times New Roman" w:hAnsi="Times New Roman"/>
          <w:sz w:val="28"/>
          <w:szCs w:val="28"/>
        </w:rPr>
        <w:t>медведица сельская,</w:t>
      </w:r>
      <w:r>
        <w:rPr>
          <w:rFonts w:cs="Times New Roman" w:ascii="Times New Roman" w:hAnsi="Times New Roman"/>
          <w:i/>
          <w:sz w:val="28"/>
          <w:szCs w:val="28"/>
        </w:rPr>
        <w:t xml:space="preserve"> </w:t>
      </w:r>
      <w:r>
        <w:rPr>
          <w:rFonts w:cs="Times New Roman" w:ascii="Times New Roman" w:hAnsi="Times New Roman"/>
          <w:sz w:val="28"/>
          <w:szCs w:val="28"/>
        </w:rPr>
        <w:t>медведица Геба, шмель моховой, шмель йонеллюс.</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Растения, всего 38 видов:</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Отдел Покрытосеменные – 32 вида: василек русский, пупочник завитой, гулявник прямой, осока большехвостая, осока горная, астрагал серпоплодный, золототысячник обыкновенный, горечавочка горьковатая, касатик сибирский, пузырчатка малая, алтей лекарственный, болотоцветник щитолистный, кувшинка белоснежная, пыльцеголовник красный, венерин башмачок настоящий, пальчатокоренник Фукса, пальчатокоренник мясокрасный, дремлик темно-красный, дремлик болотный, кокушник длиннорогий, тайник яйцевидный, гнездовка настоящая (обыкновенная), ятрышник шлемоносный, любка двулистная, белозор болотный, подорожник наибольший, ковыль перистый, ковыль красивейший, рдест туполистный, воронец красноплодный, ветреничка алтайская, лапчатка прямостоячая.</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Отдел Папоротниковидные – 2 вида: голокучник Роберта, многорядник Брауна.</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Отдел Мохообразные – 4 вида: энкалипта обыкновенная, алоина жесткая, тортула остроконечная, зелигерия согнутоножковая.</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Грибы, всего 7 видов: нефромопсис Лаурера, рамалина Трауста, грифола курчавая, пиптопорус дубовый, звездовик черноголовый, трутовик смолистый, </w:t>
      </w:r>
      <w:r>
        <w:rPr>
          <w:rFonts w:cs="Times New Roman" w:ascii="Times New Roman" w:hAnsi="Times New Roman"/>
          <w:sz w:val="28"/>
          <w:szCs w:val="28"/>
          <w:lang w:val="tt-RU"/>
        </w:rPr>
        <w:t>паутинник ярко-синий</w:t>
      </w:r>
      <w:r>
        <w:rPr>
          <w:rFonts w:cs="Times New Roman" w:ascii="Times New Roman" w:hAnsi="Times New Roman"/>
          <w:sz w:val="28"/>
          <w:szCs w:val="28"/>
        </w:rPr>
        <w:t>.</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2"/>
        <w:numPr>
          <w:ilvl w:val="1"/>
          <w:numId w:val="24"/>
        </w:numPr>
        <w:spacing w:lineRule="auto" w:line="240" w:before="0" w:after="0"/>
        <w:ind w:left="357" w:hanging="357"/>
        <w:jc w:val="center"/>
        <w:rPr>
          <w:rFonts w:ascii="Times New Roman" w:hAnsi="Times New Roman" w:cs="Times New Roman"/>
          <w:b/>
          <w:color w:val="auto"/>
          <w:sz w:val="28"/>
          <w:szCs w:val="28"/>
        </w:rPr>
      </w:pPr>
      <w:bookmarkStart w:id="117" w:name="_Toc57443761"/>
      <w:bookmarkStart w:id="118" w:name="_Toc147740043"/>
      <w:r>
        <w:rPr>
          <w:rFonts w:cs="Times New Roman" w:ascii="Times New Roman" w:hAnsi="Times New Roman"/>
          <w:b/>
          <w:color w:val="auto"/>
          <w:sz w:val="28"/>
          <w:szCs w:val="28"/>
        </w:rPr>
        <w:t>Опасные инженерно-геологические процессы и явления</w:t>
      </w:r>
      <w:bookmarkEnd w:id="117"/>
      <w:bookmarkEnd w:id="118"/>
    </w:p>
    <w:p>
      <w:pPr>
        <w:pStyle w:val="Normal"/>
        <w:spacing w:lineRule="auto" w:line="240" w:before="0" w:after="0"/>
        <w:ind w:firstLine="709"/>
        <w:contextualSpacing/>
        <w:jc w:val="both"/>
        <w:rPr>
          <w:rFonts w:ascii="Times New Roman" w:hAnsi="Times New Roman" w:eastAsia="Times New Roman" w:cs="Times New Roman"/>
          <w:sz w:val="28"/>
          <w:szCs w:val="28"/>
          <w:lang w:eastAsia="ru-RU"/>
        </w:rPr>
      </w:pPr>
      <w:r>
        <w:rPr>
          <w:rFonts w:cs="Times New Roman" w:ascii="Times New Roman" w:hAnsi="Times New Roman"/>
          <w:sz w:val="28"/>
          <w:szCs w:val="28"/>
        </w:rPr>
        <w:t>Согласно схеме территориального планирования Верхенеуслонского муниципального района,</w:t>
      </w:r>
      <w:r>
        <w:rPr/>
        <w:t xml:space="preserve"> </w:t>
      </w:r>
      <w:r>
        <w:rPr>
          <w:rFonts w:cs="Times New Roman" w:ascii="Times New Roman" w:hAnsi="Times New Roman"/>
          <w:sz w:val="28"/>
          <w:szCs w:val="28"/>
        </w:rPr>
        <w:t>н</w:t>
      </w:r>
      <w:r>
        <w:rPr>
          <w:rFonts w:eastAsia="Times New Roman" w:cs="Times New Roman" w:ascii="Times New Roman" w:hAnsi="Times New Roman"/>
          <w:sz w:val="28"/>
          <w:szCs w:val="28"/>
          <w:lang w:eastAsia="ru-RU"/>
        </w:rPr>
        <w:t xml:space="preserve">а территории поселения распространены следующие опасные геологические и инженерно-геологические процессы и явления: сейсмичность, оползневые процессы, подтопления и эрозионные процессы. </w:t>
      </w:r>
    </w:p>
    <w:p>
      <w:pPr>
        <w:pStyle w:val="Normal"/>
        <w:spacing w:lineRule="auto" w:line="240" w:before="0" w:after="0"/>
        <w:ind w:firstLine="709"/>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contextualSpacing/>
        <w:jc w:val="center"/>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w:t>Эрозионные процессы</w:t>
      </w:r>
    </w:p>
    <w:p>
      <w:pPr>
        <w:pStyle w:val="Normal"/>
        <w:spacing w:lineRule="auto" w:line="240" w:before="0" w:after="0"/>
        <w:ind w:firstLine="709"/>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Овражная эрозия наиболее сильно распространена на коренных приводораздельных склонах различной крутизны и меньше – в долинах рек. Овраги развиты в четвертичных, неогеновых и пермских отложениях. Активные неотектонические движения и непродуманная хозяйственная деятельность человека (вырубка лесов, распашка склонов) обусловили активный рост оврагов, вследствие чего сокращаются площади пахотных земель и других угодий, полезные площади под строительство населенных пунктов и народно-хозяйственных объектов, нарушаются грунтовые условия эксплуатируемых объектов, что может привести к техногенным авариям. В активно растущем состоянии находится около половины существующих оврагов. Скорость прироста достигает 0,5-1,37 м/г. </w:t>
      </w:r>
    </w:p>
    <w:p>
      <w:pPr>
        <w:pStyle w:val="Normal"/>
        <w:spacing w:lineRule="auto" w:line="240" w:before="0" w:after="0"/>
        <w:ind w:firstLine="709"/>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По мере усиления антропогенного давления на природную среду процесс оврагообразования будет усиливаться.</w:t>
      </w:r>
    </w:p>
    <w:p>
      <w:pPr>
        <w:pStyle w:val="Normal"/>
        <w:spacing w:lineRule="auto" w:line="240" w:before="0" w:after="0"/>
        <w:ind w:firstLine="709"/>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Участки с активным процессом оврагообразования мало пригодны для строительства и требуют проведения инженерных противоэрозионных мероприятий: обвалование верховьев оврагов или полная их засыпка с последующим мощением и укреплением различным материалом, залужение многолетними травами, закрепление верховьев древесно-кустарниковой растительностью, строительство водорегулирующих сооружений для перехвата и замедления поверхностного стока, соблюдение правил землепользования и агротехники.</w:t>
      </w:r>
    </w:p>
    <w:p>
      <w:pPr>
        <w:pStyle w:val="Normal"/>
        <w:spacing w:lineRule="auto" w:line="240" w:before="0" w:after="0"/>
        <w:ind w:firstLine="709"/>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contextualSpacing/>
        <w:jc w:val="center"/>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w:t>Склоновые процессы</w:t>
      </w:r>
    </w:p>
    <w:p>
      <w:pPr>
        <w:pStyle w:val="Normal"/>
        <w:spacing w:lineRule="auto" w:line="240" w:before="0" w:after="0"/>
        <w:ind w:firstLine="709"/>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Участки проявления оползней прослеживаются по берегу Куйбышевского водохранилища, по склонам речных долин, по бортам оврагов, развиваются в отложениях четвертичной, неогеновой, пермской систем, характеризуются значительным или полным изменением структуры смещающихся масс или блоковым смещением пород, происходят на склонах различной крутизны. Оползание связано с переувлажнением пород подземными, поверхностными талыми и дождевыми водами. Оползни широко развиты в виде ступеней, бугров по крутым склонам речных долин (балок) южной и западной экспозиций.</w:t>
      </w:r>
    </w:p>
    <w:p>
      <w:pPr>
        <w:pStyle w:val="Normal"/>
        <w:spacing w:lineRule="auto" w:line="240" w:before="0" w:after="0"/>
        <w:ind w:firstLine="709"/>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Участки развития оползневых процессов являются не пригодными для строительства и требуют сложных инженерных мероприятий как во время строительных работ, так и в период эксплуатации сооружений. Противооползневые мероприятия заключаются в проведении планировочных работ, регулировании поверхностного и подземного стока, создании дренажей, укреплении склонов и оползневых тел различными методами.</w:t>
      </w:r>
    </w:p>
    <w:p>
      <w:pPr>
        <w:pStyle w:val="Normal"/>
        <w:spacing w:lineRule="auto" w:line="240" w:before="0" w:after="0"/>
        <w:ind w:firstLine="709"/>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На интенсивно подмываемом правом берегу Куйбышевского водохранилища развиваются процессы переработки берегов. Переработка берегов сопровождается оползнями, осыпями, обвалами, оживлением овражной эрозии.</w:t>
      </w:r>
    </w:p>
    <w:p>
      <w:pPr>
        <w:pStyle w:val="Normal"/>
        <w:spacing w:lineRule="auto" w:line="240" w:before="0" w:after="0"/>
        <w:ind w:firstLine="709"/>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Абразионно-оползневые процессы развиты по высоким правобережным склонам водохранилища в районе населенного пункта Ташевка. Переработка берегов происходит в той или иной степени вдоль всей линии побережья водохранилища (протяженность таких процессов составляет около 37 км), но защитные дамбы сооружены лишь на ограниченных участках (Верхний Услон).</w:t>
      </w:r>
    </w:p>
    <w:p>
      <w:pPr>
        <w:pStyle w:val="Normal"/>
        <w:spacing w:lineRule="auto" w:line="240" w:before="0" w:after="0"/>
        <w:ind w:firstLine="709"/>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Прибрежная зона водохранилища, особенно на участках активного подмыва, не пригодна для строительства, здесь требуется проведение сложных, дорогостоящих инженерных мероприятий: берегоукрепительные работы, регулирование поверхностного стока, заложение оснований сооружений вне зоны колебания уровня подземных и грунтовых вод и другие мероприятия.</w:t>
      </w:r>
    </w:p>
    <w:p>
      <w:pPr>
        <w:pStyle w:val="Normal"/>
        <w:spacing w:lineRule="auto" w:line="240" w:before="0" w:after="0"/>
        <w:ind w:firstLine="709"/>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contextualSpacing/>
        <w:jc w:val="center"/>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w:r>
    </w:p>
    <w:p>
      <w:pPr>
        <w:pStyle w:val="Normal"/>
        <w:spacing w:lineRule="auto" w:line="240" w:before="0" w:after="0"/>
        <w:contextualSpacing/>
        <w:jc w:val="center"/>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w:t>Подтопление и затопление</w:t>
      </w:r>
    </w:p>
    <w:p>
      <w:pPr>
        <w:pStyle w:val="Normal"/>
        <w:spacing w:lineRule="auto" w:line="240" w:before="0" w:after="0"/>
        <w:ind w:firstLine="709"/>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Процессам подтопления подвержены днища и нижние части склонов долин почти всех без исключения рек разных порядков, дренирующих территорию Верхнеуслонского муниципального района. Здесь подземные воды относятся к водоносному четвертичному аллювиальному комплексу и испытывают существенные сезонные и многолетние колебания, на территориях, где глубина залегания уровня подземных вод в большинстве случаев невелика (обычно не превышает 10–15 м).</w:t>
      </w:r>
    </w:p>
    <w:p>
      <w:pPr>
        <w:pStyle w:val="Normal"/>
        <w:spacing w:lineRule="auto" w:line="240" w:before="0" w:after="0"/>
        <w:ind w:firstLine="709"/>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В соответствии с проектом «Основные правила использования водных ресурсов Куйбышевского водохранилища на р. Волга» (1983 г.) зона возможного затопления Куйбышевского водохранилища 1 % обеспеченности проходит по отметке 57,1 м. </w:t>
      </w:r>
    </w:p>
    <w:p>
      <w:pPr>
        <w:pStyle w:val="Normal"/>
        <w:spacing w:lineRule="auto" w:line="240" w:before="0" w:after="0"/>
        <w:ind w:firstLine="709"/>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contextualSpacing/>
        <w:jc w:val="center"/>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w:t>Сейсмичность</w:t>
      </w:r>
    </w:p>
    <w:p>
      <w:pPr>
        <w:pStyle w:val="Normal"/>
        <w:spacing w:lineRule="auto" w:line="240" w:before="0" w:after="0"/>
        <w:ind w:firstLine="709"/>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В соответствии с картой сейсмического районирования территории Республики Татарстан Верхнеуслонский муниципальный район находится в зоне влияния Алатырско-Казанско-Арского глубинного транзитного разлома. На территории района расположены с северо-запада – Казанская, с востока – Алькеевско-Пичкасская и с юга – Буинская сейсмогенные зоны.</w:t>
      </w:r>
    </w:p>
    <w:p>
      <w:pPr>
        <w:pStyle w:val="Normal"/>
        <w:spacing w:lineRule="auto" w:line="240" w:before="0" w:after="0"/>
        <w:ind w:firstLine="709"/>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Согласно СП 14.13330.2014 «Строительство в сейсмических районах», для средних грунтовых условий, рассматриваемая территория относится к 6-балльной (карты А и В) и к 7-балльной (карта С) зонам сейсмичности при возведении объектов повышенной ответственности.</w:t>
      </w:r>
    </w:p>
    <w:p>
      <w:pPr>
        <w:pStyle w:val="Normal"/>
        <w:rPr>
          <w:szCs w:val="28"/>
        </w:rPr>
      </w:pPr>
      <w:r>
        <w:rPr>
          <w:szCs w:val="28"/>
        </w:rPr>
      </w:r>
    </w:p>
    <w:p>
      <w:pPr>
        <w:pStyle w:val="Normal"/>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r>
        <w:br w:type="page"/>
      </w:r>
    </w:p>
    <w:p>
      <w:pPr>
        <w:pStyle w:val="ListParagraph"/>
        <w:widowControl w:val="false"/>
        <w:numPr>
          <w:ilvl w:val="0"/>
          <w:numId w:val="24"/>
        </w:numPr>
        <w:suppressAutoHyphens w:val="true"/>
        <w:spacing w:lineRule="auto" w:line="240" w:before="0" w:after="0"/>
        <w:ind w:left="0" w:hanging="0"/>
        <w:contextualSpacing/>
        <w:jc w:val="center"/>
        <w:outlineLvl w:val="0"/>
        <w:rPr>
          <w:rFonts w:ascii="Times New Roman" w:hAnsi="Times New Roman" w:eastAsia="" w:cs="Times New Roman" w:eastAsiaTheme="majorEastAsia"/>
          <w:b/>
          <w:sz w:val="28"/>
          <w:szCs w:val="28"/>
        </w:rPr>
      </w:pPr>
      <w:bookmarkStart w:id="119" w:name="_Toc34205830"/>
      <w:bookmarkStart w:id="120" w:name="_Toc147740044"/>
      <w:r>
        <w:rPr>
          <w:rFonts w:eastAsia="" w:cs="Times New Roman" w:ascii="Times New Roman" w:hAnsi="Times New Roman" w:eastAsiaTheme="majorEastAsia"/>
          <w:b/>
          <w:sz w:val="28"/>
          <w:szCs w:val="28"/>
        </w:rPr>
        <w:t>ОЦЕНКА НЕГАТИВНОГО ВОЗДЕЙСТВИЯ НА ОКРУЖАЮЩУЮ СРЕДУ СУЩЕСТВУЮЩИХ И ПЛАНИРУЕМЫХ ОБЪЕКТОВ</w:t>
      </w:r>
      <w:bookmarkEnd w:id="120"/>
      <w:r>
        <w:rPr>
          <w:rFonts w:eastAsia="" w:cs="Times New Roman" w:ascii="Times New Roman" w:hAnsi="Times New Roman" w:eastAsiaTheme="majorEastAsia"/>
          <w:b/>
          <w:sz w:val="28"/>
          <w:szCs w:val="28"/>
        </w:rPr>
        <w:t xml:space="preserve"> </w:t>
      </w:r>
      <w:bookmarkStart w:id="121" w:name="_Toc26512352"/>
      <w:bookmarkStart w:id="122" w:name="_Toc26512353"/>
      <w:bookmarkEnd w:id="119"/>
      <w:bookmarkEnd w:id="121"/>
      <w:bookmarkEnd w:id="122"/>
    </w:p>
    <w:p>
      <w:pPr>
        <w:pStyle w:val="Style38"/>
        <w:widowControl w:val="false"/>
        <w:suppressAutoHyphens w:val="true"/>
        <w:ind w:left="2693" w:hanging="0"/>
        <w:rPr>
          <w:rFonts w:eastAsia="" w:eastAsiaTheme="majorEastAsia"/>
          <w:b/>
          <w:szCs w:val="28"/>
          <w:lang w:eastAsia="en-US"/>
        </w:rPr>
      </w:pPr>
      <w:r>
        <w:rPr>
          <w:rFonts w:eastAsia="" w:eastAsiaTheme="majorEastAsia"/>
          <w:b/>
          <w:szCs w:val="28"/>
          <w:lang w:eastAsia="en-US"/>
        </w:rPr>
      </w:r>
    </w:p>
    <w:p>
      <w:pPr>
        <w:pStyle w:val="Style38"/>
        <w:widowControl w:val="false"/>
        <w:suppressAutoHyphens w:val="true"/>
        <w:ind w:firstLine="709"/>
        <w:rPr>
          <w:rFonts w:eastAsia="" w:eastAsiaTheme="majorEastAsia"/>
          <w:szCs w:val="28"/>
          <w:lang w:eastAsia="en-US"/>
        </w:rPr>
      </w:pPr>
      <w:r>
        <w:rPr>
          <w:rFonts w:eastAsia="" w:eastAsiaTheme="majorEastAsia"/>
          <w:szCs w:val="28"/>
          <w:lang w:eastAsia="en-US"/>
        </w:rPr>
        <w:t xml:space="preserve">Приведенная оценка воздействия на окружающую среду для существующих и планируемых объектов на территории поселения отражает характер воздействия. В данном разделе проводится краткий обзор наиболее значительных и общих влияний на окружающую среду объектов хозяйственного и иного назначения (таблица 2.1). </w:t>
      </w:r>
    </w:p>
    <w:p>
      <w:pPr>
        <w:pStyle w:val="Style38"/>
        <w:widowControl w:val="false"/>
        <w:suppressAutoHyphens w:val="true"/>
        <w:ind w:left="2693" w:hanging="0"/>
        <w:rPr>
          <w:rFonts w:eastAsia="" w:eastAsiaTheme="majorEastAsia"/>
          <w:b/>
          <w:szCs w:val="28"/>
          <w:lang w:eastAsia="en-US"/>
        </w:rPr>
      </w:pPr>
      <w:r>
        <w:rPr>
          <w:rFonts w:eastAsia="" w:eastAsiaTheme="majorEastAsia"/>
          <w:b/>
          <w:szCs w:val="28"/>
          <w:lang w:eastAsia="en-US"/>
        </w:rPr>
      </w:r>
    </w:p>
    <w:p>
      <w:pPr>
        <w:pStyle w:val="Style38"/>
        <w:widowControl w:val="false"/>
        <w:suppressAutoHyphens w:val="true"/>
        <w:ind w:left="2693" w:hanging="0"/>
        <w:rPr>
          <w:rFonts w:eastAsia="" w:eastAsiaTheme="majorEastAsia"/>
          <w:b/>
          <w:szCs w:val="28"/>
          <w:lang w:eastAsia="en-US"/>
        </w:rPr>
      </w:pPr>
      <w:r>
        <w:rPr>
          <w:rFonts w:eastAsia="" w:eastAsiaTheme="majorEastAsia"/>
          <w:b/>
          <w:szCs w:val="28"/>
          <w:lang w:eastAsia="en-US"/>
        </w:rPr>
      </w:r>
    </w:p>
    <w:p>
      <w:pPr>
        <w:pStyle w:val="Style38"/>
        <w:widowControl w:val="false"/>
        <w:suppressAutoHyphens w:val="true"/>
        <w:ind w:left="2693" w:hanging="0"/>
        <w:rPr>
          <w:rFonts w:eastAsia="" w:eastAsiaTheme="majorEastAsia"/>
          <w:b/>
          <w:szCs w:val="28"/>
          <w:lang w:eastAsia="en-US"/>
        </w:rPr>
      </w:pPr>
      <w:r>
        <w:rPr>
          <w:rFonts w:eastAsia="" w:eastAsiaTheme="majorEastAsia"/>
          <w:b/>
          <w:szCs w:val="28"/>
          <w:lang w:eastAsia="en-US"/>
        </w:rPr>
      </w:r>
    </w:p>
    <w:p>
      <w:pPr>
        <w:pStyle w:val="Style38"/>
        <w:widowControl w:val="false"/>
        <w:suppressAutoHyphens w:val="true"/>
        <w:ind w:left="2693" w:hanging="0"/>
        <w:rPr>
          <w:rFonts w:eastAsia="" w:eastAsiaTheme="majorEastAsia"/>
          <w:b/>
          <w:szCs w:val="28"/>
          <w:lang w:eastAsia="en-US"/>
        </w:rPr>
      </w:pPr>
      <w:r>
        <w:rPr>
          <w:rFonts w:eastAsia="" w:eastAsiaTheme="majorEastAsia"/>
          <w:b/>
          <w:szCs w:val="28"/>
          <w:lang w:eastAsia="en-US"/>
        </w:rPr>
      </w:r>
    </w:p>
    <w:p>
      <w:pPr>
        <w:pStyle w:val="Style38"/>
        <w:widowControl w:val="false"/>
        <w:suppressAutoHyphens w:val="true"/>
        <w:ind w:left="2693" w:hanging="0"/>
        <w:rPr>
          <w:rFonts w:eastAsia="" w:eastAsiaTheme="majorEastAsia"/>
          <w:b/>
          <w:szCs w:val="28"/>
          <w:lang w:eastAsia="en-US"/>
        </w:rPr>
      </w:pPr>
      <w:r>
        <w:rPr>
          <w:rFonts w:eastAsia="" w:eastAsiaTheme="majorEastAsia"/>
          <w:b/>
          <w:szCs w:val="28"/>
          <w:lang w:eastAsia="en-US"/>
        </w:rPr>
      </w:r>
    </w:p>
    <w:p>
      <w:pPr>
        <w:pStyle w:val="Style38"/>
        <w:widowControl w:val="false"/>
        <w:suppressAutoHyphens w:val="true"/>
        <w:ind w:left="2693" w:hanging="0"/>
        <w:rPr>
          <w:rFonts w:eastAsia="" w:eastAsiaTheme="majorEastAsia"/>
          <w:b/>
          <w:szCs w:val="28"/>
          <w:lang w:eastAsia="en-US"/>
        </w:rPr>
      </w:pPr>
      <w:r>
        <w:rPr>
          <w:rFonts w:eastAsia="" w:eastAsiaTheme="majorEastAsia"/>
          <w:b/>
          <w:szCs w:val="28"/>
          <w:lang w:eastAsia="en-US"/>
        </w:rPr>
      </w:r>
    </w:p>
    <w:p>
      <w:pPr>
        <w:pStyle w:val="Style38"/>
        <w:widowControl w:val="false"/>
        <w:suppressAutoHyphens w:val="true"/>
        <w:ind w:left="2693" w:hanging="0"/>
        <w:rPr>
          <w:rFonts w:eastAsia="" w:eastAsiaTheme="majorEastAsia"/>
          <w:b/>
          <w:szCs w:val="28"/>
          <w:lang w:eastAsia="en-US"/>
        </w:rPr>
      </w:pPr>
      <w:r>
        <w:rPr>
          <w:rFonts w:eastAsia="" w:eastAsiaTheme="majorEastAsia"/>
          <w:b/>
          <w:szCs w:val="28"/>
          <w:lang w:eastAsia="en-US"/>
        </w:rPr>
      </w:r>
    </w:p>
    <w:p>
      <w:pPr>
        <w:pStyle w:val="Style38"/>
        <w:widowControl w:val="false"/>
        <w:suppressAutoHyphens w:val="true"/>
        <w:ind w:left="2693" w:hanging="0"/>
        <w:rPr>
          <w:rFonts w:eastAsia="" w:eastAsiaTheme="majorEastAsia"/>
          <w:b/>
          <w:szCs w:val="28"/>
          <w:lang w:eastAsia="en-US"/>
        </w:rPr>
      </w:pPr>
      <w:r>
        <w:rPr>
          <w:rFonts w:eastAsia="" w:eastAsiaTheme="majorEastAsia"/>
          <w:b/>
          <w:szCs w:val="28"/>
          <w:lang w:eastAsia="en-US"/>
        </w:rPr>
      </w:r>
    </w:p>
    <w:p>
      <w:pPr>
        <w:pStyle w:val="Style38"/>
        <w:widowControl w:val="false"/>
        <w:suppressAutoHyphens w:val="true"/>
        <w:ind w:left="2693" w:hanging="0"/>
        <w:rPr>
          <w:rFonts w:eastAsia="" w:eastAsiaTheme="majorEastAsia"/>
          <w:b/>
          <w:szCs w:val="28"/>
          <w:lang w:eastAsia="en-US"/>
        </w:rPr>
      </w:pPr>
      <w:r>
        <w:rPr>
          <w:rFonts w:eastAsia="" w:eastAsiaTheme="majorEastAsia"/>
          <w:b/>
          <w:szCs w:val="28"/>
          <w:lang w:eastAsia="en-US"/>
        </w:rPr>
      </w:r>
    </w:p>
    <w:p>
      <w:pPr>
        <w:pStyle w:val="Style38"/>
        <w:widowControl w:val="false"/>
        <w:suppressAutoHyphens w:val="true"/>
        <w:ind w:left="2693" w:hanging="0"/>
        <w:rPr>
          <w:rFonts w:eastAsia="" w:eastAsiaTheme="majorEastAsia"/>
          <w:b/>
          <w:szCs w:val="28"/>
          <w:lang w:eastAsia="en-US"/>
        </w:rPr>
      </w:pPr>
      <w:r>
        <w:rPr>
          <w:rFonts w:eastAsia="" w:eastAsiaTheme="majorEastAsia"/>
          <w:b/>
          <w:szCs w:val="28"/>
          <w:lang w:eastAsia="en-US"/>
        </w:rPr>
      </w:r>
    </w:p>
    <w:p>
      <w:pPr>
        <w:pStyle w:val="Style38"/>
        <w:widowControl w:val="false"/>
        <w:suppressAutoHyphens w:val="true"/>
        <w:ind w:left="2693" w:hanging="0"/>
        <w:rPr>
          <w:rFonts w:eastAsia="" w:eastAsiaTheme="majorEastAsia"/>
          <w:b/>
          <w:szCs w:val="28"/>
          <w:lang w:eastAsia="en-US"/>
        </w:rPr>
      </w:pPr>
      <w:r>
        <w:rPr>
          <w:rFonts w:eastAsia="" w:eastAsiaTheme="majorEastAsia"/>
          <w:b/>
          <w:szCs w:val="28"/>
          <w:lang w:eastAsia="en-US"/>
        </w:rPr>
      </w:r>
    </w:p>
    <w:p>
      <w:pPr>
        <w:pStyle w:val="Style38"/>
        <w:widowControl w:val="false"/>
        <w:suppressAutoHyphens w:val="true"/>
        <w:ind w:left="2693" w:hanging="0"/>
        <w:rPr>
          <w:rFonts w:eastAsia="" w:eastAsiaTheme="majorEastAsia"/>
          <w:b/>
          <w:szCs w:val="28"/>
          <w:lang w:eastAsia="en-US"/>
        </w:rPr>
      </w:pPr>
      <w:r>
        <w:rPr>
          <w:rFonts w:eastAsia="" w:eastAsiaTheme="majorEastAsia"/>
          <w:b/>
          <w:szCs w:val="28"/>
          <w:lang w:eastAsia="en-US"/>
        </w:rPr>
      </w:r>
    </w:p>
    <w:p>
      <w:pPr>
        <w:pStyle w:val="Style38"/>
        <w:widowControl w:val="false"/>
        <w:suppressAutoHyphens w:val="true"/>
        <w:ind w:left="2693" w:hanging="0"/>
        <w:rPr>
          <w:rFonts w:eastAsia="" w:eastAsiaTheme="majorEastAsia"/>
          <w:b/>
          <w:szCs w:val="28"/>
          <w:lang w:eastAsia="en-US"/>
        </w:rPr>
      </w:pPr>
      <w:r>
        <w:rPr>
          <w:rFonts w:eastAsia="" w:eastAsiaTheme="majorEastAsia"/>
          <w:b/>
          <w:szCs w:val="28"/>
          <w:lang w:eastAsia="en-US"/>
        </w:rPr>
      </w:r>
    </w:p>
    <w:p>
      <w:pPr>
        <w:pStyle w:val="Style38"/>
        <w:widowControl w:val="false"/>
        <w:suppressAutoHyphens w:val="true"/>
        <w:ind w:left="2693" w:hanging="0"/>
        <w:rPr>
          <w:rFonts w:eastAsia="" w:eastAsiaTheme="majorEastAsia"/>
          <w:b/>
          <w:szCs w:val="28"/>
          <w:lang w:eastAsia="en-US"/>
        </w:rPr>
      </w:pPr>
      <w:r>
        <w:rPr>
          <w:rFonts w:eastAsia="" w:eastAsiaTheme="majorEastAsia"/>
          <w:b/>
          <w:szCs w:val="28"/>
          <w:lang w:eastAsia="en-US"/>
        </w:rPr>
      </w:r>
    </w:p>
    <w:p>
      <w:pPr>
        <w:pStyle w:val="Style38"/>
        <w:widowControl w:val="false"/>
        <w:suppressAutoHyphens w:val="true"/>
        <w:ind w:left="2693" w:hanging="0"/>
        <w:rPr>
          <w:rFonts w:eastAsia="" w:eastAsiaTheme="majorEastAsia"/>
          <w:b/>
          <w:szCs w:val="28"/>
          <w:lang w:eastAsia="en-US"/>
        </w:rPr>
      </w:pPr>
      <w:r>
        <w:rPr>
          <w:rFonts w:eastAsia="" w:eastAsiaTheme="majorEastAsia"/>
          <w:b/>
          <w:szCs w:val="28"/>
          <w:lang w:eastAsia="en-US"/>
        </w:rPr>
      </w:r>
    </w:p>
    <w:p>
      <w:pPr>
        <w:pStyle w:val="Style38"/>
        <w:widowControl w:val="false"/>
        <w:suppressAutoHyphens w:val="true"/>
        <w:ind w:left="2693" w:hanging="0"/>
        <w:rPr>
          <w:rFonts w:eastAsia="" w:eastAsiaTheme="majorEastAsia"/>
          <w:b/>
          <w:szCs w:val="28"/>
          <w:lang w:eastAsia="en-US"/>
        </w:rPr>
      </w:pPr>
      <w:r>
        <w:rPr>
          <w:rFonts w:eastAsia="" w:eastAsiaTheme="majorEastAsia"/>
          <w:b/>
          <w:szCs w:val="28"/>
          <w:lang w:eastAsia="en-US"/>
        </w:rPr>
      </w:r>
    </w:p>
    <w:p>
      <w:pPr>
        <w:pStyle w:val="Style38"/>
        <w:widowControl w:val="false"/>
        <w:suppressAutoHyphens w:val="true"/>
        <w:ind w:left="2693" w:hanging="0"/>
        <w:rPr>
          <w:rFonts w:eastAsia="" w:eastAsiaTheme="majorEastAsia"/>
          <w:b/>
          <w:szCs w:val="28"/>
          <w:lang w:eastAsia="en-US"/>
        </w:rPr>
      </w:pPr>
      <w:r>
        <w:rPr>
          <w:rFonts w:eastAsia="" w:eastAsiaTheme="majorEastAsia"/>
          <w:b/>
          <w:szCs w:val="28"/>
          <w:lang w:eastAsia="en-US"/>
        </w:rPr>
      </w:r>
    </w:p>
    <w:p>
      <w:pPr>
        <w:pStyle w:val="Style38"/>
        <w:widowControl w:val="false"/>
        <w:suppressAutoHyphens w:val="true"/>
        <w:ind w:left="2693" w:hanging="0"/>
        <w:rPr>
          <w:rFonts w:eastAsia="" w:eastAsiaTheme="majorEastAsia"/>
          <w:b/>
          <w:szCs w:val="28"/>
          <w:lang w:eastAsia="en-US"/>
        </w:rPr>
      </w:pPr>
      <w:r>
        <w:rPr>
          <w:rFonts w:eastAsia="" w:eastAsiaTheme="majorEastAsia"/>
          <w:b/>
          <w:szCs w:val="28"/>
          <w:lang w:eastAsia="en-US"/>
        </w:rPr>
      </w:r>
    </w:p>
    <w:p>
      <w:pPr>
        <w:pStyle w:val="Style38"/>
        <w:widowControl w:val="false"/>
        <w:suppressAutoHyphens w:val="true"/>
        <w:ind w:left="2693" w:hanging="0"/>
        <w:rPr>
          <w:rFonts w:eastAsia="" w:eastAsiaTheme="majorEastAsia"/>
          <w:b/>
          <w:szCs w:val="28"/>
          <w:lang w:eastAsia="en-US"/>
        </w:rPr>
      </w:pPr>
      <w:r>
        <w:rPr>
          <w:rFonts w:eastAsia="" w:eastAsiaTheme="majorEastAsia"/>
          <w:b/>
          <w:szCs w:val="28"/>
          <w:lang w:eastAsia="en-US"/>
        </w:rPr>
      </w:r>
    </w:p>
    <w:p>
      <w:pPr>
        <w:pStyle w:val="Style38"/>
        <w:widowControl w:val="false"/>
        <w:suppressAutoHyphens w:val="true"/>
        <w:ind w:left="2693" w:hanging="0"/>
        <w:rPr>
          <w:rFonts w:eastAsia="" w:eastAsiaTheme="majorEastAsia"/>
          <w:b/>
          <w:szCs w:val="28"/>
          <w:lang w:eastAsia="en-US"/>
        </w:rPr>
      </w:pPr>
      <w:r>
        <w:rPr>
          <w:rFonts w:eastAsia="" w:eastAsiaTheme="majorEastAsia"/>
          <w:b/>
          <w:szCs w:val="28"/>
          <w:lang w:eastAsia="en-US"/>
        </w:rPr>
      </w:r>
    </w:p>
    <w:p>
      <w:pPr>
        <w:pStyle w:val="Style38"/>
        <w:widowControl w:val="false"/>
        <w:suppressAutoHyphens w:val="true"/>
        <w:ind w:left="2693" w:hanging="0"/>
        <w:rPr>
          <w:rFonts w:eastAsia="" w:eastAsiaTheme="majorEastAsia"/>
          <w:b/>
          <w:szCs w:val="28"/>
          <w:lang w:eastAsia="en-US"/>
        </w:rPr>
      </w:pPr>
      <w:r>
        <w:rPr>
          <w:rFonts w:eastAsia="" w:eastAsiaTheme="majorEastAsia"/>
          <w:b/>
          <w:szCs w:val="28"/>
          <w:lang w:eastAsia="en-US"/>
        </w:rPr>
      </w:r>
    </w:p>
    <w:p>
      <w:pPr>
        <w:pStyle w:val="Style38"/>
        <w:widowControl w:val="false"/>
        <w:suppressAutoHyphens w:val="true"/>
        <w:ind w:left="2693" w:hanging="0"/>
        <w:rPr>
          <w:rFonts w:eastAsia="" w:eastAsiaTheme="majorEastAsia"/>
          <w:b/>
          <w:szCs w:val="28"/>
          <w:lang w:eastAsia="en-US"/>
        </w:rPr>
      </w:pPr>
      <w:r>
        <w:rPr>
          <w:rFonts w:eastAsia="" w:eastAsiaTheme="majorEastAsia"/>
          <w:b/>
          <w:szCs w:val="28"/>
          <w:lang w:eastAsia="en-US"/>
        </w:rPr>
      </w:r>
    </w:p>
    <w:p>
      <w:pPr>
        <w:pStyle w:val="Style38"/>
        <w:widowControl w:val="false"/>
        <w:suppressAutoHyphens w:val="true"/>
        <w:ind w:left="2693" w:hanging="0"/>
        <w:rPr>
          <w:rFonts w:eastAsia="" w:eastAsiaTheme="majorEastAsia"/>
          <w:b/>
          <w:szCs w:val="28"/>
          <w:lang w:eastAsia="en-US"/>
        </w:rPr>
      </w:pPr>
      <w:r>
        <w:rPr>
          <w:rFonts w:eastAsia="" w:eastAsiaTheme="majorEastAsia"/>
          <w:b/>
          <w:szCs w:val="28"/>
          <w:lang w:eastAsia="en-US"/>
        </w:rPr>
      </w:r>
    </w:p>
    <w:p>
      <w:pPr>
        <w:pStyle w:val="Style38"/>
        <w:widowControl w:val="false"/>
        <w:suppressAutoHyphens w:val="true"/>
        <w:ind w:left="2693" w:hanging="0"/>
        <w:rPr>
          <w:rFonts w:eastAsia="" w:eastAsiaTheme="majorEastAsia"/>
          <w:b/>
          <w:szCs w:val="28"/>
          <w:lang w:eastAsia="en-US"/>
        </w:rPr>
      </w:pPr>
      <w:r>
        <w:rPr>
          <w:rFonts w:eastAsia="" w:eastAsiaTheme="majorEastAsia"/>
          <w:b/>
          <w:szCs w:val="28"/>
          <w:lang w:eastAsia="en-US"/>
        </w:rPr>
      </w:r>
    </w:p>
    <w:p>
      <w:pPr>
        <w:pStyle w:val="Style38"/>
        <w:widowControl w:val="false"/>
        <w:suppressAutoHyphens w:val="true"/>
        <w:ind w:left="2693" w:hanging="0"/>
        <w:rPr>
          <w:rFonts w:eastAsia="" w:eastAsiaTheme="majorEastAsia"/>
          <w:b/>
          <w:szCs w:val="28"/>
          <w:lang w:eastAsia="en-US"/>
        </w:rPr>
      </w:pPr>
      <w:r>
        <w:rPr>
          <w:rFonts w:eastAsia="" w:eastAsiaTheme="majorEastAsia"/>
          <w:b/>
          <w:szCs w:val="28"/>
          <w:lang w:eastAsia="en-US"/>
        </w:rPr>
      </w:r>
    </w:p>
    <w:p>
      <w:pPr>
        <w:sectPr>
          <w:footerReference w:type="default" r:id="rId43"/>
          <w:footerReference w:type="first" r:id="rId44"/>
          <w:type w:val="nextPage"/>
          <w:pgSz w:w="11906" w:h="16838"/>
          <w:pgMar w:left="1134" w:right="851" w:gutter="0" w:header="0" w:top="851" w:footer="708" w:bottom="851"/>
          <w:pgNumType w:fmt="decimal"/>
          <w:formProt w:val="false"/>
          <w:textDirection w:val="lrTb"/>
          <w:docGrid w:type="default" w:linePitch="381" w:charSpace="0"/>
        </w:sectPr>
        <w:pStyle w:val="Style38"/>
        <w:widowControl w:val="false"/>
        <w:suppressAutoHyphens w:val="true"/>
        <w:ind w:left="2693" w:hanging="0"/>
        <w:rPr>
          <w:rFonts w:eastAsia="" w:eastAsiaTheme="majorEastAsia"/>
          <w:b/>
          <w:szCs w:val="28"/>
          <w:lang w:eastAsia="en-US"/>
        </w:rPr>
      </w:pPr>
      <w:r>
        <w:rPr>
          <w:rFonts w:eastAsia="" w:eastAsiaTheme="majorEastAsia"/>
          <w:b/>
          <w:szCs w:val="28"/>
          <w:lang w:eastAsia="en-US"/>
        </w:rPr>
      </w:r>
    </w:p>
    <w:tbl>
      <w:tblPr>
        <w:tblStyle w:val="af0"/>
        <w:tblW w:w="15126"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2433"/>
        <w:gridCol w:w="2050"/>
        <w:gridCol w:w="2052"/>
        <w:gridCol w:w="2195"/>
        <w:gridCol w:w="1826"/>
        <w:gridCol w:w="2006"/>
        <w:gridCol w:w="2563"/>
      </w:tblGrid>
      <w:tr>
        <w:trPr>
          <w:trHeight w:val="530" w:hRule="atLeast"/>
        </w:trPr>
        <w:tc>
          <w:tcPr>
            <w:tcW w:w="2433" w:type="dxa"/>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b/>
                <w:i/>
                <w:i/>
              </w:rPr>
            </w:pPr>
            <w:r>
              <w:rPr>
                <w:rFonts w:eastAsia="" w:cs="Times New Roman" w:ascii="Times New Roman" w:hAnsi="Times New Roman" w:eastAsiaTheme="majorEastAsia"/>
                <w:b/>
                <w:i/>
                <w:kern w:val="0"/>
                <w:sz w:val="22"/>
                <w:szCs w:val="22"/>
                <w:lang w:val="ru-RU" w:eastAsia="en-US" w:bidi="ar-SA"/>
              </w:rPr>
              <w:t>Наименование</w:t>
            </w:r>
          </w:p>
        </w:tc>
        <w:tc>
          <w:tcPr>
            <w:tcW w:w="2050" w:type="dxa"/>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b/>
                <w:i/>
                <w:i/>
              </w:rPr>
            </w:pPr>
            <w:r>
              <w:rPr>
                <w:rFonts w:eastAsia="" w:cs="Times New Roman" w:ascii="Times New Roman" w:hAnsi="Times New Roman" w:eastAsiaTheme="majorEastAsia"/>
                <w:b/>
                <w:i/>
                <w:kern w:val="0"/>
                <w:sz w:val="22"/>
                <w:szCs w:val="22"/>
                <w:lang w:val="ru-RU" w:eastAsia="en-US" w:bidi="ar-SA"/>
              </w:rPr>
              <w:t>Атмосферный воздух</w:t>
            </w:r>
          </w:p>
          <w:p>
            <w:pPr>
              <w:pStyle w:val="Normal"/>
              <w:widowControl w:val="false"/>
              <w:suppressAutoHyphens w:val="true"/>
              <w:spacing w:lineRule="auto" w:line="240" w:before="0" w:after="0"/>
              <w:jc w:val="center"/>
              <w:rPr>
                <w:rFonts w:ascii="Times New Roman" w:hAnsi="Times New Roman" w:eastAsia="" w:cs="Times New Roman" w:eastAsiaTheme="majorEastAsia"/>
                <w:b/>
                <w:i/>
                <w:i/>
              </w:rPr>
            </w:pPr>
            <w:r>
              <w:rPr>
                <w:rFonts w:eastAsia="" w:cs="Times New Roman" w:ascii="Times New Roman" w:hAnsi="Times New Roman" w:eastAsiaTheme="majorEastAsia"/>
                <w:b/>
                <w:i/>
                <w:kern w:val="0"/>
                <w:sz w:val="22"/>
                <w:szCs w:val="22"/>
                <w:lang w:val="ru-RU" w:eastAsia="en-US" w:bidi="ar-SA"/>
              </w:rPr>
              <w:t>(выбросы)</w:t>
            </w:r>
          </w:p>
        </w:tc>
        <w:tc>
          <w:tcPr>
            <w:tcW w:w="2052" w:type="dxa"/>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b/>
                <w:i/>
                <w:i/>
              </w:rPr>
            </w:pPr>
            <w:r>
              <w:rPr>
                <w:rFonts w:eastAsia="" w:cs="Times New Roman" w:ascii="Times New Roman" w:hAnsi="Times New Roman" w:eastAsiaTheme="majorEastAsia"/>
                <w:b/>
                <w:i/>
                <w:kern w:val="0"/>
                <w:sz w:val="22"/>
                <w:szCs w:val="22"/>
                <w:lang w:val="ru-RU" w:eastAsia="en-US" w:bidi="ar-SA"/>
              </w:rPr>
              <w:t>Водные ресурсы</w:t>
            </w:r>
          </w:p>
          <w:p>
            <w:pPr>
              <w:pStyle w:val="Normal"/>
              <w:widowControl w:val="false"/>
              <w:suppressAutoHyphens w:val="true"/>
              <w:spacing w:lineRule="auto" w:line="240" w:before="0" w:after="0"/>
              <w:jc w:val="center"/>
              <w:rPr>
                <w:rFonts w:ascii="Times New Roman" w:hAnsi="Times New Roman" w:eastAsia="" w:cs="Times New Roman" w:eastAsiaTheme="majorEastAsia"/>
                <w:b/>
                <w:i/>
                <w:i/>
              </w:rPr>
            </w:pPr>
            <w:r>
              <w:rPr>
                <w:rFonts w:eastAsia="" w:cs="Times New Roman" w:ascii="Times New Roman" w:hAnsi="Times New Roman" w:eastAsiaTheme="majorEastAsia"/>
                <w:b/>
                <w:i/>
                <w:kern w:val="0"/>
                <w:sz w:val="22"/>
                <w:szCs w:val="22"/>
                <w:lang w:val="ru-RU" w:eastAsia="en-US" w:bidi="ar-SA"/>
              </w:rPr>
              <w:t>(сбросы)</w:t>
            </w:r>
          </w:p>
        </w:tc>
        <w:tc>
          <w:tcPr>
            <w:tcW w:w="2195" w:type="dxa"/>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b/>
                <w:i/>
                <w:i/>
              </w:rPr>
            </w:pPr>
            <w:r>
              <w:rPr>
                <w:rFonts w:eastAsia="" w:cs="Times New Roman" w:ascii="Times New Roman" w:hAnsi="Times New Roman" w:eastAsiaTheme="majorEastAsia"/>
                <w:b/>
                <w:i/>
                <w:kern w:val="0"/>
                <w:sz w:val="22"/>
                <w:szCs w:val="22"/>
                <w:lang w:val="ru-RU" w:eastAsia="en-US" w:bidi="ar-SA"/>
              </w:rPr>
              <w:t>Земельные ресурсы/ландшафт</w:t>
            </w:r>
          </w:p>
        </w:tc>
        <w:tc>
          <w:tcPr>
            <w:tcW w:w="1826" w:type="dxa"/>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b/>
                <w:i/>
                <w:i/>
              </w:rPr>
            </w:pPr>
            <w:r>
              <w:rPr>
                <w:rFonts w:eastAsia="" w:cs="Times New Roman" w:ascii="Times New Roman" w:hAnsi="Times New Roman" w:eastAsiaTheme="majorEastAsia"/>
                <w:b/>
                <w:i/>
                <w:kern w:val="0"/>
                <w:sz w:val="22"/>
                <w:szCs w:val="22"/>
                <w:lang w:val="ru-RU" w:eastAsia="en-US" w:bidi="ar-SA"/>
              </w:rPr>
              <w:t>Растительный и животный мир</w:t>
            </w:r>
          </w:p>
        </w:tc>
        <w:tc>
          <w:tcPr>
            <w:tcW w:w="2006" w:type="dxa"/>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b/>
                <w:i/>
                <w:i/>
              </w:rPr>
            </w:pPr>
            <w:r>
              <w:rPr>
                <w:rFonts w:eastAsia="" w:cs="Times New Roman" w:ascii="Times New Roman" w:hAnsi="Times New Roman" w:eastAsiaTheme="majorEastAsia"/>
                <w:b/>
                <w:i/>
                <w:kern w:val="0"/>
                <w:sz w:val="22"/>
                <w:szCs w:val="22"/>
                <w:lang w:val="ru-RU" w:eastAsia="en-US" w:bidi="ar-SA"/>
              </w:rPr>
              <w:t>Отходы</w:t>
            </w:r>
          </w:p>
        </w:tc>
        <w:tc>
          <w:tcPr>
            <w:tcW w:w="2563" w:type="dxa"/>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b/>
                <w:i/>
                <w:i/>
              </w:rPr>
            </w:pPr>
            <w:r>
              <w:rPr>
                <w:rFonts w:eastAsia="" w:cs="Times New Roman" w:ascii="Times New Roman" w:hAnsi="Times New Roman" w:eastAsiaTheme="majorEastAsia"/>
                <w:b/>
                <w:i/>
                <w:kern w:val="0"/>
                <w:sz w:val="22"/>
                <w:szCs w:val="22"/>
                <w:lang w:val="ru-RU" w:eastAsia="en-US" w:bidi="ar-SA"/>
              </w:rPr>
              <w:t>Физические и  иные факторы воздействия</w:t>
            </w:r>
          </w:p>
        </w:tc>
      </w:tr>
      <w:tr>
        <w:trPr>
          <w:trHeight w:val="530" w:hRule="atLeast"/>
        </w:trPr>
        <w:tc>
          <w:tcPr>
            <w:tcW w:w="15125" w:type="dxa"/>
            <w:gridSpan w:val="7"/>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b/>
                <w:i/>
                <w:i/>
              </w:rPr>
            </w:pPr>
            <w:r>
              <w:rPr>
                <w:rFonts w:eastAsia="" w:cs="Times New Roman" w:ascii="Times New Roman" w:hAnsi="Times New Roman" w:eastAsiaTheme="majorEastAsia"/>
                <w:i/>
                <w:kern w:val="0"/>
                <w:sz w:val="22"/>
                <w:szCs w:val="22"/>
                <w:lang w:val="ru-RU" w:eastAsia="en-US" w:bidi="ar-SA"/>
              </w:rPr>
              <w:t>Промышленная отрасль</w:t>
            </w:r>
          </w:p>
        </w:tc>
      </w:tr>
      <w:tr>
        <w:trPr>
          <w:trHeight w:val="719" w:hRule="atLeast"/>
        </w:trPr>
        <w:tc>
          <w:tcPr>
            <w:tcW w:w="2433" w:type="dxa"/>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ascii="Times New Roman" w:hAnsi="Times New Roman" w:eastAsiaTheme="majorEastAsia"/>
                <w:kern w:val="0"/>
                <w:sz w:val="22"/>
                <w:szCs w:val="22"/>
                <w:lang w:val="ru-RU" w:eastAsia="en-US" w:bidi="ar-SA"/>
              </w:rPr>
              <w:t>Добыча ОПИ</w:t>
            </w:r>
          </w:p>
        </w:tc>
        <w:tc>
          <w:tcPr>
            <w:tcW w:w="2050" w:type="dxa"/>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ascii="Times New Roman" w:hAnsi="Times New Roman" w:eastAsiaTheme="majorEastAsia"/>
                <w:kern w:val="0"/>
                <w:sz w:val="22"/>
                <w:szCs w:val="22"/>
                <w:lang w:val="ru-RU" w:eastAsia="en-US" w:bidi="ar-SA"/>
              </w:rPr>
              <w:t>Твердые взвешенные частицы, тяжелые металлы, диоксид азота (NO</w:t>
            </w:r>
            <w:r>
              <w:rPr>
                <w:rFonts w:eastAsia="" w:cs="Times New Roman" w:ascii="Times New Roman" w:hAnsi="Times New Roman" w:eastAsiaTheme="majorEastAsia"/>
                <w:kern w:val="0"/>
                <w:sz w:val="22"/>
                <w:szCs w:val="22"/>
                <w:vertAlign w:val="subscript"/>
                <w:lang w:val="ru-RU" w:eastAsia="en-US" w:bidi="ar-SA"/>
              </w:rPr>
              <w:t>2</w:t>
            </w:r>
            <w:r>
              <w:rPr>
                <w:rFonts w:eastAsia="" w:cs="Times New Roman" w:ascii="Times New Roman" w:hAnsi="Times New Roman" w:eastAsiaTheme="majorEastAsia"/>
                <w:kern w:val="0"/>
                <w:sz w:val="22"/>
                <w:szCs w:val="22"/>
                <w:lang w:val="ru-RU" w:eastAsia="en-US" w:bidi="ar-SA"/>
              </w:rPr>
              <w:t>), оксида углерода (CO) и оксида азота (NO).</w:t>
            </w:r>
          </w:p>
        </w:tc>
        <w:tc>
          <w:tcPr>
            <w:tcW w:w="2052" w:type="dxa"/>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ascii="Times New Roman" w:hAnsi="Times New Roman" w:eastAsiaTheme="majorEastAsia"/>
                <w:kern w:val="0"/>
                <w:sz w:val="22"/>
                <w:szCs w:val="22"/>
                <w:lang w:val="ru-RU" w:eastAsia="en-US" w:bidi="ar-SA"/>
              </w:rPr>
              <w:t>Твердые взвешенные частицы</w:t>
            </w:r>
          </w:p>
        </w:tc>
        <w:tc>
          <w:tcPr>
            <w:tcW w:w="2195" w:type="dxa"/>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ascii="Times New Roman" w:hAnsi="Times New Roman" w:eastAsiaTheme="majorEastAsia"/>
                <w:kern w:val="0"/>
                <w:sz w:val="22"/>
                <w:szCs w:val="22"/>
                <w:lang w:val="ru-RU" w:eastAsia="en-US" w:bidi="ar-SA"/>
              </w:rPr>
              <w:t>Изменение ландшафта и растительного покрова</w:t>
            </w:r>
          </w:p>
        </w:tc>
        <w:tc>
          <w:tcPr>
            <w:tcW w:w="1826" w:type="dxa"/>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ascii="Times New Roman" w:hAnsi="Times New Roman" w:eastAsiaTheme="majorEastAsia"/>
                <w:kern w:val="0"/>
                <w:sz w:val="22"/>
                <w:szCs w:val="22"/>
                <w:lang w:val="ru-RU" w:eastAsia="en-US" w:bidi="ar-SA"/>
              </w:rPr>
              <w:t>Разрушение биотопов</w:t>
            </w:r>
          </w:p>
        </w:tc>
        <w:tc>
          <w:tcPr>
            <w:tcW w:w="2006" w:type="dxa"/>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ascii="Times New Roman" w:hAnsi="Times New Roman" w:eastAsiaTheme="majorEastAsia"/>
                <w:kern w:val="0"/>
                <w:sz w:val="22"/>
                <w:szCs w:val="22"/>
                <w:lang w:val="ru-RU" w:eastAsia="en-US" w:bidi="ar-SA"/>
              </w:rPr>
              <w:t>Вскрышные породы, попутно добытые породы</w:t>
            </w:r>
          </w:p>
        </w:tc>
        <w:tc>
          <w:tcPr>
            <w:tcW w:w="2563" w:type="dxa"/>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ascii="Times New Roman" w:hAnsi="Times New Roman" w:eastAsiaTheme="majorEastAsia"/>
                <w:kern w:val="0"/>
                <w:sz w:val="22"/>
                <w:szCs w:val="22"/>
                <w:lang w:val="ru-RU" w:eastAsia="en-US" w:bidi="ar-SA"/>
              </w:rPr>
              <w:t>Шум при буровых работах, обрушении, дроблении и обработке</w:t>
            </w:r>
          </w:p>
        </w:tc>
      </w:tr>
      <w:tr>
        <w:trPr>
          <w:trHeight w:val="719" w:hRule="atLeast"/>
        </w:trPr>
        <w:tc>
          <w:tcPr>
            <w:tcW w:w="15125" w:type="dxa"/>
            <w:gridSpan w:val="7"/>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ascii="Times New Roman" w:hAnsi="Times New Roman" w:eastAsiaTheme="majorEastAsia"/>
                <w:i/>
                <w:kern w:val="0"/>
                <w:sz w:val="22"/>
                <w:szCs w:val="22"/>
                <w:lang w:val="ru-RU" w:eastAsia="en-US" w:bidi="ar-SA"/>
              </w:rPr>
              <w:t>Отрасль сельского хозяйства</w:t>
            </w:r>
          </w:p>
        </w:tc>
      </w:tr>
      <w:tr>
        <w:trPr>
          <w:trHeight w:val="719" w:hRule="atLeast"/>
        </w:trPr>
        <w:tc>
          <w:tcPr>
            <w:tcW w:w="2433" w:type="dxa"/>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ascii="Times New Roman" w:hAnsi="Times New Roman" w:eastAsiaTheme="majorEastAsia"/>
                <w:kern w:val="0"/>
                <w:sz w:val="22"/>
                <w:szCs w:val="22"/>
                <w:lang w:val="ru-RU" w:eastAsia="en-US" w:bidi="ar-SA"/>
              </w:rPr>
              <w:t>Сельскохозяйственные угодья</w:t>
            </w:r>
          </w:p>
        </w:tc>
        <w:tc>
          <w:tcPr>
            <w:tcW w:w="2050" w:type="dxa"/>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ascii="Times New Roman" w:hAnsi="Times New Roman" w:eastAsiaTheme="majorEastAsia"/>
                <w:kern w:val="0"/>
                <w:sz w:val="22"/>
                <w:szCs w:val="22"/>
                <w:lang w:val="ru-RU" w:eastAsia="en-US" w:bidi="ar-SA"/>
              </w:rPr>
              <w:t>Диоксид углерода (CO</w:t>
            </w:r>
            <w:r>
              <w:rPr>
                <w:rFonts w:eastAsia="" w:cs="Times New Roman" w:ascii="Times New Roman" w:hAnsi="Times New Roman" w:eastAsiaTheme="majorEastAsia"/>
                <w:kern w:val="0"/>
                <w:sz w:val="22"/>
                <w:szCs w:val="22"/>
                <w:vertAlign w:val="subscript"/>
                <w:lang w:val="ru-RU" w:eastAsia="en-US" w:bidi="ar-SA"/>
              </w:rPr>
              <w:t>2</w:t>
            </w:r>
            <w:r>
              <w:rPr>
                <w:rFonts w:eastAsia="" w:cs="Times New Roman" w:ascii="Times New Roman" w:hAnsi="Times New Roman" w:eastAsiaTheme="majorEastAsia"/>
                <w:kern w:val="0"/>
                <w:sz w:val="22"/>
                <w:szCs w:val="22"/>
                <w:lang w:val="ru-RU" w:eastAsia="en-US" w:bidi="ar-SA"/>
              </w:rPr>
              <w:t>), диоксид серы (SO), оксид азота (NO) и твердые частицы</w:t>
            </w:r>
          </w:p>
        </w:tc>
        <w:tc>
          <w:tcPr>
            <w:tcW w:w="2052" w:type="dxa"/>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ascii="Times New Roman" w:hAnsi="Times New Roman" w:eastAsiaTheme="majorEastAsia"/>
                <w:kern w:val="0"/>
                <w:sz w:val="22"/>
                <w:szCs w:val="22"/>
                <w:lang w:val="ru-RU" w:eastAsia="en-US" w:bidi="ar-SA"/>
              </w:rPr>
              <w:t>Пестициды, минеральные удобрения и микроэлементы металлов</w:t>
            </w:r>
          </w:p>
        </w:tc>
        <w:tc>
          <w:tcPr>
            <w:tcW w:w="2195" w:type="dxa"/>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ascii="Times New Roman" w:hAnsi="Times New Roman" w:eastAsiaTheme="majorEastAsia"/>
                <w:kern w:val="0"/>
                <w:sz w:val="22"/>
                <w:szCs w:val="22"/>
                <w:lang w:val="ru-RU" w:eastAsia="en-US" w:bidi="ar-SA"/>
              </w:rPr>
              <w:t>Химическая деградация почв, засоление, эрозия</w:t>
            </w:r>
          </w:p>
        </w:tc>
        <w:tc>
          <w:tcPr>
            <w:tcW w:w="1826" w:type="dxa"/>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ascii="Times New Roman" w:hAnsi="Times New Roman" w:eastAsiaTheme="majorEastAsia"/>
                <w:kern w:val="0"/>
                <w:sz w:val="22"/>
                <w:szCs w:val="22"/>
                <w:lang w:val="ru-RU" w:eastAsia="en-US" w:bidi="ar-SA"/>
              </w:rPr>
              <w:t>Сокращение площадей древесной растительности</w:t>
            </w:r>
          </w:p>
        </w:tc>
        <w:tc>
          <w:tcPr>
            <w:tcW w:w="2006" w:type="dxa"/>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ascii="Times New Roman" w:hAnsi="Times New Roman" w:eastAsiaTheme="majorEastAsia"/>
                <w:kern w:val="0"/>
                <w:sz w:val="22"/>
                <w:szCs w:val="22"/>
                <w:lang w:val="ru-RU" w:eastAsia="en-US" w:bidi="ar-SA"/>
              </w:rPr>
              <w:t>Органические отходы растениеводства (листья, стебли, шелуха, корни, другие неиспользованные части растений)</w:t>
            </w:r>
          </w:p>
        </w:tc>
        <w:tc>
          <w:tcPr>
            <w:tcW w:w="2563" w:type="dxa"/>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ascii="Times New Roman" w:hAnsi="Times New Roman" w:eastAsiaTheme="majorEastAsia"/>
                <w:kern w:val="0"/>
                <w:sz w:val="22"/>
                <w:szCs w:val="22"/>
                <w:lang w:val="ru-RU" w:eastAsia="en-US" w:bidi="ar-SA"/>
              </w:rPr>
              <w:t>-</w:t>
            </w:r>
          </w:p>
        </w:tc>
      </w:tr>
      <w:tr>
        <w:trPr>
          <w:trHeight w:val="647" w:hRule="atLeast"/>
        </w:trPr>
        <w:tc>
          <w:tcPr>
            <w:tcW w:w="15125" w:type="dxa"/>
            <w:gridSpan w:val="7"/>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ascii="Times New Roman" w:hAnsi="Times New Roman" w:eastAsiaTheme="majorEastAsia"/>
                <w:i/>
                <w:kern w:val="0"/>
                <w:sz w:val="22"/>
                <w:szCs w:val="22"/>
                <w:lang w:val="ru-RU" w:eastAsia="en-US" w:bidi="ar-SA"/>
              </w:rPr>
              <w:t>Транспортная отрасль</w:t>
            </w:r>
          </w:p>
        </w:tc>
      </w:tr>
      <w:tr>
        <w:trPr>
          <w:trHeight w:val="647" w:hRule="atLeast"/>
        </w:trPr>
        <w:tc>
          <w:tcPr>
            <w:tcW w:w="2433" w:type="dxa"/>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ascii="Times New Roman" w:hAnsi="Times New Roman" w:eastAsiaTheme="majorEastAsia"/>
                <w:kern w:val="0"/>
                <w:sz w:val="22"/>
                <w:szCs w:val="22"/>
                <w:lang w:val="ru-RU" w:eastAsia="en-US" w:bidi="ar-SA"/>
              </w:rPr>
              <w:t>Магистральные нефтепроводы</w:t>
            </w:r>
          </w:p>
        </w:tc>
        <w:tc>
          <w:tcPr>
            <w:tcW w:w="2050" w:type="dxa"/>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ascii="Times New Roman" w:hAnsi="Times New Roman" w:eastAsiaTheme="majorEastAsia"/>
                <w:kern w:val="0"/>
                <w:sz w:val="22"/>
                <w:szCs w:val="22"/>
                <w:lang w:val="ru-RU" w:eastAsia="en-US" w:bidi="ar-SA"/>
              </w:rPr>
              <w:t>Утечки летучих органических соединений, сероводорода в атмосферу при работе в штатном режиме, при продувке оборудования, вследствие физического износа.</w:t>
            </w:r>
          </w:p>
        </w:tc>
        <w:tc>
          <w:tcPr>
            <w:tcW w:w="2052" w:type="dxa"/>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ascii="Times New Roman" w:hAnsi="Times New Roman" w:eastAsiaTheme="majorEastAsia"/>
                <w:kern w:val="0"/>
                <w:sz w:val="22"/>
                <w:szCs w:val="22"/>
                <w:lang w:val="ru-RU" w:eastAsia="en-US" w:bidi="ar-SA"/>
              </w:rPr>
              <w:t>Разливы нефтепродуктов в случае аварии</w:t>
            </w:r>
          </w:p>
        </w:tc>
        <w:tc>
          <w:tcPr>
            <w:tcW w:w="2195" w:type="dxa"/>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ascii="Times New Roman" w:hAnsi="Times New Roman" w:eastAsiaTheme="majorEastAsia"/>
                <w:kern w:val="0"/>
                <w:sz w:val="22"/>
                <w:szCs w:val="22"/>
                <w:lang w:val="ru-RU" w:eastAsia="en-US" w:bidi="ar-SA"/>
              </w:rPr>
              <w:t>Загрязнение почвы в случае разлива нефтепродуктов</w:t>
            </w:r>
          </w:p>
        </w:tc>
        <w:tc>
          <w:tcPr>
            <w:tcW w:w="1826" w:type="dxa"/>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ascii="Times New Roman" w:hAnsi="Times New Roman" w:eastAsiaTheme="majorEastAsia"/>
                <w:kern w:val="0"/>
                <w:sz w:val="22"/>
                <w:szCs w:val="22"/>
                <w:lang w:val="ru-RU" w:eastAsia="en-US" w:bidi="ar-SA"/>
              </w:rPr>
              <w:t>Нарушение биотопов в случае разлива нефтепродуктов</w:t>
            </w:r>
          </w:p>
        </w:tc>
        <w:tc>
          <w:tcPr>
            <w:tcW w:w="2006" w:type="dxa"/>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ascii="Times New Roman" w:hAnsi="Times New Roman" w:eastAsiaTheme="majorEastAsia"/>
                <w:kern w:val="0"/>
                <w:sz w:val="22"/>
                <w:szCs w:val="22"/>
                <w:lang w:val="ru-RU" w:eastAsia="en-US" w:bidi="ar-SA"/>
              </w:rPr>
              <w:t>Твердые отходы при строительстве и реконструкции.</w:t>
            </w:r>
          </w:p>
        </w:tc>
        <w:tc>
          <w:tcPr>
            <w:tcW w:w="2563" w:type="dxa"/>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ascii="Times New Roman" w:hAnsi="Times New Roman" w:eastAsiaTheme="majorEastAsia"/>
                <w:kern w:val="0"/>
                <w:sz w:val="22"/>
                <w:szCs w:val="22"/>
                <w:lang w:val="ru-RU" w:eastAsia="en-US" w:bidi="ar-SA"/>
              </w:rPr>
              <w:t>Взрывопожароопасность</w:t>
            </w:r>
          </w:p>
        </w:tc>
      </w:tr>
      <w:tr>
        <w:trPr>
          <w:trHeight w:val="2054" w:hRule="atLeast"/>
        </w:trPr>
        <w:tc>
          <w:tcPr>
            <w:tcW w:w="2433" w:type="dxa"/>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ascii="Times New Roman" w:hAnsi="Times New Roman" w:eastAsiaTheme="majorEastAsia"/>
                <w:kern w:val="0"/>
                <w:sz w:val="22"/>
                <w:szCs w:val="22"/>
                <w:lang w:val="ru-RU" w:eastAsia="en-US" w:bidi="ar-SA"/>
              </w:rPr>
              <w:t>Автомобильные дороги</w:t>
            </w:r>
          </w:p>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ascii="Times New Roman" w:hAnsi="Times New Roman" w:eastAsiaTheme="majorEastAsia"/>
                <w:kern w:val="0"/>
                <w:sz w:val="22"/>
                <w:szCs w:val="22"/>
                <w:lang w:val="ru-RU" w:eastAsia="en-US" w:bidi="ar-SA"/>
              </w:rPr>
              <w:t>(эксплуатация, строительство),</w:t>
            </w:r>
          </w:p>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ascii="Times New Roman" w:hAnsi="Times New Roman" w:eastAsiaTheme="majorEastAsia"/>
                <w:kern w:val="0"/>
                <w:sz w:val="22"/>
                <w:szCs w:val="22"/>
                <w:lang w:val="ru-RU" w:eastAsia="en-US" w:bidi="ar-SA"/>
              </w:rPr>
              <w:t>машинно-тракторный парк</w:t>
            </w:r>
          </w:p>
        </w:tc>
        <w:tc>
          <w:tcPr>
            <w:tcW w:w="2050" w:type="dxa"/>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ascii="Times New Roman" w:hAnsi="Times New Roman" w:eastAsiaTheme="majorEastAsia"/>
                <w:kern w:val="0"/>
                <w:sz w:val="22"/>
                <w:szCs w:val="22"/>
                <w:lang w:val="ru-RU" w:eastAsia="en-US" w:bidi="ar-SA"/>
              </w:rPr>
              <w:t>Выхлопные газы: 1,3-бутадиен, формальдегид, бензол, акролеин и диоксид азота.</w:t>
            </w:r>
          </w:p>
        </w:tc>
        <w:tc>
          <w:tcPr>
            <w:tcW w:w="2052" w:type="dxa"/>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ascii="Times New Roman" w:hAnsi="Times New Roman" w:eastAsiaTheme="majorEastAsia"/>
                <w:kern w:val="0"/>
                <w:sz w:val="22"/>
                <w:szCs w:val="22"/>
                <w:lang w:val="ru-RU" w:eastAsia="en-US" w:bidi="ar-SA"/>
              </w:rPr>
              <w:t>Ливневые стоки с дорог, загрязненные маслами, нефтепродуктами, металлами (свинцом, цинком, медью, кадмием, хромом, никелем), солями, гербицидами.</w:t>
            </w:r>
          </w:p>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eastAsiaTheme="majorEastAsia" w:ascii="Times New Roman" w:hAnsi="Times New Roman"/>
                <w:kern w:val="0"/>
                <w:sz w:val="22"/>
                <w:szCs w:val="22"/>
                <w:lang w:val="ru-RU" w:eastAsia="en-US" w:bidi="ar-SA"/>
              </w:rPr>
            </w:r>
          </w:p>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ascii="Times New Roman" w:hAnsi="Times New Roman" w:eastAsiaTheme="majorEastAsia"/>
                <w:kern w:val="0"/>
                <w:sz w:val="22"/>
                <w:szCs w:val="22"/>
                <w:lang w:val="ru-RU" w:eastAsia="en-US" w:bidi="ar-SA"/>
              </w:rPr>
              <w:t>При строительстве дорог увеличивается объем поверхностных стоков, вследствие увеличения размера непроницаемых площадей.</w:t>
            </w:r>
          </w:p>
        </w:tc>
        <w:tc>
          <w:tcPr>
            <w:tcW w:w="2195" w:type="dxa"/>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ascii="Times New Roman" w:hAnsi="Times New Roman" w:eastAsiaTheme="majorEastAsia"/>
                <w:kern w:val="0"/>
                <w:sz w:val="22"/>
                <w:szCs w:val="22"/>
                <w:lang w:val="ru-RU" w:eastAsia="en-US" w:bidi="ar-SA"/>
              </w:rPr>
              <w:t>Загрязнение взвешенными веществами, содержащимися в воздухе, в том числе поступающие с атмосферными осадками.</w:t>
            </w:r>
          </w:p>
        </w:tc>
        <w:tc>
          <w:tcPr>
            <w:tcW w:w="1826" w:type="dxa"/>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ascii="Times New Roman" w:hAnsi="Times New Roman" w:eastAsiaTheme="majorEastAsia"/>
                <w:kern w:val="0"/>
                <w:sz w:val="22"/>
                <w:szCs w:val="22"/>
                <w:lang w:val="ru-RU" w:eastAsia="en-US" w:bidi="ar-SA"/>
              </w:rPr>
              <w:t>Возможна гибель животных при переходе их через дорогу.</w:t>
            </w:r>
          </w:p>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eastAsiaTheme="majorEastAsia" w:ascii="Times New Roman" w:hAnsi="Times New Roman"/>
                <w:kern w:val="0"/>
                <w:sz w:val="22"/>
                <w:szCs w:val="22"/>
                <w:lang w:val="ru-RU" w:eastAsia="en-US" w:bidi="ar-SA"/>
              </w:rPr>
            </w:r>
          </w:p>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ascii="Times New Roman" w:hAnsi="Times New Roman" w:eastAsiaTheme="majorEastAsia"/>
                <w:kern w:val="0"/>
                <w:sz w:val="22"/>
                <w:szCs w:val="22"/>
                <w:lang w:val="ru-RU" w:eastAsia="en-US" w:bidi="ar-SA"/>
              </w:rPr>
              <w:t>Использование гербицидов при уходе за растительностью в полосе отчуждения дороги.</w:t>
            </w:r>
          </w:p>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eastAsiaTheme="majorEastAsia" w:ascii="Times New Roman" w:hAnsi="Times New Roman"/>
                <w:kern w:val="0"/>
                <w:sz w:val="22"/>
                <w:szCs w:val="22"/>
                <w:lang w:val="ru-RU" w:eastAsia="en-US" w:bidi="ar-SA"/>
              </w:rPr>
            </w:r>
          </w:p>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ascii="Times New Roman" w:hAnsi="Times New Roman" w:eastAsiaTheme="majorEastAsia"/>
                <w:kern w:val="0"/>
                <w:sz w:val="22"/>
                <w:szCs w:val="22"/>
                <w:lang w:val="ru-RU" w:eastAsia="en-US" w:bidi="ar-SA"/>
              </w:rPr>
              <w:t>Нарушение биотопов, вплоть до разрушения, при строительстве дорог.</w:t>
            </w:r>
          </w:p>
        </w:tc>
        <w:tc>
          <w:tcPr>
            <w:tcW w:w="2006" w:type="dxa"/>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ascii="Times New Roman" w:hAnsi="Times New Roman" w:eastAsiaTheme="majorEastAsia"/>
                <w:kern w:val="0"/>
                <w:sz w:val="22"/>
                <w:szCs w:val="22"/>
                <w:lang w:val="ru-RU" w:eastAsia="en-US" w:bidi="ar-SA"/>
              </w:rPr>
              <w:t>При строительстве и реконструкции дорог образуются камни и вынутый грунт, твердые отходы при снятии старого покрытия, дорожный мусор.</w:t>
            </w:r>
          </w:p>
        </w:tc>
        <w:tc>
          <w:tcPr>
            <w:tcW w:w="2563" w:type="dxa"/>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ascii="Times New Roman" w:hAnsi="Times New Roman" w:eastAsiaTheme="majorEastAsia"/>
                <w:kern w:val="0"/>
                <w:sz w:val="22"/>
                <w:szCs w:val="22"/>
                <w:lang w:val="ru-RU" w:eastAsia="en-US" w:bidi="ar-SA"/>
              </w:rPr>
              <w:t>Шум двигателей автомобилей, выбросов выхлопных газов, аэродинамический шум и шум от взаимодействия шин с покрытием</w:t>
            </w:r>
          </w:p>
        </w:tc>
      </w:tr>
      <w:tr>
        <w:trPr>
          <w:trHeight w:val="627" w:hRule="atLeast"/>
        </w:trPr>
        <w:tc>
          <w:tcPr>
            <w:tcW w:w="15125" w:type="dxa"/>
            <w:gridSpan w:val="7"/>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i/>
                <w:i/>
              </w:rPr>
            </w:pPr>
            <w:r>
              <w:rPr>
                <w:rFonts w:eastAsia="" w:cs="Times New Roman" w:ascii="Times New Roman" w:hAnsi="Times New Roman" w:eastAsiaTheme="majorEastAsia"/>
                <w:i/>
                <w:kern w:val="0"/>
                <w:sz w:val="22"/>
                <w:szCs w:val="22"/>
                <w:lang w:val="ru-RU" w:eastAsia="en-US" w:bidi="ar-SA"/>
              </w:rPr>
              <w:t>Инженерная отрасль</w:t>
            </w:r>
          </w:p>
        </w:tc>
      </w:tr>
      <w:tr>
        <w:trPr>
          <w:trHeight w:val="2054" w:hRule="atLeast"/>
        </w:trPr>
        <w:tc>
          <w:tcPr>
            <w:tcW w:w="2433" w:type="dxa"/>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ascii="Times New Roman" w:hAnsi="Times New Roman" w:eastAsiaTheme="majorEastAsia"/>
                <w:kern w:val="0"/>
                <w:sz w:val="22"/>
                <w:szCs w:val="22"/>
                <w:lang w:val="ru-RU" w:eastAsia="en-US" w:bidi="ar-SA"/>
              </w:rPr>
              <w:t>Распределительные газопроводы</w:t>
            </w:r>
          </w:p>
        </w:tc>
        <w:tc>
          <w:tcPr>
            <w:tcW w:w="2050" w:type="dxa"/>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ascii="Times New Roman" w:hAnsi="Times New Roman" w:eastAsiaTheme="majorEastAsia"/>
                <w:kern w:val="0"/>
                <w:sz w:val="22"/>
                <w:szCs w:val="22"/>
                <w:lang w:val="ru-RU" w:eastAsia="en-US" w:bidi="ar-SA"/>
              </w:rPr>
              <w:t>Утечки газа (в основном, метана) в атмосферу при работе в штатном режиме, при продувке оборудования, вследствие физического износа.</w:t>
            </w:r>
          </w:p>
        </w:tc>
        <w:tc>
          <w:tcPr>
            <w:tcW w:w="2052" w:type="dxa"/>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ascii="Times New Roman" w:hAnsi="Times New Roman" w:eastAsiaTheme="majorEastAsia"/>
                <w:kern w:val="0"/>
                <w:sz w:val="22"/>
                <w:szCs w:val="22"/>
                <w:lang w:val="ru-RU" w:eastAsia="en-US" w:bidi="ar-SA"/>
              </w:rPr>
              <w:t>-</w:t>
            </w:r>
          </w:p>
        </w:tc>
        <w:tc>
          <w:tcPr>
            <w:tcW w:w="2195" w:type="dxa"/>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ascii="Times New Roman" w:hAnsi="Times New Roman" w:eastAsiaTheme="majorEastAsia"/>
                <w:kern w:val="0"/>
                <w:sz w:val="22"/>
                <w:szCs w:val="22"/>
                <w:lang w:val="ru-RU" w:eastAsia="en-US" w:bidi="ar-SA"/>
              </w:rPr>
              <w:t>-</w:t>
            </w:r>
          </w:p>
        </w:tc>
        <w:tc>
          <w:tcPr>
            <w:tcW w:w="1826" w:type="dxa"/>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ascii="Times New Roman" w:hAnsi="Times New Roman" w:eastAsiaTheme="majorEastAsia"/>
                <w:kern w:val="0"/>
                <w:sz w:val="22"/>
                <w:szCs w:val="22"/>
                <w:lang w:val="ru-RU" w:eastAsia="en-US" w:bidi="ar-SA"/>
              </w:rPr>
              <w:t>Воздействие на биотопы при строительстве: земляных работах, прокладке траншей, сооружении ГРП.</w:t>
            </w:r>
          </w:p>
        </w:tc>
        <w:tc>
          <w:tcPr>
            <w:tcW w:w="2006" w:type="dxa"/>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ascii="Times New Roman" w:hAnsi="Times New Roman" w:eastAsiaTheme="majorEastAsia"/>
                <w:kern w:val="0"/>
                <w:sz w:val="22"/>
                <w:szCs w:val="22"/>
                <w:lang w:val="ru-RU" w:eastAsia="en-US" w:bidi="ar-SA"/>
              </w:rPr>
              <w:t>Твердые отходы при строительстве и реконструкции.</w:t>
            </w:r>
          </w:p>
        </w:tc>
        <w:tc>
          <w:tcPr>
            <w:tcW w:w="2563" w:type="dxa"/>
            <w:tcBorders/>
            <w:vAlign w:val="center"/>
          </w:tcPr>
          <w:p>
            <w:pPr>
              <w:pStyle w:val="Normal"/>
              <w:widowControl w:val="false"/>
              <w:suppressAutoHyphens w:val="true"/>
              <w:spacing w:lineRule="auto" w:line="240" w:before="0" w:after="0"/>
              <w:jc w:val="center"/>
              <w:rPr>
                <w:rFonts w:ascii="Times New Roman" w:hAnsi="Times New Roman" w:eastAsia="" w:cs="Times New Roman" w:eastAsiaTheme="majorEastAsia"/>
              </w:rPr>
            </w:pPr>
            <w:r>
              <w:rPr>
                <w:rFonts w:eastAsia="" w:cs="Times New Roman" w:ascii="Times New Roman" w:hAnsi="Times New Roman" w:eastAsiaTheme="majorEastAsia"/>
                <w:kern w:val="0"/>
                <w:sz w:val="22"/>
                <w:szCs w:val="22"/>
                <w:lang w:val="ru-RU" w:eastAsia="en-US" w:bidi="ar-SA"/>
              </w:rPr>
              <w:t>Взрывопожароопасность</w:t>
            </w:r>
          </w:p>
        </w:tc>
      </w:tr>
    </w:tbl>
    <w:p>
      <w:pPr>
        <w:sectPr>
          <w:footerReference w:type="default" r:id="rId45"/>
          <w:footerReference w:type="first" r:id="rId46"/>
          <w:type w:val="nextPage"/>
          <w:pgSz w:orient="landscape" w:w="16838" w:h="11906"/>
          <w:pgMar w:left="1134" w:right="851" w:gutter="0" w:header="0" w:top="851" w:footer="0" w:bottom="851"/>
          <w:pgNumType w:fmt="decimal"/>
          <w:formProt w:val="false"/>
          <w:textDirection w:val="lrTb"/>
          <w:docGrid w:type="default" w:linePitch="381" w:charSpace="0"/>
        </w:sectPr>
        <w:pStyle w:val="Normal"/>
        <w:widowControl w:val="false"/>
        <w:numPr>
          <w:ilvl w:val="0"/>
          <w:numId w:val="0"/>
        </w:numPr>
        <w:suppressAutoHyphens w:val="true"/>
        <w:spacing w:lineRule="auto" w:line="240" w:before="0" w:after="0"/>
        <w:jc w:val="center"/>
        <w:outlineLvl w:val="0"/>
        <w:rPr>
          <w:rFonts w:ascii="Times New Roman" w:hAnsi="Times New Roman" w:eastAsia="" w:cs="Times New Roman" w:eastAsiaTheme="majorEastAsia"/>
          <w:b/>
          <w:sz w:val="28"/>
          <w:szCs w:val="28"/>
        </w:rPr>
      </w:pPr>
      <w:r>
        <w:rPr>
          <w:rFonts w:eastAsia="" w:cs="Times New Roman" w:eastAsiaTheme="majorEastAsia" w:ascii="Times New Roman" w:hAnsi="Times New Roman"/>
          <w:b/>
          <w:sz w:val="28"/>
          <w:szCs w:val="28"/>
        </w:rPr>
      </w:r>
    </w:p>
    <w:p>
      <w:pPr>
        <w:pStyle w:val="Normal"/>
        <w:widowControl w:val="false"/>
        <w:numPr>
          <w:ilvl w:val="1"/>
          <w:numId w:val="30"/>
        </w:numPr>
        <w:suppressAutoHyphens w:val="true"/>
        <w:spacing w:lineRule="auto" w:line="240" w:before="0" w:after="0"/>
        <w:ind w:left="0" w:firstLine="709"/>
        <w:jc w:val="center"/>
        <w:outlineLvl w:val="1"/>
        <w:rPr>
          <w:rFonts w:ascii="Times New Roman" w:hAnsi="Times New Roman" w:eastAsia="" w:cs="Times New Roman" w:eastAsiaTheme="majorEastAsia"/>
          <w:b/>
          <w:sz w:val="28"/>
          <w:szCs w:val="28"/>
        </w:rPr>
      </w:pPr>
      <w:bookmarkStart w:id="123" w:name="_Toc147740045"/>
      <w:bookmarkStart w:id="124" w:name="_Toc34205831"/>
      <w:r>
        <w:rPr>
          <w:rFonts w:eastAsia="" w:cs="Times New Roman" w:ascii="Times New Roman" w:hAnsi="Times New Roman" w:eastAsiaTheme="majorEastAsia"/>
          <w:b/>
          <w:sz w:val="28"/>
          <w:szCs w:val="28"/>
        </w:rPr>
        <w:t xml:space="preserve">Оценка </w:t>
      </w:r>
      <w:bookmarkEnd w:id="124"/>
      <w:r>
        <w:rPr>
          <w:rFonts w:eastAsia="" w:cs="Times New Roman" w:ascii="Times New Roman" w:hAnsi="Times New Roman" w:eastAsiaTheme="majorEastAsia"/>
          <w:b/>
          <w:sz w:val="28"/>
          <w:szCs w:val="28"/>
        </w:rPr>
        <w:t>негативного воздействия на атмосферный воздух</w:t>
      </w:r>
      <w:bookmarkEnd w:id="123"/>
    </w:p>
    <w:p>
      <w:pPr>
        <w:pStyle w:val="Style38"/>
        <w:ind w:firstLine="709"/>
        <w:rPr>
          <w:szCs w:val="28"/>
        </w:rPr>
      </w:pPr>
      <w:r>
        <w:rPr>
          <w:szCs w:val="28"/>
        </w:rPr>
        <w:t>Атмосферный воздух относится к числу приоритетных факторов окружающей среды, оказывающих влияние на состояние здоровья населения.</w:t>
      </w:r>
    </w:p>
    <w:p>
      <w:pPr>
        <w:pStyle w:val="Style38"/>
        <w:spacing w:before="0" w:after="0"/>
        <w:ind w:firstLine="709"/>
        <w:contextualSpacing/>
        <w:rPr>
          <w:szCs w:val="28"/>
        </w:rPr>
      </w:pPr>
      <w:r>
        <w:rPr>
          <w:szCs w:val="28"/>
        </w:rPr>
        <w:t>Основными источниками загрязнения атмосферного воздуха в поселении являются объекты следующих отраслей:</w:t>
      </w:r>
    </w:p>
    <w:p>
      <w:pPr>
        <w:pStyle w:val="Style38"/>
        <w:numPr>
          <w:ilvl w:val="0"/>
          <w:numId w:val="31"/>
        </w:numPr>
        <w:spacing w:before="0" w:after="0"/>
        <w:ind w:left="0" w:firstLine="709"/>
        <w:contextualSpacing/>
        <w:rPr>
          <w:szCs w:val="28"/>
        </w:rPr>
      </w:pPr>
      <w:r>
        <w:rPr>
          <w:szCs w:val="28"/>
        </w:rPr>
        <w:t>ООО «Матюшинский карьер»;</w:t>
      </w:r>
    </w:p>
    <w:p>
      <w:pPr>
        <w:pStyle w:val="Style38"/>
        <w:numPr>
          <w:ilvl w:val="0"/>
          <w:numId w:val="31"/>
        </w:numPr>
        <w:spacing w:before="0" w:after="0"/>
        <w:ind w:left="0" w:firstLine="709"/>
        <w:contextualSpacing/>
        <w:rPr>
          <w:szCs w:val="28"/>
        </w:rPr>
      </w:pPr>
      <w:r>
        <w:rPr>
          <w:szCs w:val="28"/>
        </w:rPr>
        <w:t>Магистральные нефтепроводы и газопроводы;</w:t>
      </w:r>
    </w:p>
    <w:p>
      <w:pPr>
        <w:pStyle w:val="Style38"/>
        <w:numPr>
          <w:ilvl w:val="0"/>
          <w:numId w:val="31"/>
        </w:numPr>
        <w:spacing w:before="0" w:after="0"/>
        <w:ind w:left="0" w:firstLine="709"/>
        <w:contextualSpacing/>
        <w:rPr>
          <w:szCs w:val="28"/>
        </w:rPr>
      </w:pPr>
      <w:r>
        <w:rPr>
          <w:szCs w:val="28"/>
        </w:rPr>
        <w:t>Автомобильные дороги.</w:t>
      </w:r>
    </w:p>
    <w:p>
      <w:pPr>
        <w:pStyle w:val="ListParagraph"/>
        <w:spacing w:lineRule="auto" w:line="240" w:before="0" w:after="0"/>
        <w:ind w:left="0" w:firstLine="709"/>
        <w:contextualSpacing/>
        <w:jc w:val="both"/>
        <w:rPr>
          <w:rFonts w:ascii="Times New Roman" w:hAnsi="Times New Roman" w:cs="Times New Roman"/>
          <w:sz w:val="28"/>
          <w:szCs w:val="28"/>
          <w:highlight w:val="yellow"/>
        </w:rPr>
      </w:pPr>
      <w:r>
        <w:rPr>
          <w:rFonts w:cs="Times New Roman" w:ascii="Times New Roman" w:hAnsi="Times New Roman"/>
          <w:sz w:val="28"/>
          <w:szCs w:val="28"/>
          <w:highlight w:val="yellow"/>
        </w:rPr>
      </w:r>
    </w:p>
    <w:p>
      <w:pPr>
        <w:pStyle w:val="ListParagraph"/>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i/>
          <w:sz w:val="28"/>
          <w:szCs w:val="28"/>
        </w:rPr>
        <w:t xml:space="preserve">Промышленная отрасль. </w:t>
      </w:r>
      <w:r>
        <w:rPr>
          <w:rFonts w:cs="Times New Roman" w:ascii="Times New Roman" w:hAnsi="Times New Roman"/>
          <w:sz w:val="28"/>
          <w:szCs w:val="28"/>
        </w:rPr>
        <w:t xml:space="preserve">На территории поселения существуют следующие объекты промышленной отрасли, влияющие на атмосферный воздух: </w:t>
      </w:r>
    </w:p>
    <w:p>
      <w:pPr>
        <w:pStyle w:val="ListParagraph"/>
        <w:numPr>
          <w:ilvl w:val="0"/>
          <w:numId w:val="32"/>
        </w:numPr>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Добыча общераспрострастраненных полезных ископаемых;</w:t>
      </w:r>
    </w:p>
    <w:p>
      <w:pPr>
        <w:pStyle w:val="ListParagraph"/>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r>
    </w:p>
    <w:p>
      <w:pPr>
        <w:pStyle w:val="ListParagraph"/>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b/>
          <w:sz w:val="28"/>
          <w:szCs w:val="28"/>
        </w:rPr>
        <w:t>Добыча общераспрострастраненных полезных ископаемых</w:t>
      </w:r>
      <w:r>
        <w:rPr>
          <w:rFonts w:cs="Times New Roman" w:ascii="Times New Roman" w:hAnsi="Times New Roman"/>
          <w:sz w:val="28"/>
          <w:szCs w:val="28"/>
        </w:rPr>
        <w:t xml:space="preserve">. Согласно предоставленным данным ООО «Матюшинский карьер», в карьере производится добыча щебня и известняка. Добыча производится открытым способом с помощью бульдозеров-экскаваторов. Далее камень погружается на машины и отвозится на дробильно-сортировочные установки (ДСУ). Добыча щебня и извести происходит только в теплый период года с мая по октябрь в дневное время. За год производится добыча 90000 т известняка и 21000 т щебня. </w:t>
      </w:r>
    </w:p>
    <w:p>
      <w:pPr>
        <w:pStyle w:val="ListParagraph"/>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Выброс загрязняющих веществ происходит при:</w:t>
      </w:r>
    </w:p>
    <w:p>
      <w:pPr>
        <w:pStyle w:val="ListParagraph"/>
        <w:numPr>
          <w:ilvl w:val="0"/>
          <w:numId w:val="32"/>
        </w:numPr>
        <w:spacing w:lineRule="auto" w:line="240" w:before="0" w:after="0"/>
        <w:contextualSpacing/>
        <w:jc w:val="both"/>
        <w:rPr>
          <w:rFonts w:ascii="Times New Roman" w:hAnsi="Times New Roman" w:cs="Times New Roman"/>
          <w:sz w:val="28"/>
          <w:szCs w:val="28"/>
        </w:rPr>
      </w:pPr>
      <w:r>
        <w:rPr>
          <w:rFonts w:cs="Times New Roman" w:ascii="Times New Roman" w:hAnsi="Times New Roman"/>
          <w:sz w:val="28"/>
          <w:szCs w:val="28"/>
        </w:rPr>
        <w:t>добычи известняка и щебня;</w:t>
      </w:r>
    </w:p>
    <w:p>
      <w:pPr>
        <w:pStyle w:val="ListParagraph"/>
        <w:numPr>
          <w:ilvl w:val="0"/>
          <w:numId w:val="32"/>
        </w:numPr>
        <w:spacing w:lineRule="auto" w:line="240" w:before="0" w:after="0"/>
        <w:contextualSpacing/>
        <w:jc w:val="both"/>
        <w:rPr>
          <w:rFonts w:ascii="Times New Roman" w:hAnsi="Times New Roman" w:cs="Times New Roman"/>
          <w:sz w:val="28"/>
          <w:szCs w:val="28"/>
        </w:rPr>
      </w:pPr>
      <w:r>
        <w:rPr>
          <w:rFonts w:cs="Times New Roman" w:ascii="Times New Roman" w:hAnsi="Times New Roman"/>
          <w:sz w:val="28"/>
          <w:szCs w:val="28"/>
        </w:rPr>
        <w:t>погрузки и разгрузки камня;</w:t>
      </w:r>
    </w:p>
    <w:p>
      <w:pPr>
        <w:pStyle w:val="ListParagraph"/>
        <w:numPr>
          <w:ilvl w:val="0"/>
          <w:numId w:val="32"/>
        </w:numPr>
        <w:spacing w:lineRule="auto" w:line="240" w:before="0" w:after="0"/>
        <w:contextualSpacing/>
        <w:jc w:val="both"/>
        <w:rPr>
          <w:rFonts w:ascii="Times New Roman" w:hAnsi="Times New Roman" w:cs="Times New Roman"/>
          <w:sz w:val="28"/>
          <w:szCs w:val="28"/>
        </w:rPr>
      </w:pPr>
      <w:r>
        <w:rPr>
          <w:rFonts w:cs="Times New Roman" w:ascii="Times New Roman" w:hAnsi="Times New Roman"/>
          <w:sz w:val="28"/>
          <w:szCs w:val="28"/>
        </w:rPr>
        <w:t>движения автотранспорта по территории карьера;</w:t>
      </w:r>
    </w:p>
    <w:p>
      <w:pPr>
        <w:pStyle w:val="ListParagraph"/>
        <w:numPr>
          <w:ilvl w:val="0"/>
          <w:numId w:val="32"/>
        </w:numPr>
        <w:spacing w:lineRule="auto" w:line="240" w:before="0" w:after="0"/>
        <w:contextualSpacing/>
        <w:jc w:val="both"/>
        <w:rPr>
          <w:rFonts w:ascii="Times New Roman" w:hAnsi="Times New Roman" w:cs="Times New Roman"/>
          <w:sz w:val="28"/>
          <w:szCs w:val="28"/>
        </w:rPr>
      </w:pPr>
      <w:r>
        <w:rPr>
          <w:rFonts w:cs="Times New Roman" w:ascii="Times New Roman" w:hAnsi="Times New Roman"/>
          <w:sz w:val="28"/>
          <w:szCs w:val="28"/>
        </w:rPr>
        <w:t>работе техники в карьере;</w:t>
      </w:r>
    </w:p>
    <w:p>
      <w:pPr>
        <w:pStyle w:val="ListParagraph"/>
        <w:numPr>
          <w:ilvl w:val="0"/>
          <w:numId w:val="32"/>
        </w:numPr>
        <w:spacing w:lineRule="auto" w:line="240" w:before="0" w:after="0"/>
        <w:contextualSpacing/>
        <w:jc w:val="both"/>
        <w:rPr>
          <w:rFonts w:ascii="Times New Roman" w:hAnsi="Times New Roman" w:cs="Times New Roman"/>
          <w:sz w:val="28"/>
          <w:szCs w:val="28"/>
        </w:rPr>
      </w:pPr>
      <w:r>
        <w:rPr>
          <w:rFonts w:cs="Times New Roman" w:ascii="Times New Roman" w:hAnsi="Times New Roman"/>
          <w:sz w:val="28"/>
          <w:szCs w:val="28"/>
        </w:rPr>
        <w:t>работы ДСУ;</w:t>
      </w:r>
    </w:p>
    <w:p>
      <w:pPr>
        <w:pStyle w:val="ListParagraph"/>
        <w:numPr>
          <w:ilvl w:val="0"/>
          <w:numId w:val="32"/>
        </w:numPr>
        <w:spacing w:lineRule="auto" w:line="240" w:before="0" w:after="0"/>
        <w:contextualSpacing/>
        <w:jc w:val="both"/>
        <w:rPr>
          <w:rFonts w:ascii="Times New Roman" w:hAnsi="Times New Roman" w:cs="Times New Roman"/>
          <w:sz w:val="28"/>
          <w:szCs w:val="28"/>
        </w:rPr>
      </w:pPr>
      <w:r>
        <w:rPr>
          <w:rFonts w:cs="Times New Roman" w:ascii="Times New Roman" w:hAnsi="Times New Roman"/>
          <w:sz w:val="28"/>
          <w:szCs w:val="28"/>
        </w:rPr>
        <w:t>погрузки щебня и известняка;</w:t>
      </w:r>
    </w:p>
    <w:p>
      <w:pPr>
        <w:pStyle w:val="ListParagraph"/>
        <w:numPr>
          <w:ilvl w:val="0"/>
          <w:numId w:val="32"/>
        </w:numPr>
        <w:spacing w:lineRule="auto" w:line="240" w:before="0" w:after="0"/>
        <w:contextualSpacing/>
        <w:jc w:val="both"/>
        <w:rPr>
          <w:rFonts w:ascii="Times New Roman" w:hAnsi="Times New Roman" w:cs="Times New Roman"/>
          <w:sz w:val="28"/>
          <w:szCs w:val="28"/>
        </w:rPr>
      </w:pPr>
      <w:r>
        <w:rPr>
          <w:rFonts w:cs="Times New Roman" w:ascii="Times New Roman" w:hAnsi="Times New Roman"/>
          <w:sz w:val="28"/>
          <w:szCs w:val="28"/>
        </w:rPr>
        <w:t>при хранении готовой продукции.</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На территории карьера расположено четыре дробильно-сортировочных установки (ДСУ№1-ДСУ№4), две по переработке известняка, две для щебня. Одновременно работает две ДСУ.</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Дробильно-сортировочная установка состоит из:</w:t>
      </w:r>
    </w:p>
    <w:p>
      <w:pPr>
        <w:pStyle w:val="ListParagraph"/>
        <w:numPr>
          <w:ilvl w:val="0"/>
          <w:numId w:val="33"/>
        </w:numPr>
        <w:spacing w:lineRule="auto" w:line="240" w:before="0" w:after="0"/>
        <w:contextualSpacing/>
        <w:jc w:val="both"/>
        <w:rPr>
          <w:rFonts w:ascii="Times New Roman" w:hAnsi="Times New Roman" w:cs="Times New Roman"/>
          <w:sz w:val="28"/>
          <w:szCs w:val="28"/>
        </w:rPr>
      </w:pPr>
      <w:r>
        <w:rPr>
          <w:rFonts w:cs="Times New Roman" w:ascii="Times New Roman" w:hAnsi="Times New Roman"/>
          <w:sz w:val="28"/>
          <w:szCs w:val="28"/>
        </w:rPr>
        <w:t>грохот ГИЛ-52;</w:t>
      </w:r>
    </w:p>
    <w:p>
      <w:pPr>
        <w:pStyle w:val="ListParagraph"/>
        <w:numPr>
          <w:ilvl w:val="0"/>
          <w:numId w:val="33"/>
        </w:numPr>
        <w:spacing w:lineRule="auto" w:line="240" w:before="0" w:after="0"/>
        <w:contextualSpacing/>
        <w:jc w:val="both"/>
        <w:rPr>
          <w:rFonts w:ascii="Times New Roman" w:hAnsi="Times New Roman" w:cs="Times New Roman"/>
          <w:sz w:val="28"/>
          <w:szCs w:val="28"/>
        </w:rPr>
      </w:pPr>
      <w:r>
        <w:rPr>
          <w:rFonts w:cs="Times New Roman" w:ascii="Times New Roman" w:hAnsi="Times New Roman"/>
          <w:sz w:val="28"/>
          <w:szCs w:val="28"/>
        </w:rPr>
        <w:t>дробилка СМД-170;</w:t>
      </w:r>
    </w:p>
    <w:p>
      <w:pPr>
        <w:pStyle w:val="ListParagraph"/>
        <w:numPr>
          <w:ilvl w:val="0"/>
          <w:numId w:val="33"/>
        </w:numPr>
        <w:spacing w:lineRule="auto" w:line="240" w:before="0" w:after="0"/>
        <w:contextualSpacing/>
        <w:jc w:val="both"/>
        <w:rPr>
          <w:rFonts w:ascii="Times New Roman" w:hAnsi="Times New Roman" w:cs="Times New Roman"/>
          <w:sz w:val="28"/>
          <w:szCs w:val="28"/>
        </w:rPr>
      </w:pPr>
      <w:r>
        <w:rPr>
          <w:rFonts w:cs="Times New Roman" w:ascii="Times New Roman" w:hAnsi="Times New Roman"/>
          <w:sz w:val="28"/>
          <w:szCs w:val="28"/>
        </w:rPr>
        <w:t>конвейера.</w:t>
      </w:r>
    </w:p>
    <w:p>
      <w:pPr>
        <w:pStyle w:val="Normal"/>
        <w:spacing w:lineRule="auto" w:line="240" w:before="0" w:after="0"/>
        <w:ind w:left="708" w:firstLine="567"/>
        <w:jc w:val="both"/>
        <w:rPr>
          <w:rFonts w:ascii="Times New Roman" w:hAnsi="Times New Roman" w:cs="Times New Roman"/>
          <w:sz w:val="28"/>
          <w:szCs w:val="28"/>
        </w:rPr>
      </w:pPr>
      <w:r>
        <w:rPr>
          <w:rFonts w:cs="Times New Roman" w:ascii="Times New Roman" w:hAnsi="Times New Roman"/>
          <w:sz w:val="28"/>
          <w:szCs w:val="28"/>
        </w:rPr>
        <w:t>Выделяются следующие загрязняющие вещества от:</w:t>
      </w:r>
    </w:p>
    <w:p>
      <w:pPr>
        <w:pStyle w:val="ListParagraph"/>
        <w:numPr>
          <w:ilvl w:val="0"/>
          <w:numId w:val="34"/>
        </w:numPr>
        <w:spacing w:lineRule="auto" w:line="240" w:before="0" w:after="0"/>
        <w:contextualSpacing/>
        <w:jc w:val="both"/>
        <w:rPr>
          <w:rFonts w:ascii="Times New Roman" w:hAnsi="Times New Roman" w:cs="Times New Roman"/>
          <w:sz w:val="28"/>
          <w:szCs w:val="28"/>
        </w:rPr>
      </w:pPr>
      <w:r>
        <w:rPr>
          <w:rFonts w:cs="Times New Roman" w:ascii="Times New Roman" w:hAnsi="Times New Roman"/>
          <w:sz w:val="28"/>
          <w:szCs w:val="28"/>
        </w:rPr>
        <w:t>добычи известняка и щебня: Пыль неорганическая (SiO2&lt;20%) (Доломит и др.);</w:t>
      </w:r>
    </w:p>
    <w:p>
      <w:pPr>
        <w:pStyle w:val="ListParagraph"/>
        <w:numPr>
          <w:ilvl w:val="0"/>
          <w:numId w:val="34"/>
        </w:numPr>
        <w:spacing w:lineRule="auto" w:line="240" w:before="0" w:after="0"/>
        <w:contextualSpacing/>
        <w:jc w:val="both"/>
        <w:rPr>
          <w:rFonts w:ascii="Times New Roman" w:hAnsi="Times New Roman" w:cs="Times New Roman"/>
          <w:sz w:val="28"/>
          <w:szCs w:val="28"/>
        </w:rPr>
      </w:pPr>
      <w:r>
        <w:rPr>
          <w:rFonts w:cs="Times New Roman" w:ascii="Times New Roman" w:hAnsi="Times New Roman"/>
          <w:sz w:val="28"/>
          <w:szCs w:val="28"/>
        </w:rPr>
        <w:t>погрузке и разгрузке камня: Пыль неорганическая (SiO2&lt;20%) (Доломит и др.);</w:t>
      </w:r>
    </w:p>
    <w:p>
      <w:pPr>
        <w:pStyle w:val="ListParagraph"/>
        <w:numPr>
          <w:ilvl w:val="0"/>
          <w:numId w:val="34"/>
        </w:numPr>
        <w:spacing w:lineRule="auto" w:line="240" w:before="0" w:after="0"/>
        <w:contextualSpacing/>
        <w:jc w:val="both"/>
        <w:rPr>
          <w:rFonts w:ascii="Times New Roman" w:hAnsi="Times New Roman" w:cs="Times New Roman"/>
          <w:sz w:val="28"/>
          <w:szCs w:val="28"/>
        </w:rPr>
      </w:pPr>
      <w:r>
        <w:rPr>
          <w:rFonts w:cs="Times New Roman" w:ascii="Times New Roman" w:hAnsi="Times New Roman"/>
          <w:sz w:val="28"/>
          <w:szCs w:val="28"/>
        </w:rPr>
        <w:t>движении автотранспорта по территории карьера и работе техники в карьере: Азота II оксид (Азота оксид), Азота IV оксид (Азота диоксид), Керосин, Серы диоксид (Ангидрид сернистый), Углерод черный (Сажа), Углерода оксид;</w:t>
      </w:r>
    </w:p>
    <w:p>
      <w:pPr>
        <w:pStyle w:val="ListParagraph"/>
        <w:numPr>
          <w:ilvl w:val="0"/>
          <w:numId w:val="34"/>
        </w:numPr>
        <w:spacing w:lineRule="auto" w:line="240" w:before="0" w:after="0"/>
        <w:contextualSpacing/>
        <w:jc w:val="both"/>
        <w:rPr>
          <w:rFonts w:ascii="Times New Roman" w:hAnsi="Times New Roman" w:cs="Times New Roman"/>
          <w:sz w:val="28"/>
          <w:szCs w:val="28"/>
        </w:rPr>
      </w:pPr>
      <w:r>
        <w:rPr>
          <w:rFonts w:cs="Times New Roman" w:ascii="Times New Roman" w:hAnsi="Times New Roman"/>
          <w:sz w:val="28"/>
          <w:szCs w:val="28"/>
        </w:rPr>
        <w:t>работе ДСУ: Пыль неорганическая (SiO2&lt;20%) (Доломит и др.);</w:t>
      </w:r>
    </w:p>
    <w:p>
      <w:pPr>
        <w:pStyle w:val="ListParagraph"/>
        <w:numPr>
          <w:ilvl w:val="0"/>
          <w:numId w:val="34"/>
        </w:numPr>
        <w:spacing w:lineRule="auto" w:line="240" w:before="0" w:after="0"/>
        <w:contextualSpacing/>
        <w:jc w:val="both"/>
        <w:rPr>
          <w:rFonts w:ascii="Times New Roman" w:hAnsi="Times New Roman" w:cs="Times New Roman"/>
          <w:sz w:val="28"/>
          <w:szCs w:val="28"/>
        </w:rPr>
      </w:pPr>
      <w:r>
        <w:rPr>
          <w:rFonts w:cs="Times New Roman" w:ascii="Times New Roman" w:hAnsi="Times New Roman"/>
          <w:sz w:val="28"/>
          <w:szCs w:val="28"/>
        </w:rPr>
        <w:t>погрузке щебня и известняка: Пыль неорганическая (SiO2&lt;20%) (Доломит и др.);</w:t>
      </w:r>
    </w:p>
    <w:p>
      <w:pPr>
        <w:pStyle w:val="ListParagraph"/>
        <w:numPr>
          <w:ilvl w:val="0"/>
          <w:numId w:val="34"/>
        </w:numPr>
        <w:spacing w:lineRule="auto" w:line="240" w:before="0" w:after="0"/>
        <w:contextualSpacing/>
        <w:jc w:val="both"/>
        <w:rPr>
          <w:rFonts w:ascii="Times New Roman" w:hAnsi="Times New Roman" w:cs="Times New Roman"/>
          <w:sz w:val="28"/>
          <w:szCs w:val="28"/>
        </w:rPr>
      </w:pPr>
      <w:r>
        <w:rPr>
          <w:rFonts w:cs="Times New Roman" w:ascii="Times New Roman" w:hAnsi="Times New Roman"/>
          <w:sz w:val="28"/>
          <w:szCs w:val="28"/>
        </w:rPr>
        <w:t>при хранении готовой продукции: Пыль неорганическая (SiO2 &lt;20%) (Доломит и др.)</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ListParagraph"/>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i/>
          <w:sz w:val="28"/>
          <w:szCs w:val="28"/>
        </w:rPr>
        <w:t xml:space="preserve">Отрасль сельского хозяйства. </w:t>
      </w:r>
      <w:r>
        <w:rPr>
          <w:rFonts w:cs="Times New Roman" w:ascii="Times New Roman" w:hAnsi="Times New Roman"/>
          <w:sz w:val="28"/>
          <w:szCs w:val="28"/>
        </w:rPr>
        <w:t>На территории поселения существуют следующие объекты отрасли сельского хозяйства, влияющие на атмосферный воздух:</w:t>
      </w:r>
    </w:p>
    <w:p>
      <w:pPr>
        <w:pStyle w:val="ListParagraph"/>
        <w:widowControl w:val="false"/>
        <w:numPr>
          <w:ilvl w:val="0"/>
          <w:numId w:val="35"/>
        </w:numPr>
        <w:suppressAutoHyphens w:val="true"/>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Сельскохозяйственные угодья.</w:t>
      </w:r>
    </w:p>
    <w:p>
      <w:pPr>
        <w:pStyle w:val="ListParagraph"/>
        <w:widowControl w:val="false"/>
        <w:suppressAutoHyphens w:val="true"/>
        <w:spacing w:lineRule="auto" w:line="240" w:before="0" w:after="0"/>
        <w:ind w:left="1429" w:firstLine="567"/>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widowControl w:val="false"/>
        <w:suppressAutoHyphens w:val="true"/>
        <w:spacing w:lineRule="auto" w:line="240" w:before="0" w:after="0"/>
        <w:ind w:firstLine="709"/>
        <w:jc w:val="both"/>
        <w:rPr>
          <w:rFonts w:ascii="Times New Roman" w:hAnsi="Times New Roman" w:cs="Times New Roman"/>
          <w:sz w:val="28"/>
          <w:szCs w:val="28"/>
        </w:rPr>
      </w:pPr>
      <w:r>
        <w:rPr>
          <w:rFonts w:cs="Times New Roman" w:ascii="Times New Roman" w:hAnsi="Times New Roman"/>
          <w:b/>
          <w:sz w:val="28"/>
          <w:szCs w:val="28"/>
        </w:rPr>
        <w:t>Сельскохозяйственные угодья</w:t>
      </w:r>
      <w:r>
        <w:rPr>
          <w:rFonts w:cs="Times New Roman" w:ascii="Times New Roman" w:hAnsi="Times New Roman"/>
          <w:sz w:val="28"/>
          <w:szCs w:val="28"/>
        </w:rPr>
        <w:t>. На территории поселения задействованы сельскохозяйственные земли. При ведении сельскохозяйственного производства выбросы в атмосферу в основном связаны с выбросами побочных продуктов сгорания, включая диоксид углерода (CO</w:t>
      </w:r>
      <w:r>
        <w:rPr>
          <w:rFonts w:cs="Times New Roman" w:ascii="Times New Roman" w:hAnsi="Times New Roman"/>
          <w:sz w:val="28"/>
          <w:szCs w:val="28"/>
          <w:vertAlign w:val="subscript"/>
        </w:rPr>
        <w:t>2</w:t>
      </w:r>
      <w:r>
        <w:rPr>
          <w:rFonts w:cs="Times New Roman" w:ascii="Times New Roman" w:hAnsi="Times New Roman"/>
          <w:sz w:val="28"/>
          <w:szCs w:val="28"/>
        </w:rPr>
        <w:t>), диоксид серы (</w:t>
      </w:r>
      <w:r>
        <w:rPr>
          <w:rFonts w:cs="Times New Roman" w:ascii="Times New Roman" w:hAnsi="Times New Roman"/>
          <w:sz w:val="28"/>
          <w:szCs w:val="28"/>
          <w:lang w:val="en-US"/>
        </w:rPr>
        <w:t>SO</w:t>
      </w:r>
      <w:r>
        <w:rPr>
          <w:rFonts w:cs="Times New Roman" w:ascii="Times New Roman" w:hAnsi="Times New Roman"/>
          <w:sz w:val="28"/>
          <w:szCs w:val="28"/>
          <w:vertAlign w:val="subscript"/>
        </w:rPr>
        <w:t>2</w:t>
      </w:r>
      <w:r>
        <w:rPr>
          <w:rFonts w:cs="Times New Roman" w:ascii="Times New Roman" w:hAnsi="Times New Roman"/>
          <w:sz w:val="28"/>
          <w:szCs w:val="28"/>
        </w:rPr>
        <w:t>), оксид азота (NO) и твердые частицы, образующиеся в результате работы механизированного оборудования или в результате побочных продуктов сгорания при утилизации или уничтожении растительных остатков или побочных продуктов переработки.</w:t>
      </w:r>
    </w:p>
    <w:p>
      <w:pPr>
        <w:pStyle w:val="Normal"/>
        <w:widowControl w:val="false"/>
        <w:suppressAutoHyphens w:val="tru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ListParagraph"/>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i/>
          <w:sz w:val="28"/>
          <w:szCs w:val="28"/>
        </w:rPr>
        <w:t xml:space="preserve">Транспортная отрасль. </w:t>
      </w:r>
      <w:r>
        <w:rPr>
          <w:rFonts w:cs="Times New Roman" w:ascii="Times New Roman" w:hAnsi="Times New Roman"/>
          <w:sz w:val="28"/>
          <w:szCs w:val="28"/>
        </w:rPr>
        <w:t>На территории поселения существуют следующие объекты транспортной отрасли, влияющие на атмосферный воздух:</w:t>
      </w:r>
    </w:p>
    <w:p>
      <w:pPr>
        <w:pStyle w:val="ListParagraph"/>
        <w:numPr>
          <w:ilvl w:val="0"/>
          <w:numId w:val="35"/>
        </w:numPr>
        <w:spacing w:lineRule="auto" w:line="240" w:before="0" w:after="0"/>
        <w:ind w:left="1418" w:hanging="709"/>
        <w:contextualSpacing/>
        <w:jc w:val="both"/>
        <w:rPr>
          <w:rFonts w:ascii="Times New Roman" w:hAnsi="Times New Roman" w:cs="Times New Roman"/>
          <w:sz w:val="28"/>
          <w:szCs w:val="28"/>
        </w:rPr>
      </w:pPr>
      <w:r>
        <w:rPr>
          <w:rFonts w:cs="Times New Roman" w:ascii="Times New Roman" w:hAnsi="Times New Roman"/>
          <w:sz w:val="28"/>
          <w:szCs w:val="28"/>
        </w:rPr>
        <w:t>Магистральный нефтепровод, нефтепродуктопровод;</w:t>
      </w:r>
    </w:p>
    <w:p>
      <w:pPr>
        <w:pStyle w:val="ListParagraph"/>
        <w:numPr>
          <w:ilvl w:val="0"/>
          <w:numId w:val="35"/>
        </w:numPr>
        <w:spacing w:lineRule="auto" w:line="240" w:before="0" w:after="0"/>
        <w:ind w:left="1418" w:hanging="709"/>
        <w:contextualSpacing/>
        <w:jc w:val="both"/>
        <w:rPr>
          <w:rFonts w:ascii="Times New Roman" w:hAnsi="Times New Roman" w:cs="Times New Roman"/>
          <w:sz w:val="28"/>
          <w:szCs w:val="28"/>
        </w:rPr>
      </w:pPr>
      <w:r>
        <w:rPr>
          <w:rFonts w:cs="Times New Roman" w:ascii="Times New Roman" w:hAnsi="Times New Roman"/>
          <w:sz w:val="28"/>
          <w:szCs w:val="28"/>
        </w:rPr>
        <w:t>Магистральный газопровод;</w:t>
      </w:r>
    </w:p>
    <w:p>
      <w:pPr>
        <w:pStyle w:val="ListParagraph"/>
        <w:numPr>
          <w:ilvl w:val="0"/>
          <w:numId w:val="35"/>
        </w:numPr>
        <w:spacing w:lineRule="auto" w:line="240" w:before="0" w:after="0"/>
        <w:ind w:left="1418" w:hanging="709"/>
        <w:contextualSpacing/>
        <w:jc w:val="both"/>
        <w:rPr>
          <w:rFonts w:ascii="Times New Roman" w:hAnsi="Times New Roman" w:cs="Times New Roman"/>
          <w:sz w:val="28"/>
          <w:szCs w:val="28"/>
        </w:rPr>
      </w:pPr>
      <w:r>
        <w:rPr>
          <w:rFonts w:cs="Times New Roman" w:ascii="Times New Roman" w:hAnsi="Times New Roman"/>
          <w:sz w:val="28"/>
          <w:szCs w:val="28"/>
        </w:rPr>
        <w:t>Автомобильные дороги.</w:t>
      </w:r>
    </w:p>
    <w:p>
      <w:pPr>
        <w:pStyle w:val="ListParagraph"/>
        <w:spacing w:lineRule="auto" w:line="240" w:before="0" w:after="0"/>
        <w:ind w:left="1418" w:firstLine="567"/>
        <w:contextualSpacing/>
        <w:jc w:val="both"/>
        <w:rPr>
          <w:rFonts w:ascii="Times New Roman" w:hAnsi="Times New Roman" w:cs="Times New Roman"/>
          <w:sz w:val="28"/>
          <w:szCs w:val="28"/>
        </w:rPr>
      </w:pPr>
      <w:r>
        <w:rPr>
          <w:rFonts w:cs="Times New Roman" w:ascii="Times New Roman" w:hAnsi="Times New Roman"/>
          <w:sz w:val="28"/>
          <w:szCs w:val="28"/>
        </w:rPr>
      </w:r>
    </w:p>
    <w:p>
      <w:pPr>
        <w:pStyle w:val="ListParagraph"/>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b/>
          <w:sz w:val="28"/>
          <w:szCs w:val="28"/>
        </w:rPr>
        <w:t>Магистральный нефтепровод, нефтепродуктопровод</w:t>
      </w:r>
      <w:r>
        <w:rPr>
          <w:rFonts w:cs="Times New Roman" w:ascii="Times New Roman" w:hAnsi="Times New Roman"/>
          <w:sz w:val="28"/>
          <w:szCs w:val="28"/>
        </w:rPr>
        <w:t>. Влияние на атмосферный воздух магистральных нефтепроводов связана с утечками и авариями на эксплуатирующих нефтепроводом транспорте. Данная ситуация происходит из-за коррозии на трубопроводах. При утечке на магистральных нефтепроводах загрязнителями являются продукты испарения нефти и нефтепродуктов, аммиак, этилен, ацетилен, а также продукты сгорания перекачиваемых углеводородных смесей.</w:t>
      </w:r>
    </w:p>
    <w:p>
      <w:pPr>
        <w:pStyle w:val="ListParagraph"/>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b/>
          <w:sz w:val="28"/>
          <w:szCs w:val="28"/>
        </w:rPr>
        <w:t>Магистральный газопровод</w:t>
      </w:r>
      <w:r>
        <w:rPr>
          <w:rFonts w:cs="Times New Roman" w:ascii="Times New Roman" w:hAnsi="Times New Roman"/>
          <w:sz w:val="28"/>
          <w:szCs w:val="28"/>
        </w:rPr>
        <w:t>, АГРС. При транспортировке газа на атмосферный воздух обуславливается утечкой газа. Утечка газа возникает при функционировании систем в штатном режиме, при продувке оборудования во время технического обслуживания и вследствие старения. Утечки газа – в основном, метана (CH4), одного из парниковых газов, могут быть вызваны коррозией и физическим износом трубопроводов и сопутствующих компонентов, а также неорганизованными выбросами из трубопроводов и газорегуляторных пунктов.</w:t>
      </w:r>
    </w:p>
    <w:p>
      <w:pPr>
        <w:pStyle w:val="Style38"/>
        <w:spacing w:before="0" w:after="0"/>
        <w:ind w:firstLine="709"/>
        <w:contextualSpacing/>
        <w:rPr>
          <w:szCs w:val="28"/>
        </w:rPr>
      </w:pPr>
      <w:r>
        <w:rPr>
          <w:b/>
          <w:szCs w:val="28"/>
        </w:rPr>
        <w:t>Автомобильные дороги.</w:t>
      </w:r>
      <w:r>
        <w:rPr>
          <w:szCs w:val="28"/>
        </w:rPr>
        <w:t xml:space="preserve"> Территорию поселения пересекают автодороги федерального, регионального и местного значения.</w:t>
      </w:r>
    </w:p>
    <w:p>
      <w:pPr>
        <w:pStyle w:val="Normal"/>
        <w:widowControl w:val="false"/>
        <w:suppressAutoHyphens w:val="tru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Приоритетными загрязняющими веществами, поступающими в атмосферу от передвижных источников автомобильных дорог, являются: 1,3-бутадиен, формальдегид, бензол, акролеин и диоксид азота. </w:t>
      </w:r>
    </w:p>
    <w:p>
      <w:pPr>
        <w:pStyle w:val="Normal"/>
        <w:widowControl w:val="false"/>
        <w:suppressAutoHyphens w:val="tru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widowControl w:val="false"/>
        <w:suppressAutoHyphens w:val="true"/>
        <w:spacing w:lineRule="auto" w:line="240" w:before="0" w:after="0"/>
        <w:ind w:firstLine="709"/>
        <w:jc w:val="both"/>
        <w:rPr>
          <w:rFonts w:ascii="Times New Roman" w:hAnsi="Times New Roman" w:cs="Times New Roman"/>
          <w:sz w:val="28"/>
          <w:szCs w:val="28"/>
        </w:rPr>
      </w:pPr>
      <w:r>
        <w:rPr>
          <w:rFonts w:cs="Times New Roman" w:ascii="Times New Roman" w:hAnsi="Times New Roman"/>
          <w:i/>
          <w:sz w:val="28"/>
          <w:szCs w:val="28"/>
        </w:rPr>
        <w:t xml:space="preserve">Инженерная отрасль. </w:t>
      </w:r>
      <w:r>
        <w:rPr>
          <w:rFonts w:cs="Times New Roman" w:ascii="Times New Roman" w:hAnsi="Times New Roman"/>
          <w:sz w:val="28"/>
          <w:szCs w:val="28"/>
        </w:rPr>
        <w:t>На территории поселения существуют следующие объекты инженерной отрасли, влияющие на атмосферный воздух:</w:t>
      </w:r>
    </w:p>
    <w:p>
      <w:pPr>
        <w:pStyle w:val="ListParagraph"/>
        <w:widowControl w:val="false"/>
        <w:numPr>
          <w:ilvl w:val="0"/>
          <w:numId w:val="36"/>
        </w:numPr>
        <w:tabs>
          <w:tab w:val="clear" w:pos="709"/>
          <w:tab w:val="left" w:pos="1134" w:leader="none"/>
        </w:tabs>
        <w:suppressAutoHyphens w:val="true"/>
        <w:spacing w:lineRule="auto" w:line="240" w:before="0" w:after="0"/>
        <w:ind w:left="1701" w:hanging="992"/>
        <w:contextualSpacing/>
        <w:jc w:val="both"/>
        <w:rPr>
          <w:rFonts w:ascii="Times New Roman" w:hAnsi="Times New Roman" w:cs="Times New Roman"/>
          <w:sz w:val="28"/>
          <w:szCs w:val="28"/>
        </w:rPr>
      </w:pPr>
      <w:r>
        <w:rPr>
          <w:rFonts w:cs="Times New Roman" w:ascii="Times New Roman" w:hAnsi="Times New Roman"/>
          <w:sz w:val="28"/>
          <w:szCs w:val="28"/>
        </w:rPr>
        <w:t>Распределительный газопровод.</w:t>
      </w:r>
    </w:p>
    <w:p>
      <w:pPr>
        <w:pStyle w:val="Normal"/>
        <w:widowControl w:val="false"/>
        <w:suppressAutoHyphens w:val="true"/>
        <w:spacing w:lineRule="auto" w:line="240" w:before="0" w:after="0"/>
        <w:ind w:firstLine="709"/>
        <w:jc w:val="both"/>
        <w:rPr>
          <w:szCs w:val="28"/>
        </w:rPr>
      </w:pPr>
      <w:r>
        <w:rPr>
          <w:szCs w:val="28"/>
        </w:rPr>
      </w:r>
    </w:p>
    <w:p>
      <w:pPr>
        <w:pStyle w:val="Style38"/>
        <w:widowControl w:val="false"/>
        <w:suppressAutoHyphens w:val="true"/>
        <w:ind w:firstLine="709"/>
        <w:rPr>
          <w:szCs w:val="28"/>
        </w:rPr>
      </w:pPr>
      <w:r>
        <w:rPr>
          <w:b/>
          <w:szCs w:val="28"/>
        </w:rPr>
        <w:t>Распределительный газопровод</w:t>
      </w:r>
      <w:r>
        <w:rPr>
          <w:szCs w:val="28"/>
        </w:rPr>
        <w:t xml:space="preserve">. Главным источником распределительных газопроводов является - утечка газа (метан). Утечка газа возникает при их функционировании в штатном режиме, при продувке оборудования во время технического обслуживания и вследствие старения. Неполадки </w:t>
      </w:r>
      <w:r>
        <w:rPr/>
        <w:t>могут быть вызваны коррозией и физическим износом трубопроводов и сопутствующих компонентов.</w:t>
      </w:r>
    </w:p>
    <w:p>
      <w:pPr>
        <w:pStyle w:val="Style38"/>
        <w:widowControl w:val="false"/>
        <w:suppressAutoHyphens w:val="true"/>
        <w:ind w:firstLine="709"/>
        <w:rPr>
          <w:szCs w:val="28"/>
        </w:rPr>
      </w:pPr>
      <w:r>
        <w:rPr>
          <w:szCs w:val="28"/>
        </w:rPr>
      </w:r>
    </w:p>
    <w:p>
      <w:pPr>
        <w:pStyle w:val="2"/>
        <w:keepNext w:val="false"/>
        <w:keepLines w:val="false"/>
        <w:widowControl w:val="false"/>
        <w:numPr>
          <w:ilvl w:val="1"/>
          <w:numId w:val="30"/>
        </w:numPr>
        <w:suppressAutoHyphens w:val="true"/>
        <w:spacing w:lineRule="auto" w:line="240" w:before="0" w:after="0"/>
        <w:ind w:left="0" w:firstLine="709"/>
        <w:jc w:val="center"/>
        <w:rPr>
          <w:rFonts w:ascii="Times New Roman" w:hAnsi="Times New Roman" w:cs="Times New Roman"/>
          <w:b/>
          <w:color w:val="auto"/>
          <w:sz w:val="28"/>
          <w:szCs w:val="28"/>
        </w:rPr>
      </w:pPr>
      <w:bookmarkStart w:id="125" w:name="_Toc147740046"/>
      <w:r>
        <w:rPr>
          <w:rFonts w:cs="Times New Roman" w:ascii="Times New Roman" w:hAnsi="Times New Roman"/>
          <w:b/>
          <w:color w:val="auto"/>
          <w:sz w:val="28"/>
          <w:szCs w:val="28"/>
        </w:rPr>
        <w:t>Оценка негативного воздействия на водные ресурсы</w:t>
      </w:r>
      <w:bookmarkEnd w:id="125"/>
    </w:p>
    <w:p>
      <w:pPr>
        <w:pStyle w:val="Style38"/>
        <w:widowControl w:val="false"/>
        <w:suppressAutoHyphens w:val="true"/>
        <w:ind w:firstLine="709"/>
        <w:jc w:val="center"/>
        <w:rPr>
          <w:b/>
          <w:szCs w:val="28"/>
        </w:rPr>
      </w:pPr>
      <w:r>
        <w:rPr>
          <w:b/>
          <w:szCs w:val="28"/>
        </w:rPr>
        <w:t>Оценка негативного воздействия на поверхностные и подземные водные объекты</w:t>
      </w:r>
    </w:p>
    <w:p>
      <w:pPr>
        <w:pStyle w:val="Style72"/>
        <w:rPr>
          <w:szCs w:val="28"/>
        </w:rPr>
      </w:pPr>
      <w:r>
        <w:rPr>
          <w:szCs w:val="28"/>
        </w:rPr>
        <w:t xml:space="preserve">Основными источниками загрязнения поверхностных и подземных вод в поселении в настоящее время являются неканализованная жилая застройка, объекты сельского хозяйства и территории производственного назначения. </w:t>
      </w:r>
    </w:p>
    <w:p>
      <w:pPr>
        <w:pStyle w:val="Style72"/>
        <w:rPr>
          <w:szCs w:val="28"/>
        </w:rPr>
      </w:pPr>
      <w:r>
        <w:rPr>
          <w:szCs w:val="28"/>
        </w:rPr>
        <w:t>Отсутствие в населенных пунктах систем централизованного канализования и ливневой канализации, локальных очистных сооружений на объектах, неорганизованный отвод дождевых и талых вод на рельеф местности, мойка автотранспорта на берегах, выпас скота, несоблюдение режима береговых полос усиливают загрязнение водотоков.</w:t>
      </w:r>
    </w:p>
    <w:p>
      <w:pPr>
        <w:pStyle w:val="Style72"/>
        <w:rPr>
          <w:szCs w:val="28"/>
        </w:rPr>
      </w:pPr>
      <w:r>
        <w:rPr>
          <w:szCs w:val="28"/>
        </w:rPr>
        <w:t xml:space="preserve">При использовании водных ресурсов в сельскохозяйственном производстве в поверхностные воды могут поступать загрязняющие вещества, такие как пестициды, минеральные удобрения и микроэлементы металлов, влияющие на качество воды. Также с поверхностным стоком поступают взвешенные вещества, которые с течением времени могут привести к заиливанию водных объектов. </w:t>
      </w:r>
    </w:p>
    <w:p>
      <w:pPr>
        <w:pStyle w:val="Style72"/>
        <w:rPr>
          <w:szCs w:val="28"/>
        </w:rPr>
      </w:pPr>
      <w:r>
        <w:rPr>
          <w:szCs w:val="28"/>
        </w:rPr>
        <w:t xml:space="preserve">Согласно данным Росводресурсов (https://voda.gov.ru/activities/informatsiya-o-predostavlenii-vodnykh-obektov-v-polzovanie), водные объекты поселения предоставлены в пользование ООО «Трансстроймеханизация». </w:t>
      </w:r>
    </w:p>
    <w:p>
      <w:pPr>
        <w:pStyle w:val="Style72"/>
        <w:rPr>
          <w:szCs w:val="28"/>
        </w:rPr>
      </w:pPr>
      <w:r>
        <w:rPr>
          <w:szCs w:val="28"/>
        </w:rPr>
        <w:t>На территории поселения сброс сточных вод осуществляется в водный объект:</w:t>
      </w:r>
    </w:p>
    <w:p>
      <w:pPr>
        <w:pStyle w:val="Style72"/>
        <w:rPr>
          <w:szCs w:val="28"/>
        </w:rPr>
      </w:pPr>
      <w:r>
        <w:rPr>
          <w:szCs w:val="28"/>
        </w:rPr>
        <w:t>•</w:t>
      </w:r>
      <w:r>
        <w:rPr>
          <w:szCs w:val="28"/>
        </w:rPr>
        <w:tab/>
        <w:t>Ручей без названия в овраге Ямный Бок на основании решения о предоставлении водного объекта в пользование ООО «Трансстроймеханизация» (ИНН 7715568411) от 26.01.2022 №1819/22. Срок действия лицензии – 30.12.2027;</w:t>
      </w:r>
    </w:p>
    <w:p>
      <w:pPr>
        <w:pStyle w:val="Style72"/>
        <w:rPr>
          <w:szCs w:val="28"/>
        </w:rPr>
      </w:pPr>
      <w:r>
        <w:rPr>
          <w:szCs w:val="28"/>
        </w:rPr>
        <w:t>•</w:t>
      </w:r>
      <w:r>
        <w:rPr>
          <w:szCs w:val="28"/>
        </w:rPr>
        <w:tab/>
        <w:t>река Волга на основании решения о предоставлении водного объекта в пользование ООО «Трансстроймеханизация» (ИНН 7715568411) от 21.09.2022 №16-11.01.00.001-Х-РСБХ-Т-2022-15394/00. Срок действия лицензии – 30.06.2024.</w:t>
      </w:r>
    </w:p>
    <w:p>
      <w:pPr>
        <w:pStyle w:val="Style72"/>
        <w:widowControl w:val="false"/>
        <w:suppressAutoHyphens w:val="true"/>
        <w:rPr>
          <w:szCs w:val="28"/>
        </w:rPr>
      </w:pPr>
      <w:r>
        <w:rPr>
          <w:szCs w:val="28"/>
        </w:rPr>
        <w:t xml:space="preserve">Другие водные объекты не предоставлены в пользование. Любой сброс в них недопустим. </w:t>
      </w:r>
    </w:p>
    <w:p>
      <w:pPr>
        <w:pStyle w:val="Style72"/>
        <w:widowControl w:val="false"/>
        <w:suppressAutoHyphens w:val="true"/>
        <w:rPr>
          <w:szCs w:val="28"/>
        </w:rPr>
      </w:pPr>
      <w:r>
        <w:rPr>
          <w:szCs w:val="28"/>
        </w:rPr>
      </w:r>
    </w:p>
    <w:p>
      <w:pPr>
        <w:pStyle w:val="Style38"/>
        <w:widowControl w:val="false"/>
        <w:suppressAutoHyphens w:val="true"/>
        <w:ind w:firstLine="709"/>
        <w:jc w:val="center"/>
        <w:rPr>
          <w:b/>
          <w:szCs w:val="28"/>
        </w:rPr>
      </w:pPr>
      <w:r>
        <w:rPr>
          <w:b/>
          <w:szCs w:val="28"/>
        </w:rPr>
        <w:t>Оценка негативного воздействия существующих источников хозяйственно-питьевого водоснабжения</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Хозяйственно-питьевое водоснабжение населенных пунктов поселения осуществляется из подземных источников посредством эксплуатации скважин и родников. Населенные пункты обеспечены ресурсами подземных вод, однако качество вод ввиду сложных гидрогеохимических условий не соответствует требованиям СанПиН 1.2.3685-21 «Гигиенические нормативы и требования к обеспечению безопасности и (или) безвредности для человека факторов среды обитания», утв. Главным государственным санитарным врачом РФ от 28.01.2021 № 2 (далее - СанПиН 1.2.3685-21) по показателям общей жесткости, сульфатов, минерализации.</w:t>
      </w:r>
    </w:p>
    <w:p>
      <w:pPr>
        <w:pStyle w:val="Normal"/>
        <w:widowControl w:val="false"/>
        <w:suppressAutoHyphens w:val="tru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В соответствии с требованиями 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 (далее - СанПиН 2.1.4.1110-02), водозаборная скважина и каптированные родники должны быть обеспечены зоной санитарной охраны в составе трех поясов.</w:t>
      </w:r>
    </w:p>
    <w:p>
      <w:pPr>
        <w:pStyle w:val="Normal"/>
        <w:widowControl w:val="false"/>
        <w:suppressAutoHyphens w:val="tru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Граница первого пояса зоны санитарной охраны, согласно СанПиН 2.1.4.1110-02 (пункт 2.2.1.1), устанавливается на расстоянии не менее 30м от водозаборной скважины – при использовании хорошо защищенных подземных вод, и не менее 50м – при недостаточно защищенных.</w:t>
      </w:r>
    </w:p>
    <w:p>
      <w:pPr>
        <w:pStyle w:val="Normal"/>
        <w:widowControl w:val="false"/>
        <w:suppressAutoHyphens w:val="tru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В пределах поселения утвержденные проекты зон санитарной охраны (далее – ЗСО) и установленные ЗСО источников питьевого и хозяйственно-бытового водоснабжения отсутствуют.</w:t>
      </w:r>
    </w:p>
    <w:p>
      <w:pPr>
        <w:pStyle w:val="Normal"/>
        <w:widowControl w:val="false"/>
        <w:suppressAutoHyphens w:val="tru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2"/>
        <w:keepNext w:val="false"/>
        <w:keepLines w:val="false"/>
        <w:widowControl w:val="false"/>
        <w:numPr>
          <w:ilvl w:val="1"/>
          <w:numId w:val="30"/>
        </w:numPr>
        <w:suppressAutoHyphens w:val="true"/>
        <w:spacing w:lineRule="auto" w:line="240" w:before="0" w:after="160"/>
        <w:ind w:left="0" w:firstLine="709"/>
        <w:jc w:val="center"/>
        <w:rPr>
          <w:rFonts w:ascii="Times New Roman" w:hAnsi="Times New Roman" w:cs="Times New Roman"/>
          <w:b/>
          <w:color w:val="auto"/>
          <w:sz w:val="28"/>
          <w:szCs w:val="28"/>
        </w:rPr>
      </w:pPr>
      <w:bookmarkStart w:id="126" w:name="_Toc147740047"/>
      <w:r>
        <w:rPr>
          <w:rFonts w:cs="Times New Roman" w:ascii="Times New Roman" w:hAnsi="Times New Roman"/>
          <w:b/>
          <w:color w:val="auto"/>
          <w:sz w:val="28"/>
          <w:szCs w:val="28"/>
        </w:rPr>
        <w:t>Оценка негативного воздействия на земельные ресурсы</w:t>
      </w:r>
      <w:bookmarkEnd w:id="126"/>
    </w:p>
    <w:p>
      <w:pPr>
        <w:pStyle w:val="Style38"/>
        <w:widowControl w:val="false"/>
        <w:suppressAutoHyphens w:val="true"/>
        <w:ind w:firstLine="709"/>
        <w:rPr>
          <w:szCs w:val="28"/>
        </w:rPr>
      </w:pPr>
      <w:r>
        <w:rPr>
          <w:szCs w:val="28"/>
        </w:rPr>
        <w:t>Основная часть территории поселения занята землями сельскохозяйственного назначения.</w:t>
      </w:r>
    </w:p>
    <w:p>
      <w:pPr>
        <w:pStyle w:val="Normal"/>
        <w:widowControl w:val="false"/>
        <w:suppressAutoHyphens w:val="true"/>
        <w:spacing w:lineRule="auto" w:line="240" w:before="0" w:after="0"/>
        <w:ind w:firstLine="709"/>
        <w:jc w:val="both"/>
        <w:rPr>
          <w:rFonts w:ascii="Times New Roman" w:hAnsi="Times New Roman" w:eastAsia="Times New Roman" w:cs="Times New Roman"/>
          <w:sz w:val="28"/>
          <w:szCs w:val="20"/>
          <w:lang w:eastAsia="ru-RU"/>
        </w:rPr>
      </w:pPr>
      <w:r>
        <w:rPr>
          <w:rFonts w:eastAsia="Times New Roman" w:cs="Times New Roman" w:ascii="Times New Roman" w:hAnsi="Times New Roman"/>
          <w:sz w:val="28"/>
          <w:szCs w:val="28"/>
          <w:lang w:eastAsia="ru-RU"/>
        </w:rPr>
        <w:t xml:space="preserve">Согласно Перечню особо ценных продуктивных сельскохозяйственных угодий на территории Республики Татарстан, использование которых для других целей не допускается, за исключением случаев, установленных федеральным законодательством, утвержденному распоряжением КМ РТ от 23.12.2016 № 3056-р (далее – Перечень особо ценных сельскохозяйственных угодий РТ), на территории </w:t>
      </w:r>
      <w:r>
        <w:rPr>
          <w:rFonts w:eastAsia="Times New Roman" w:cs="Times New Roman" w:ascii="Times New Roman" w:hAnsi="Times New Roman"/>
          <w:sz w:val="28"/>
          <w:szCs w:val="20"/>
          <w:lang w:eastAsia="ru-RU"/>
        </w:rPr>
        <w:t>поселения особо ценные продуктивные сельскохозяйственные угодья отсутствуют.</w:t>
      </w:r>
    </w:p>
    <w:p>
      <w:pPr>
        <w:pStyle w:val="Normal"/>
        <w:widowControl w:val="false"/>
        <w:suppressAutoHyphens w:val="true"/>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Физическая и химическая деградация почв может являться результатом неподходящих методов управления, таких как использование неподходящей техники или земляные работы, связанные с подготовкой плантаций и развитием инфраструктуры. Химическая деградация почвы может быть результатом недостаточного или ненадлежащего использования минеральных удобрений, неспособности перерабатывать питательные вещества, содержащиеся в пожнивных остатках, и неспособности скорректировать изменения кислотности (рН) почвы, которые являются результатом длительного применения азотных удобрений и чрезмерного использования воды низкого качества, что приводит к засолению. Эрозия почвы может быть результатом плохого смыкания растительного покрова после подготовки почвы и отсутствия защитных сооружений на наклонных участках, засаженных многолетними культурами.</w:t>
      </w:r>
    </w:p>
    <w:p>
      <w:pPr>
        <w:pStyle w:val="Normal"/>
        <w:widowControl w:val="false"/>
        <w:suppressAutoHyphens w:val="true"/>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Составной частью земляных работ в местах добычи сырья для строительных материалов часто являются крупномасштабные изменения ландшафта и растительного покрова, необходимые для ведения добывающих работ. Зачастую это предполагает сведения существовавшей на этом месте растительности.</w:t>
      </w:r>
    </w:p>
    <w:p>
      <w:pPr>
        <w:pStyle w:val="Normal"/>
        <w:widowControl w:val="false"/>
        <w:suppressAutoHyphens w:val="true"/>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При работе двигателей автотранспорта образуются «условно твердые» выбросы, состоящие из аэрозольных и пылевидных частиц. В наибольшем количестве образуются выбросы соединений свинца и сажи. Считается, что около 20% общего количества свинца разносится с газами в виде аэрозолей, 80% выпадает в виде твердых частиц и водорастворимых соединений на поверхности прилегающих к дороге земель, накапливается в почве на глубине пахотного слоя или на глубине фильтрации воды атмосферных осадков. Опасность накопления соединений свинца в почве обусловлена высокой доступностью его растениям и переходом его по звеньям пищевой цепи: животным, птицам и людям.</w:t>
      </w:r>
    </w:p>
    <w:p>
      <w:pPr>
        <w:pStyle w:val="Normal"/>
        <w:widowControl w:val="false"/>
        <w:suppressAutoHyphens w:val="true"/>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Почвенный покров разрушается при вертикальной планировке, сооружении временных подъездных дорог, строительстве подсобных помещений, прокладке инженерных коммуникаций. В соответствии со ст.13 Земельного кодекса Российской Федерации, «в целях охраны земель собственники земельных участков, землепользователи, землевладельцы и арендаторы земельных участков обязаны проводить мероприятия по рекультивации нарушенных земель, восстановлению плодородия почв, сохранению плодородия почв и их использованию при проведении работ, связанных с нарушением земель.</w:t>
      </w:r>
    </w:p>
    <w:p>
      <w:pPr>
        <w:pStyle w:val="Normal"/>
        <w:rPr/>
      </w:pPr>
      <w:r>
        <w:rPr/>
      </w:r>
    </w:p>
    <w:p>
      <w:pPr>
        <w:pStyle w:val="2"/>
        <w:keepNext w:val="false"/>
        <w:keepLines w:val="false"/>
        <w:widowControl w:val="false"/>
        <w:numPr>
          <w:ilvl w:val="1"/>
          <w:numId w:val="30"/>
        </w:numPr>
        <w:suppressAutoHyphens w:val="true"/>
        <w:spacing w:lineRule="auto" w:line="240" w:before="0" w:after="160"/>
        <w:ind w:left="0" w:firstLine="709"/>
        <w:jc w:val="center"/>
        <w:rPr>
          <w:rFonts w:ascii="Times New Roman" w:hAnsi="Times New Roman" w:cs="Times New Roman"/>
          <w:b/>
          <w:color w:val="auto"/>
          <w:sz w:val="28"/>
          <w:szCs w:val="28"/>
        </w:rPr>
      </w:pPr>
      <w:bookmarkStart w:id="127" w:name="_Toc147740048"/>
      <w:r>
        <w:rPr>
          <w:rFonts w:cs="Times New Roman" w:ascii="Times New Roman" w:hAnsi="Times New Roman"/>
          <w:b/>
          <w:color w:val="auto"/>
          <w:sz w:val="28"/>
          <w:szCs w:val="28"/>
        </w:rPr>
        <w:t>Обращение с отходами производства и потребления</w:t>
      </w:r>
      <w:bookmarkEnd w:id="127"/>
    </w:p>
    <w:p>
      <w:pPr>
        <w:pStyle w:val="Style72"/>
        <w:rPr>
          <w:szCs w:val="28"/>
        </w:rPr>
      </w:pPr>
      <w:r>
        <w:rPr>
          <w:szCs w:val="28"/>
        </w:rPr>
        <w:t>Источниками образования отходов производства и потребления являются жилой сектор, объекты социальной инфраструктуры, объекты добывающей отрасли.</w:t>
      </w:r>
    </w:p>
    <w:p>
      <w:pPr>
        <w:pStyle w:val="Style72"/>
        <w:rPr>
          <w:szCs w:val="28"/>
        </w:rPr>
      </w:pPr>
      <w:r>
        <w:rPr>
          <w:i/>
        </w:rPr>
        <w:t>Промышленные отходы.</w:t>
      </w:r>
      <w:r>
        <w:rPr/>
        <w:t xml:space="preserve"> Источниками образования промышленных отходов на территории поселения является добывающая компания ООО «Матюшинский карьер».</w:t>
      </w:r>
      <w:r>
        <w:rPr>
          <w:szCs w:val="28"/>
        </w:rPr>
        <w:t xml:space="preserve"> Основными химически неактивными отходами, образующимися в процессе карьерной разработки, являются попутно добытая порода и снятый верхний слой почвы – вскрышные породы. Опасные отходы могут образовываться вследствие присутствия в обработанной (попутно добытой) породе каких-либо примесей и микрокомпонентов (например, асбеста и тяжелых металлов или минералов, присутствие которых может привести к стоку кислых вод).</w:t>
      </w:r>
    </w:p>
    <w:p>
      <w:pPr>
        <w:pStyle w:val="Style38"/>
        <w:widowControl w:val="false"/>
        <w:suppressAutoHyphens w:val="true"/>
        <w:ind w:firstLine="709"/>
        <w:rPr>
          <w:szCs w:val="28"/>
        </w:rPr>
      </w:pPr>
      <w:r>
        <w:rPr>
          <w:i/>
          <w:szCs w:val="28"/>
        </w:rPr>
        <w:t xml:space="preserve">Твердые коммунальные отходы. </w:t>
      </w:r>
      <w:r>
        <w:rPr>
          <w:szCs w:val="28"/>
        </w:rPr>
        <w:t xml:space="preserve">Коммунальные отходы из Вахитовского сельского поселения вывозятся на Апастовский полигон ТКО, расположенный в Апастовском районе. Договор на вывоз ТКО у поселения заключен с ООО «УК «ПЖКХ». При строительстве планируемой дороги могут образовываться </w:t>
      </w:r>
      <w:r>
        <w:rPr/>
        <w:t>существенные количества камней и грунта.</w:t>
      </w:r>
    </w:p>
    <w:p>
      <w:pPr>
        <w:pStyle w:val="Style38"/>
        <w:spacing w:before="0" w:after="0"/>
        <w:ind w:firstLine="709"/>
        <w:contextualSpacing/>
        <w:rPr>
          <w:szCs w:val="28"/>
        </w:rPr>
      </w:pPr>
      <w:r>
        <w:rPr>
          <w:szCs w:val="28"/>
        </w:rPr>
        <w:t>Места утилизации биологических отходов в границах поселения отсутствуют.</w:t>
      </w:r>
    </w:p>
    <w:p>
      <w:pPr>
        <w:pStyle w:val="Style38"/>
        <w:spacing w:before="0" w:after="0"/>
        <w:ind w:firstLine="709"/>
        <w:contextualSpacing/>
        <w:rPr>
          <w:szCs w:val="28"/>
        </w:rPr>
      </w:pPr>
      <w:r>
        <w:rPr>
          <w:szCs w:val="28"/>
        </w:rPr>
      </w:r>
    </w:p>
    <w:p>
      <w:pPr>
        <w:pStyle w:val="2"/>
        <w:keepNext w:val="false"/>
        <w:keepLines w:val="false"/>
        <w:widowControl w:val="false"/>
        <w:numPr>
          <w:ilvl w:val="1"/>
          <w:numId w:val="30"/>
        </w:numPr>
        <w:suppressAutoHyphens w:val="true"/>
        <w:spacing w:lineRule="auto" w:line="240" w:before="0" w:after="160"/>
        <w:ind w:left="0" w:firstLine="709"/>
        <w:jc w:val="center"/>
        <w:rPr>
          <w:rFonts w:ascii="Times New Roman" w:hAnsi="Times New Roman" w:cs="Times New Roman"/>
          <w:b/>
          <w:color w:val="auto"/>
          <w:sz w:val="28"/>
          <w:szCs w:val="28"/>
        </w:rPr>
      </w:pPr>
      <w:bookmarkStart w:id="128" w:name="_Toc147740049"/>
      <w:r>
        <w:rPr>
          <w:rFonts w:cs="Times New Roman" w:ascii="Times New Roman" w:hAnsi="Times New Roman"/>
          <w:b/>
          <w:color w:val="auto"/>
          <w:sz w:val="28"/>
          <w:szCs w:val="28"/>
        </w:rPr>
        <w:t>Акустический режим. Радиационно-гигиеническая обстановка и электромагнитные излучения</w:t>
      </w:r>
      <w:bookmarkEnd w:id="128"/>
    </w:p>
    <w:p>
      <w:pPr>
        <w:pStyle w:val="Style38"/>
        <w:widowControl w:val="false"/>
        <w:suppressAutoHyphens w:val="true"/>
        <w:spacing w:before="0" w:after="0"/>
        <w:ind w:firstLine="709"/>
        <w:contextualSpacing/>
        <w:rPr>
          <w:szCs w:val="28"/>
        </w:rPr>
      </w:pPr>
      <w:r>
        <w:rPr>
          <w:i/>
          <w:szCs w:val="28"/>
        </w:rPr>
        <w:t>Шум</w:t>
      </w:r>
      <w:r>
        <w:rPr>
          <w:szCs w:val="28"/>
        </w:rPr>
        <w:t xml:space="preserve"> является одним из наиболее распространенных и неблагоприятных факторов воздействия на окружающую среду и здоровье населения.</w:t>
      </w:r>
    </w:p>
    <w:p>
      <w:pPr>
        <w:pStyle w:val="Normal"/>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Источниками шума в поселении являются автомобильные дороги регионального значения категории </w:t>
      </w:r>
      <w:r>
        <w:rPr>
          <w:rFonts w:eastAsia="Times New Roman" w:cs="Times New Roman" w:ascii="Times New Roman" w:hAnsi="Times New Roman"/>
          <w:sz w:val="28"/>
          <w:szCs w:val="28"/>
          <w:lang w:val="en-US" w:eastAsia="ru-RU"/>
        </w:rPr>
        <w:t>III</w:t>
      </w:r>
      <w:r>
        <w:rPr>
          <w:rFonts w:eastAsia="Times New Roman" w:cs="Times New Roman" w:ascii="Times New Roman" w:hAnsi="Times New Roman"/>
          <w:sz w:val="28"/>
          <w:szCs w:val="28"/>
          <w:lang w:eastAsia="ru-RU"/>
        </w:rPr>
        <w:t xml:space="preserve">, </w:t>
      </w:r>
      <w:r>
        <w:rPr>
          <w:rFonts w:eastAsia="Times New Roman" w:cs="Times New Roman" w:ascii="Times New Roman" w:hAnsi="Times New Roman"/>
          <w:sz w:val="28"/>
          <w:szCs w:val="28"/>
          <w:lang w:val="en-US" w:eastAsia="ru-RU"/>
        </w:rPr>
        <w:t>IV</w:t>
      </w:r>
      <w:r>
        <w:rPr>
          <w:rFonts w:eastAsia="Times New Roman" w:cs="Times New Roman" w:ascii="Times New Roman" w:hAnsi="Times New Roman"/>
          <w:sz w:val="28"/>
          <w:szCs w:val="28"/>
          <w:lang w:eastAsia="ru-RU"/>
        </w:rPr>
        <w:t xml:space="preserve">, </w:t>
      </w:r>
      <w:r>
        <w:rPr>
          <w:rFonts w:eastAsia="Times New Roman" w:cs="Times New Roman" w:ascii="Times New Roman" w:hAnsi="Times New Roman"/>
          <w:sz w:val="28"/>
          <w:szCs w:val="28"/>
          <w:lang w:val="en-US" w:eastAsia="ru-RU"/>
        </w:rPr>
        <w:t>V</w:t>
      </w:r>
      <w:r>
        <w:rPr>
          <w:rFonts w:eastAsia="Times New Roman" w:cs="Times New Roman" w:ascii="Times New Roman" w:hAnsi="Times New Roman"/>
          <w:sz w:val="28"/>
          <w:szCs w:val="28"/>
          <w:lang w:eastAsia="ru-RU"/>
        </w:rPr>
        <w:t>: «Казань - Ульяновск - Камское Устье – Гребени», «Казань - Ульяновск - Камское Устье», «Янга-Болгар - Матюшино - Бакча-Сарай», «Подъезд к д. Ватан», «Вахитово - Ташевка».</w:t>
      </w:r>
    </w:p>
    <w:p>
      <w:pPr>
        <w:pStyle w:val="Normal"/>
        <w:spacing w:lineRule="auto" w:line="240" w:before="0" w:after="0"/>
        <w:ind w:firstLine="709"/>
        <w:jc w:val="both"/>
        <w:rPr>
          <w:szCs w:val="28"/>
        </w:rPr>
      </w:pPr>
      <w:r>
        <w:rPr>
          <w:rFonts w:eastAsia="Times New Roman" w:cs="Times New Roman" w:ascii="Times New Roman" w:hAnsi="Times New Roman"/>
          <w:sz w:val="28"/>
          <w:szCs w:val="28"/>
          <w:lang w:eastAsia="ru-RU"/>
        </w:rPr>
        <w:t>Шум дорожного движения создается двигателями автомобилей, выбросом выхлопных газов, аэродинамическими источниками и при взаимодействии шин с покрытием. При скорости автомобиля более 90 км/ч шум создается в основном от взаимодействия шин с покрытием. Шум дорожного может создавать существенные неудобства и быть достаточно громким, чтобы мешать обычному разговору, а также может вызывать стресс у детей и повышение давления крови, частоты пульса и уровня гормонов стресс.</w:t>
      </w:r>
    </w:p>
    <w:p>
      <w:pPr>
        <w:pStyle w:val="Style38"/>
        <w:widowControl w:val="false"/>
        <w:suppressAutoHyphens w:val="true"/>
        <w:spacing w:before="0" w:after="0"/>
        <w:ind w:firstLine="709"/>
        <w:contextualSpacing/>
        <w:rPr>
          <w:szCs w:val="28"/>
        </w:rPr>
      </w:pPr>
      <w:r>
        <w:rPr>
          <w:szCs w:val="28"/>
        </w:rPr>
        <w:t>Источниками шума обычно являются все работы по добыче полезных ископаемых, включая добычу сырья для строительных материалов и природного камня в карьерах. Шум имеет место на всех этапах эксплуатации и переработки сырья. К числу основных источников шума относятся буровые работы, обрушение, дробление и обработка – перемещение, грохочение и транспортировка.</w:t>
      </w:r>
    </w:p>
    <w:p>
      <w:pPr>
        <w:pStyle w:val="Style38"/>
        <w:widowControl w:val="false"/>
        <w:suppressAutoHyphens w:val="true"/>
        <w:spacing w:before="0" w:after="0"/>
        <w:ind w:firstLine="709"/>
        <w:contextualSpacing/>
        <w:rPr>
          <w:szCs w:val="28"/>
        </w:rPr>
      </w:pPr>
      <w:r>
        <w:rPr>
          <w:i/>
          <w:szCs w:val="28"/>
        </w:rPr>
        <w:t>Радиационная обстановка</w:t>
      </w:r>
      <w:r>
        <w:rPr>
          <w:szCs w:val="28"/>
        </w:rPr>
        <w:t xml:space="preserve"> формируется в результате воздействия естественных (природных) и искусственных источников радиации, которые вносят свой вклад в уровень радиационного фона.</w:t>
      </w:r>
    </w:p>
    <w:p>
      <w:pPr>
        <w:pStyle w:val="Normal"/>
        <w:widowControl w:val="false"/>
        <w:suppressAutoHyphens w:val="true"/>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Радиационно-гигиеническая обстановка на территории поселения характеризуется как стабильная.</w:t>
      </w:r>
    </w:p>
    <w:p>
      <w:pPr>
        <w:pStyle w:val="Normal"/>
        <w:spacing w:lineRule="auto" w:line="240" w:before="0" w:after="0"/>
        <w:ind w:firstLine="709"/>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При выборе участков под строительство жилых домов и зданий социально-бытового назначения должны выбираться участки с гамма-фоном, не превышающим 0,3 мкГр/ч, и плотностью потока радона с поверхности грунта не более 80 мБк/м</w:t>
      </w:r>
      <w:r>
        <w:rPr>
          <w:rFonts w:cs="Times New Roman" w:ascii="Times New Roman" w:hAnsi="Times New Roman"/>
          <w:sz w:val="28"/>
          <w:szCs w:val="28"/>
          <w:vertAlign w:val="superscript"/>
          <w:lang w:eastAsia="ru-RU"/>
        </w:rPr>
        <w:t>2</w:t>
      </w:r>
      <w:r>
        <w:rPr>
          <w:rFonts w:cs="Times New Roman" w:ascii="Times New Roman" w:hAnsi="Times New Roman"/>
          <w:sz w:val="28"/>
          <w:szCs w:val="28"/>
          <w:lang w:eastAsia="ru-RU"/>
        </w:rPr>
        <w:t xml:space="preserve">с, в соответствии с </w:t>
      </w:r>
      <w:bookmarkStart w:id="129" w:name="_Hlk132620502"/>
      <w:r>
        <w:rPr>
          <w:rFonts w:eastAsia="Times New Roman" w:cs="Times New Roman" w:ascii="Times New Roman" w:hAnsi="Times New Roman"/>
          <w:sz w:val="28"/>
          <w:szCs w:val="28"/>
          <w:lang w:eastAsia="ru-RU"/>
        </w:rPr>
        <w:t>СП 2.6.1.2612-10 «Основные санитарные правила обеспечения радиационной безопасности (ОСПОРБ-99/2010)», утвержденным Постановлением Главного государственного санитарного врача РФ от 26.04.2010 №40</w:t>
      </w:r>
      <w:r>
        <w:rPr>
          <w:rFonts w:cs="Times New Roman" w:ascii="Times New Roman" w:hAnsi="Times New Roman"/>
          <w:sz w:val="28"/>
          <w:szCs w:val="28"/>
          <w:lang w:eastAsia="ru-RU"/>
        </w:rPr>
        <w:t>.</w:t>
      </w:r>
      <w:bookmarkEnd w:id="129"/>
    </w:p>
    <w:p>
      <w:pPr>
        <w:pStyle w:val="Style38"/>
        <w:widowControl w:val="false"/>
        <w:suppressAutoHyphens w:val="true"/>
        <w:spacing w:before="0" w:after="0"/>
        <w:ind w:firstLine="709"/>
        <w:contextualSpacing/>
        <w:rPr>
          <w:szCs w:val="28"/>
        </w:rPr>
      </w:pPr>
      <w:r>
        <w:rPr>
          <w:szCs w:val="28"/>
        </w:rPr>
        <w:t xml:space="preserve">Источником </w:t>
      </w:r>
      <w:r>
        <w:rPr>
          <w:i/>
          <w:szCs w:val="28"/>
        </w:rPr>
        <w:t>электромагнитного излучения</w:t>
      </w:r>
      <w:r>
        <w:rPr>
          <w:szCs w:val="28"/>
        </w:rPr>
        <w:t xml:space="preserve"> на рассматриваемой территории также являются линии электропередач. Электроснабжение населенных пунктов поселения осуществляется посредством линии электропередач ВЛ 35 кВ, ВЛ 10 кВ. Соблюдение санитарных разрывов и охранных зон от них позволит исключить прямое воздействие электромагнитного излучения.</w:t>
      </w:r>
    </w:p>
    <w:p>
      <w:pPr>
        <w:pStyle w:val="Normal"/>
        <w:rPr>
          <w:lang w:eastAsia="ru-RU"/>
        </w:rPr>
      </w:pPr>
      <w:r>
        <w:rPr>
          <w:lang w:eastAsia="ru-RU"/>
        </w:rPr>
      </w:r>
    </w:p>
    <w:p>
      <w:pPr>
        <w:pStyle w:val="2"/>
        <w:keepNext w:val="false"/>
        <w:keepLines w:val="false"/>
        <w:widowControl w:val="false"/>
        <w:numPr>
          <w:ilvl w:val="1"/>
          <w:numId w:val="37"/>
        </w:numPr>
        <w:suppressAutoHyphens w:val="true"/>
        <w:spacing w:lineRule="auto" w:line="240" w:before="0" w:after="160"/>
        <w:ind w:left="0" w:hanging="0"/>
        <w:jc w:val="center"/>
        <w:rPr>
          <w:rFonts w:ascii="Times New Roman" w:hAnsi="Times New Roman" w:cs="Times New Roman"/>
          <w:b/>
          <w:color w:val="auto"/>
          <w:sz w:val="28"/>
          <w:szCs w:val="28"/>
        </w:rPr>
      </w:pPr>
      <w:bookmarkStart w:id="130" w:name="_Toc147740050"/>
      <w:r>
        <w:rPr>
          <w:rFonts w:cs="Times New Roman" w:ascii="Times New Roman" w:hAnsi="Times New Roman"/>
          <w:b/>
          <w:color w:val="auto"/>
          <w:sz w:val="28"/>
          <w:szCs w:val="28"/>
        </w:rPr>
        <w:t>Оценка негативного воздействия на озелененные территори</w:t>
      </w:r>
      <w:bookmarkStart w:id="131" w:name="_Toc122945303"/>
      <w:bookmarkStart w:id="132" w:name="_Toc74390871"/>
      <w:bookmarkStart w:id="133" w:name="_Toc54793308"/>
      <w:r>
        <w:rPr>
          <w:rFonts w:cs="Times New Roman" w:ascii="Times New Roman" w:hAnsi="Times New Roman"/>
          <w:b/>
          <w:color w:val="auto"/>
          <w:sz w:val="28"/>
          <w:szCs w:val="28"/>
        </w:rPr>
        <w:t>и</w:t>
      </w:r>
      <w:bookmarkEnd w:id="130"/>
      <w:bookmarkEnd w:id="131"/>
      <w:bookmarkEnd w:id="132"/>
      <w:bookmarkEnd w:id="133"/>
    </w:p>
    <w:p>
      <w:pPr>
        <w:pStyle w:val="Normal0"/>
        <w:ind w:firstLine="709"/>
        <w:rPr/>
      </w:pPr>
      <w:r>
        <w:rPr/>
        <w:t>В настоящее время система озеленения поселения представлена защитными лесами, лугами, защитными лесополосами, зарослями кустарников и т.д. Также выделяется зона озеленения общего пользования в населенных пунктах поселения.</w:t>
      </w:r>
    </w:p>
    <w:p>
      <w:pPr>
        <w:pStyle w:val="Normal0"/>
        <w:ind w:firstLine="709"/>
        <w:rPr/>
      </w:pPr>
      <w:r>
        <w:rPr/>
        <w:t>Озелененные территории специального назначения представлены насаждениями ветрозащитного, водо- и почвоохранного значения, частично расположенными вдоль федеральной дороги и региональных дорог, на землях сельскохозяйственных угодий и в границах водоохранных зон водотоков.</w:t>
      </w:r>
    </w:p>
    <w:p>
      <w:pPr>
        <w:pStyle w:val="Style72"/>
        <w:rPr/>
      </w:pPr>
      <w:r>
        <w:rPr/>
        <w:t>В теплое время года большую рекреационную нагрузку претерпевают озелененные территории вдоль берегов водохранилища и рек, что отрицательно сказывается на состоянии озелененных территорий.</w:t>
      </w:r>
    </w:p>
    <w:p>
      <w:pPr>
        <w:pStyle w:val="ListParagraph"/>
        <w:spacing w:lineRule="auto" w:line="240" w:before="0" w:after="0"/>
        <w:ind w:left="0" w:firstLine="709"/>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Согласно п. 9.8 </w:t>
      </w:r>
      <w:bookmarkStart w:id="134" w:name="_Hlk132620642"/>
      <w:r>
        <w:rPr>
          <w:rFonts w:eastAsia="Times New Roman" w:cs="Times New Roman" w:ascii="Times New Roman" w:hAnsi="Times New Roman"/>
          <w:sz w:val="28"/>
          <w:szCs w:val="28"/>
          <w:lang w:eastAsia="ru-RU"/>
        </w:rPr>
        <w:t>СП 42.13330.2016 «СНиП 2.07.01-89*. Градостроительство. Планировка и застройка городских и сельских поселений», утвержденного приказом Министерства строительства и жилищно-коммунального хозяйства Российской Федерации от 30.12.2016 №1034 (далее - СП 42.13330.2016)</w:t>
      </w:r>
      <w:bookmarkEnd w:id="134"/>
      <w:r>
        <w:rPr>
          <w:rFonts w:eastAsia="Times New Roman" w:cs="Times New Roman" w:ascii="Times New Roman" w:hAnsi="Times New Roman"/>
          <w:sz w:val="28"/>
          <w:szCs w:val="28"/>
          <w:lang w:eastAsia="ru-RU"/>
        </w:rPr>
        <w:t>, озеленение общего пользования - парков, садов, скверов, бульваров в поселении должно составлять 12 м</w:t>
      </w:r>
      <w:r>
        <w:rPr>
          <w:rFonts w:eastAsia="Times New Roman" w:cs="Times New Roman" w:ascii="Times New Roman" w:hAnsi="Times New Roman"/>
          <w:sz w:val="28"/>
          <w:szCs w:val="28"/>
          <w:vertAlign w:val="superscript"/>
          <w:lang w:eastAsia="ru-RU"/>
        </w:rPr>
        <w:t>2</w:t>
      </w:r>
      <w:r>
        <w:rPr>
          <w:rFonts w:eastAsia="Times New Roman" w:cs="Times New Roman" w:ascii="Times New Roman" w:hAnsi="Times New Roman"/>
          <w:sz w:val="28"/>
          <w:szCs w:val="28"/>
          <w:lang w:eastAsia="ru-RU"/>
        </w:rPr>
        <w:t>/чел. В сельских поселениях, расположенных в окружении лесов, прибрежных зонах крупных рек и водоемов, площадь озелененных территорий общего пользования допускается уменьшать, но не более чем на 20%.</w:t>
      </w:r>
    </w:p>
    <w:p>
      <w:pPr>
        <w:pStyle w:val="Normal0"/>
        <w:widowControl w:val="false"/>
        <w:suppressAutoHyphens w:val="true"/>
        <w:ind w:firstLine="709"/>
        <w:rPr>
          <w:b/>
        </w:rPr>
      </w:pPr>
      <w:r>
        <w:rPr>
          <w:b/>
        </w:rPr>
      </w:r>
    </w:p>
    <w:p>
      <w:pPr>
        <w:pStyle w:val="2"/>
        <w:keepNext w:val="false"/>
        <w:keepLines w:val="false"/>
        <w:widowControl w:val="false"/>
        <w:numPr>
          <w:ilvl w:val="1"/>
          <w:numId w:val="37"/>
        </w:numPr>
        <w:suppressAutoHyphens w:val="true"/>
        <w:spacing w:lineRule="auto" w:line="240" w:before="0" w:after="160"/>
        <w:ind w:left="0" w:hanging="0"/>
        <w:jc w:val="center"/>
        <w:rPr>
          <w:rFonts w:ascii="Times New Roman" w:hAnsi="Times New Roman" w:cs="Times New Roman"/>
          <w:b/>
          <w:color w:val="auto"/>
          <w:sz w:val="28"/>
          <w:szCs w:val="28"/>
        </w:rPr>
      </w:pPr>
      <w:bookmarkStart w:id="135" w:name="_Toc147740051"/>
      <w:r>
        <w:rPr>
          <w:rFonts w:cs="Times New Roman" w:ascii="Times New Roman" w:hAnsi="Times New Roman"/>
          <w:b/>
          <w:color w:val="auto"/>
          <w:sz w:val="28"/>
          <w:szCs w:val="28"/>
        </w:rPr>
        <w:t>Оценка негативного воздействия на животный и растительный мир</w:t>
      </w:r>
      <w:bookmarkEnd w:id="135"/>
    </w:p>
    <w:p>
      <w:pPr>
        <w:pStyle w:val="ListParagraph"/>
        <w:widowControl w:val="false"/>
        <w:suppressAutoHyphens w:val="true"/>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Основными отраслями, оказывающими негативное воздействие на животный и растительный мир, являются сельскохозяйственная отрасль, добывающая отрасль, а также застройка обширных площадей и повышение уровня беспокойства в местах гнездования.</w:t>
      </w:r>
    </w:p>
    <w:p>
      <w:pPr>
        <w:pStyle w:val="ListParagraph"/>
        <w:widowControl w:val="false"/>
        <w:suppressAutoHyphens w:val="true"/>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К лимитирующим факторам, влияющим на численность животных и растений, относятся:</w:t>
      </w:r>
    </w:p>
    <w:p>
      <w:pPr>
        <w:pStyle w:val="ListParagraph"/>
        <w:widowControl w:val="false"/>
        <w:suppressAutoHyphens w:val="true"/>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 нарушение естественных биотопов, вырубка леса и кустарников, что приводит к ухудшению кормовых и защитных условий,</w:t>
      </w:r>
    </w:p>
    <w:p>
      <w:pPr>
        <w:pStyle w:val="ListParagraph"/>
        <w:widowControl w:val="false"/>
        <w:suppressAutoHyphens w:val="true"/>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 применение ядохимикатов в лесном и сельском хозяйствах,</w:t>
      </w:r>
    </w:p>
    <w:p>
      <w:pPr>
        <w:pStyle w:val="ListParagraph"/>
        <w:widowControl w:val="false"/>
        <w:suppressAutoHyphens w:val="true"/>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 загрязнение водоемов, рекреационное использование водоемов,</w:t>
      </w:r>
    </w:p>
    <w:p>
      <w:pPr>
        <w:pStyle w:val="ListParagraph"/>
        <w:widowControl w:val="false"/>
        <w:suppressAutoHyphens w:val="true"/>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 осушение и исчезновение болот,</w:t>
      </w:r>
    </w:p>
    <w:p>
      <w:pPr>
        <w:pStyle w:val="ListParagraph"/>
        <w:widowControl w:val="false"/>
        <w:suppressAutoHyphens w:val="true"/>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 гибель на ЛЭП,</w:t>
      </w:r>
    </w:p>
    <w:p>
      <w:pPr>
        <w:pStyle w:val="ListParagraph"/>
        <w:widowControl w:val="false"/>
        <w:suppressAutoHyphens w:val="true"/>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 браконьерство.</w:t>
      </w:r>
    </w:p>
    <w:p>
      <w:pPr>
        <w:pStyle w:val="ListParagraph"/>
        <w:widowControl w:val="false"/>
        <w:suppressAutoHyphens w:val="true"/>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Территория поселения расположена в границах охотничьего хозяйства «Верхнеуслонское охотхозяйство» (https://huntmap.ru/karta-oxotnichix-ugodij-respubliki-tatarstan). Численность животных, отнесенных к охотничьим ресурсам, по охотничьему хозяйству приведена в Госохотреестре, опубликованном на сайте Государственного комитета Республики Татарстан по биологическим ресурсам.</w:t>
      </w:r>
    </w:p>
    <w:p>
      <w:pPr>
        <w:pStyle w:val="ListParagraph"/>
        <w:widowControl w:val="false"/>
        <w:suppressAutoHyphens w:val="true"/>
        <w:spacing w:lineRule="auto" w:line="240" w:before="0" w:after="0"/>
        <w:ind w:left="0" w:firstLine="709"/>
        <w:contextualSpacing w:val="false"/>
        <w:jc w:val="both"/>
        <w:rPr>
          <w:rFonts w:ascii="Times New Roman" w:hAnsi="Times New Roman" w:cs="Times New Roman"/>
          <w:sz w:val="28"/>
          <w:szCs w:val="28"/>
        </w:rPr>
      </w:pPr>
      <w:r>
        <w:rPr>
          <w:rFonts w:cs="Times New Roman" w:ascii="Times New Roman" w:hAnsi="Times New Roman"/>
          <w:sz w:val="28"/>
          <w:szCs w:val="28"/>
        </w:rPr>
      </w:r>
    </w:p>
    <w:p>
      <w:pPr>
        <w:pStyle w:val="2"/>
        <w:keepNext w:val="false"/>
        <w:keepLines w:val="false"/>
        <w:widowControl w:val="false"/>
        <w:numPr>
          <w:ilvl w:val="1"/>
          <w:numId w:val="37"/>
        </w:numPr>
        <w:suppressAutoHyphens w:val="true"/>
        <w:spacing w:lineRule="auto" w:line="240" w:before="0" w:after="160"/>
        <w:ind w:left="0" w:firstLine="709"/>
        <w:jc w:val="center"/>
        <w:rPr>
          <w:rFonts w:ascii="Times New Roman" w:hAnsi="Times New Roman" w:cs="Times New Roman"/>
          <w:b/>
          <w:color w:val="auto"/>
          <w:sz w:val="28"/>
          <w:szCs w:val="28"/>
        </w:rPr>
      </w:pPr>
      <w:bookmarkStart w:id="136" w:name="_Toc147740052"/>
      <w:r>
        <w:rPr>
          <w:rFonts w:cs="Times New Roman" w:ascii="Times New Roman" w:hAnsi="Times New Roman"/>
          <w:b/>
          <w:color w:val="auto"/>
          <w:sz w:val="28"/>
          <w:szCs w:val="28"/>
        </w:rPr>
        <w:t>Оценка риска для здоровья населения.</w:t>
      </w:r>
      <w:bookmarkEnd w:id="136"/>
    </w:p>
    <w:p>
      <w:pPr>
        <w:pStyle w:val="Style38"/>
        <w:widowControl w:val="false"/>
        <w:suppressAutoHyphens w:val="true"/>
        <w:ind w:firstLine="709"/>
        <w:rPr>
          <w:szCs w:val="28"/>
        </w:rPr>
      </w:pPr>
      <w:r>
        <w:rPr>
          <w:szCs w:val="28"/>
        </w:rPr>
        <w:t xml:space="preserve">Оценка риска для здоровья населения проводится в отношении объектов </w:t>
      </w:r>
      <w:r>
        <w:rPr>
          <w:szCs w:val="28"/>
          <w:lang w:val="en-US"/>
        </w:rPr>
        <w:t>I</w:t>
      </w:r>
      <w:r>
        <w:rPr>
          <w:szCs w:val="28"/>
        </w:rPr>
        <w:t xml:space="preserve"> и </w:t>
      </w:r>
      <w:r>
        <w:rPr>
          <w:szCs w:val="28"/>
          <w:lang w:val="en-US"/>
        </w:rPr>
        <w:t>II</w:t>
      </w:r>
      <w:r>
        <w:rPr>
          <w:szCs w:val="28"/>
        </w:rPr>
        <w:t xml:space="preserve"> классов опасности. Согласно п.4.2. </w:t>
      </w:r>
      <w:r>
        <w:rPr>
          <w:szCs w:val="28"/>
          <w:shd w:fill="FFFFFF" w:val="clear"/>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25.09.2007 № 74 (далее - СанПиН 2.2.1/2.1.1.1200-03)</w:t>
      </w:r>
      <w:r>
        <w:rPr>
          <w:szCs w:val="28"/>
        </w:rPr>
        <w:t>, для животноводческих предприятий, а также в отношении кладбищ оценка риска для здоровья населения не выполняется.</w:t>
      </w:r>
    </w:p>
    <w:p>
      <w:pPr>
        <w:pStyle w:val="Style38"/>
        <w:widowControl w:val="false"/>
        <w:suppressAutoHyphens w:val="true"/>
        <w:ind w:firstLine="709"/>
        <w:rPr>
          <w:szCs w:val="28"/>
        </w:rPr>
      </w:pPr>
      <w:r>
        <w:rPr>
          <w:szCs w:val="28"/>
        </w:rPr>
        <w:t>Важнейшим показателем санитарно-эпидемиологического благополучия территории является состояние здоровья населения. На процесс его формирования влияет целый ряд биологических, социально-экономических, антропогенных, природно-климатических, медико-санитарных факторов, отражающих уровень техногенного загрязнения среды, рациональность архитектурно-планировочной организации территории, и др.</w:t>
      </w:r>
    </w:p>
    <w:p>
      <w:pPr>
        <w:pStyle w:val="Style38"/>
        <w:widowControl w:val="false"/>
        <w:suppressAutoHyphens w:val="true"/>
        <w:ind w:firstLine="709"/>
        <w:rPr>
          <w:szCs w:val="28"/>
        </w:rPr>
      </w:pPr>
      <w:r>
        <w:rPr>
          <w:szCs w:val="28"/>
        </w:rPr>
        <w:t>Ввиду несоблюдения режима водоохранных зон, нарушения правил использования водных объектов, сброса неочищенных сточных вод в поверхностные водные объекты, ухудшается качество поверхностных и подземных вод, в том числе используемых в качестве источников питьевого водоснабжения.</w:t>
      </w:r>
    </w:p>
    <w:p>
      <w:pPr>
        <w:pStyle w:val="Normal"/>
        <w:spacing w:lineRule="auto" w:line="240" w:before="0" w:after="0"/>
        <w:jc w:val="both"/>
        <w:rPr>
          <w:rFonts w:ascii="Times New Roman" w:hAnsi="Times New Roman" w:eastAsia="Times New Roman" w:cs="Times New Roman"/>
          <w:sz w:val="28"/>
          <w:szCs w:val="20"/>
          <w:lang w:eastAsia="ru-RU"/>
        </w:rPr>
      </w:pPr>
      <w:r>
        <w:rPr>
          <w:rFonts w:eastAsia="Times New Roman" w:cs="Times New Roman" w:ascii="Times New Roman" w:hAnsi="Times New Roman"/>
          <w:sz w:val="28"/>
          <w:szCs w:val="20"/>
          <w:lang w:eastAsia="ru-RU"/>
        </w:rPr>
      </w:r>
    </w:p>
    <w:p>
      <w:pPr>
        <w:pStyle w:val="Style38"/>
        <w:widowControl w:val="false"/>
        <w:suppressAutoHyphens w:val="true"/>
        <w:ind w:firstLine="709"/>
        <w:rPr>
          <w:rFonts w:eastAsia="" w:eastAsiaTheme="majorEastAsia"/>
          <w:b/>
          <w:szCs w:val="28"/>
        </w:rPr>
      </w:pPr>
      <w:r>
        <w:rPr>
          <w:rFonts w:eastAsia="" w:eastAsiaTheme="majorEastAsia"/>
          <w:b/>
          <w:szCs w:val="28"/>
        </w:rPr>
      </w:r>
      <w:r>
        <w:br w:type="page"/>
      </w:r>
    </w:p>
    <w:p>
      <w:pPr>
        <w:pStyle w:val="ListParagraph"/>
        <w:widowControl w:val="false"/>
        <w:numPr>
          <w:ilvl w:val="0"/>
          <w:numId w:val="0"/>
        </w:numPr>
        <w:suppressAutoHyphens w:val="true"/>
        <w:spacing w:lineRule="auto" w:line="240" w:before="0" w:after="0"/>
        <w:ind w:left="0" w:firstLine="709"/>
        <w:contextualSpacing w:val="false"/>
        <w:jc w:val="center"/>
        <w:outlineLvl w:val="0"/>
        <w:rPr>
          <w:rFonts w:ascii="Times New Roman" w:hAnsi="Times New Roman" w:eastAsia="" w:cs="Times New Roman" w:eastAsiaTheme="majorEastAsia"/>
          <w:b/>
          <w:sz w:val="28"/>
          <w:szCs w:val="28"/>
        </w:rPr>
      </w:pPr>
      <w:bookmarkStart w:id="137" w:name="_Toc34205840"/>
      <w:bookmarkStart w:id="138" w:name="_Toc147740053"/>
      <w:r>
        <w:rPr>
          <w:rFonts w:eastAsia="" w:cs="Times New Roman" w:ascii="Times New Roman" w:hAnsi="Times New Roman" w:eastAsiaTheme="majorEastAsia"/>
          <w:b/>
          <w:sz w:val="28"/>
          <w:szCs w:val="28"/>
        </w:rPr>
        <w:t>3. ЗЕМЛИ ЛЕСНОГО ФОНДА</w:t>
      </w:r>
      <w:bookmarkEnd w:id="137"/>
      <w:bookmarkEnd w:id="138"/>
    </w:p>
    <w:p>
      <w:pPr>
        <w:pStyle w:val="Normal"/>
        <w:widowControl w:val="false"/>
        <w:suppressAutoHyphens w:val="true"/>
        <w:spacing w:lineRule="auto" w:line="240" w:before="0" w:after="0"/>
        <w:ind w:firstLine="709"/>
        <w:jc w:val="both"/>
        <w:rPr>
          <w:rFonts w:ascii="Times New Roman" w:hAnsi="Times New Roman" w:cs="Times New Roman"/>
          <w:sz w:val="28"/>
          <w:szCs w:val="28"/>
          <w:lang w:eastAsia="ru-RU"/>
        </w:rPr>
      </w:pPr>
      <w:r>
        <w:rPr>
          <w:rFonts w:cs="Times New Roman" w:ascii="Times New Roman" w:hAnsi="Times New Roman"/>
          <w:sz w:val="28"/>
          <w:szCs w:val="28"/>
        </w:rPr>
        <w:t>На территории поселения расположены леса Ключищенского участкового лесничества Приволжского лесничества</w:t>
      </w:r>
      <w:r>
        <w:rPr>
          <w:rFonts w:cs="Times New Roman" w:ascii="Times New Roman" w:hAnsi="Times New Roman"/>
          <w:sz w:val="28"/>
          <w:szCs w:val="28"/>
          <w:lang w:eastAsia="ru-RU"/>
        </w:rPr>
        <w:t xml:space="preserve"> (16:00-6.3744). </w:t>
      </w:r>
    </w:p>
    <w:p>
      <w:pPr>
        <w:pStyle w:val="ListParagraph"/>
        <w:spacing w:lineRule="auto" w:line="240" w:before="0" w:after="0"/>
        <w:ind w:left="0" w:firstLine="709"/>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Большие участки леса сосредоточены в юго-западной, южной, западной частях поселения.</w:t>
      </w:r>
    </w:p>
    <w:p>
      <w:pPr>
        <w:pStyle w:val="Normal"/>
        <w:widowControl w:val="false"/>
        <w:suppressAutoHyphens w:val="true"/>
        <w:spacing w:lineRule="auto" w:line="240" w:before="0" w:after="0"/>
        <w:ind w:firstLine="709"/>
        <w:jc w:val="both"/>
        <w:rPr>
          <w:rFonts w:ascii="Times New Roman" w:hAnsi="Times New Roman" w:cs="Times New Roman"/>
          <w:sz w:val="28"/>
          <w:szCs w:val="28"/>
          <w:lang w:eastAsia="ru-RU"/>
        </w:rPr>
      </w:pPr>
      <w:r>
        <w:rPr>
          <w:rFonts w:cs="Times New Roman" w:ascii="Times New Roman" w:hAnsi="Times New Roman"/>
          <w:sz w:val="28"/>
          <w:szCs w:val="28"/>
        </w:rPr>
        <w:t>Лесной фонд представлен</w:t>
      </w:r>
      <w:r>
        <w:rPr>
          <w:rFonts w:cs="Times New Roman" w:ascii="Times New Roman" w:hAnsi="Times New Roman"/>
          <w:sz w:val="28"/>
          <w:szCs w:val="28"/>
          <w:lang w:eastAsia="ru-RU"/>
        </w:rPr>
        <w:t xml:space="preserve"> защитными лесами следующих категорий:</w:t>
      </w:r>
    </w:p>
    <w:p>
      <w:pPr>
        <w:pStyle w:val="ListParagraph"/>
        <w:widowControl w:val="false"/>
        <w:numPr>
          <w:ilvl w:val="0"/>
          <w:numId w:val="38"/>
        </w:numPr>
        <w:suppressAutoHyphens w:val="true"/>
        <w:spacing w:lineRule="auto" w:line="240" w:before="0" w:after="0"/>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 xml:space="preserve">Ценные леса; </w:t>
      </w:r>
    </w:p>
    <w:p>
      <w:pPr>
        <w:pStyle w:val="ListParagraph"/>
        <w:widowControl w:val="false"/>
        <w:numPr>
          <w:ilvl w:val="0"/>
          <w:numId w:val="38"/>
        </w:numPr>
        <w:suppressAutoHyphens w:val="true"/>
        <w:spacing w:lineRule="auto" w:line="240" w:before="0" w:after="0"/>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Леса, расположенные в водоохранной зоне;</w:t>
      </w:r>
    </w:p>
    <w:p>
      <w:pPr>
        <w:pStyle w:val="ListParagraph"/>
        <w:widowControl w:val="false"/>
        <w:numPr>
          <w:ilvl w:val="0"/>
          <w:numId w:val="38"/>
        </w:numPr>
        <w:suppressAutoHyphens w:val="true"/>
        <w:spacing w:lineRule="auto" w:line="240" w:before="0" w:after="0"/>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Леса, выполняющие функции защиты природных и иных объектов;</w:t>
      </w:r>
    </w:p>
    <w:p>
      <w:pPr>
        <w:pStyle w:val="ListParagraph"/>
        <w:widowControl w:val="false"/>
        <w:numPr>
          <w:ilvl w:val="0"/>
          <w:numId w:val="38"/>
        </w:numPr>
        <w:suppressAutoHyphens w:val="true"/>
        <w:spacing w:lineRule="auto" w:line="240" w:before="0" w:after="0"/>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Леса, расположенные на особо охраняемой природной территории.</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К защитным лесам относятся леса, которые являются природными объектами, имеющими особо ценное значение, и в отношении которых устанавливается особый правовой режим использования, охраны, защиты, воспроизводства лесов (ст.111 Лесного кодекса РФ от 04.12.2006 № 200-ФЗ).</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Защитные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(ст. 12 Лесного кодекса РФ от 04.12.2006 № 200-ФЗ).</w:t>
      </w:r>
    </w:p>
    <w:p>
      <w:pPr>
        <w:pStyle w:val="Normal"/>
        <w:widowControl w:val="false"/>
        <w:suppressAutoHyphens w:val="true"/>
        <w:spacing w:lineRule="auto" w:line="240" w:before="0" w:after="0"/>
        <w:ind w:firstLine="709"/>
        <w:jc w:val="both"/>
        <w:rPr>
          <w:rFonts w:ascii="Times New Roman" w:hAnsi="Times New Roman" w:cs="Times New Roman"/>
          <w:sz w:val="28"/>
          <w:szCs w:val="28"/>
          <w:lang w:eastAsia="ru-RU"/>
        </w:rPr>
      </w:pPr>
      <w:r>
        <w:rPr>
          <w:rFonts w:cs="Times New Roman" w:ascii="Times New Roman" w:hAnsi="Times New Roman"/>
          <w:sz w:val="28"/>
          <w:szCs w:val="28"/>
        </w:rPr>
        <w:t>Правовой режим использования земель лесного фонда на рассматриваемой территории установлен Лесным кодексом РФ и лесохозяйственным регламентом Приволжского лесничества, утв. приказом Министерства лесного хозяйства РТ от 12.02.2019 № 89-осн (с изменениями и дополнениями).</w:t>
      </w:r>
    </w:p>
    <w:p>
      <w:pPr>
        <w:pStyle w:val="Normal"/>
        <w:widowControl w:val="false"/>
        <w:suppressAutoHyphens w:val="true"/>
        <w:spacing w:lineRule="auto" w:line="240" w:before="0" w:after="0"/>
        <w:ind w:firstLine="709"/>
        <w:jc w:val="both"/>
        <w:rPr>
          <w:rFonts w:ascii="Times New Roman" w:hAnsi="Times New Roman" w:cs="Times New Roman"/>
          <w:sz w:val="28"/>
          <w:szCs w:val="28"/>
          <w:lang w:eastAsia="ru-RU"/>
        </w:rPr>
      </w:pPr>
      <w:r>
        <w:rPr>
          <w:rFonts w:cs="Times New Roman" w:ascii="Times New Roman" w:hAnsi="Times New Roman"/>
          <w:sz w:val="28"/>
          <w:szCs w:val="28"/>
        </w:rPr>
        <w:t>Правовой режим использования земель лесного фонда</w:t>
      </w:r>
      <w:r>
        <w:rPr>
          <w:rFonts w:cs="Times New Roman" w:ascii="Times New Roman" w:hAnsi="Times New Roman"/>
          <w:sz w:val="28"/>
          <w:szCs w:val="28"/>
          <w:lang w:eastAsia="ru-RU"/>
        </w:rPr>
        <w:t xml:space="preserve"> приведен в таблице 3.1.2.</w:t>
      </w:r>
    </w:p>
    <w:p>
      <w:pPr>
        <w:pStyle w:val="Style38"/>
        <w:widowControl w:val="false"/>
        <w:suppressAutoHyphens w:val="true"/>
        <w:spacing w:before="0" w:after="0"/>
        <w:ind w:hanging="0"/>
        <w:contextualSpacing/>
        <w:jc w:val="right"/>
        <w:rPr>
          <w:szCs w:val="28"/>
        </w:rPr>
      </w:pPr>
      <w:r>
        <w:rPr>
          <w:szCs w:val="28"/>
        </w:rPr>
        <w:t>Таблица 3.1.2</w:t>
      </w:r>
    </w:p>
    <w:p>
      <w:pPr>
        <w:pStyle w:val="Style38"/>
        <w:widowControl w:val="false"/>
        <w:suppressAutoHyphens w:val="true"/>
        <w:spacing w:before="0" w:after="160"/>
        <w:ind w:firstLine="709"/>
        <w:jc w:val="center"/>
        <w:rPr>
          <w:szCs w:val="28"/>
        </w:rPr>
      </w:pPr>
      <w:r>
        <w:rPr>
          <w:szCs w:val="28"/>
        </w:rPr>
        <w:t xml:space="preserve">Правовой режим использования земель лесного фонда </w:t>
      </w:r>
    </w:p>
    <w:tbl>
      <w:tblPr>
        <w:tblStyle w:val="af0"/>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3873"/>
        <w:gridCol w:w="6513"/>
        <w:gridCol w:w="4467"/>
      </w:tblGrid>
      <w:tr>
        <w:trPr>
          <w:tblHeader w:val="true"/>
        </w:trPr>
        <w:tc>
          <w:tcPr>
            <w:tcW w:w="3873" w:type="dxa"/>
            <w:tcBorders/>
          </w:tcPr>
          <w:p>
            <w:pPr>
              <w:pStyle w:val="Style38"/>
              <w:widowControl w:val="false"/>
              <w:suppressAutoHyphens w:val="true"/>
              <w:spacing w:before="0" w:after="0"/>
              <w:ind w:left="0" w:right="0" w:hanging="0"/>
              <w:contextualSpacing/>
              <w:jc w:val="center"/>
              <w:rPr>
                <w:sz w:val="22"/>
              </w:rPr>
            </w:pPr>
            <w:r>
              <w:rPr>
                <w:kern w:val="0"/>
                <w:sz w:val="22"/>
                <w:lang w:val="ru-RU" w:bidi="ar-SA"/>
              </w:rPr>
              <w:t>Название зоны</w:t>
            </w:r>
          </w:p>
        </w:tc>
        <w:tc>
          <w:tcPr>
            <w:tcW w:w="6513" w:type="dxa"/>
            <w:tcBorders/>
          </w:tcPr>
          <w:p>
            <w:pPr>
              <w:pStyle w:val="Style38"/>
              <w:widowControl w:val="false"/>
              <w:suppressAutoHyphens w:val="true"/>
              <w:spacing w:before="0" w:after="0"/>
              <w:ind w:left="0" w:right="0" w:hanging="0"/>
              <w:contextualSpacing/>
              <w:jc w:val="center"/>
              <w:rPr>
                <w:b/>
                <w:sz w:val="22"/>
              </w:rPr>
            </w:pPr>
            <w:r>
              <w:rPr>
                <w:kern w:val="0"/>
                <w:sz w:val="22"/>
                <w:lang w:val="ru-RU" w:bidi="ar-SA"/>
              </w:rPr>
              <w:t>Правовой режим использования участка</w:t>
            </w:r>
          </w:p>
        </w:tc>
        <w:tc>
          <w:tcPr>
            <w:tcW w:w="4467" w:type="dxa"/>
            <w:tcBorders/>
          </w:tcPr>
          <w:p>
            <w:pPr>
              <w:pStyle w:val="Style38"/>
              <w:widowControl w:val="false"/>
              <w:suppressAutoHyphens w:val="true"/>
              <w:spacing w:before="0" w:after="0"/>
              <w:ind w:left="0" w:right="0" w:hanging="0"/>
              <w:contextualSpacing/>
              <w:jc w:val="center"/>
              <w:rPr>
                <w:sz w:val="22"/>
              </w:rPr>
            </w:pPr>
            <w:r>
              <w:rPr>
                <w:kern w:val="0"/>
                <w:sz w:val="22"/>
                <w:lang w:val="ru-RU" w:bidi="ar-SA"/>
              </w:rPr>
              <w:t>Обоснование</w:t>
            </w:r>
          </w:p>
          <w:p>
            <w:pPr>
              <w:pStyle w:val="Style38"/>
              <w:widowControl w:val="false"/>
              <w:suppressAutoHyphens w:val="true"/>
              <w:spacing w:before="0" w:after="0"/>
              <w:ind w:left="0" w:right="0" w:hanging="0"/>
              <w:contextualSpacing/>
              <w:jc w:val="center"/>
              <w:rPr>
                <w:b/>
                <w:sz w:val="22"/>
              </w:rPr>
            </w:pPr>
            <w:r>
              <w:rPr>
                <w:kern w:val="0"/>
                <w:sz w:val="22"/>
                <w:lang w:val="ru-RU" w:bidi="ar-SA"/>
              </w:rPr>
              <w:t>(нормативные документы)</w:t>
            </w:r>
          </w:p>
        </w:tc>
      </w:tr>
      <w:tr>
        <w:trPr/>
        <w:tc>
          <w:tcPr>
            <w:tcW w:w="3873" w:type="dxa"/>
            <w:tcBorders/>
          </w:tcPr>
          <w:p>
            <w:pPr>
              <w:pStyle w:val="Style38"/>
              <w:widowControl w:val="false"/>
              <w:suppressAutoHyphens w:val="true"/>
              <w:spacing w:before="0" w:after="0"/>
              <w:ind w:left="44" w:right="0" w:hanging="0"/>
              <w:contextualSpacing/>
              <w:rPr>
                <w:sz w:val="22"/>
              </w:rPr>
            </w:pPr>
            <w:r>
              <w:rPr>
                <w:kern w:val="0"/>
                <w:sz w:val="22"/>
                <w:lang w:val="ru-RU" w:bidi="ar-SA"/>
              </w:rPr>
              <w:t xml:space="preserve">Защитные леса </w:t>
            </w:r>
          </w:p>
        </w:tc>
        <w:tc>
          <w:tcPr>
            <w:tcW w:w="6513" w:type="dxa"/>
            <w:tcBorders/>
          </w:tcPr>
          <w:p>
            <w:pPr>
              <w:pStyle w:val="Normal"/>
              <w:widowControl/>
              <w:spacing w:lineRule="auto" w:line="240" w:before="0" w:after="0"/>
              <w:ind w:left="0" w:right="0" w:firstLine="423"/>
              <w:jc w:val="both"/>
              <w:rPr>
                <w:rFonts w:ascii="Times New Roman" w:hAnsi="Times New Roman" w:cs="Times New Roman"/>
              </w:rPr>
            </w:pPr>
            <w:r>
              <w:rPr>
                <w:rFonts w:eastAsia="Calibri" w:cs="Times New Roman" w:ascii="Times New Roman" w:hAnsi="Times New Roman"/>
                <w:kern w:val="0"/>
                <w:sz w:val="22"/>
                <w:szCs w:val="22"/>
                <w:lang w:val="ru-RU" w:eastAsia="en-US" w:bidi="ar-SA"/>
              </w:rPr>
              <w:t>В защитных лесах запрещается осуществление деятельности, несовместимой с их целевым назначением и полезными функциями.</w:t>
            </w:r>
          </w:p>
          <w:p>
            <w:pPr>
              <w:pStyle w:val="Normal"/>
              <w:widowControl/>
              <w:spacing w:lineRule="auto" w:line="240" w:before="0" w:after="0"/>
              <w:ind w:left="0" w:right="0" w:firstLine="423"/>
              <w:jc w:val="both"/>
              <w:rPr>
                <w:rFonts w:ascii="Times New Roman" w:hAnsi="Times New Roman" w:cs="Times New Roman"/>
              </w:rPr>
            </w:pPr>
            <w:r>
              <w:rPr>
                <w:rFonts w:eastAsia="Calibri" w:cs="Times New Roman" w:ascii="Times New Roman" w:hAnsi="Times New Roman"/>
                <w:kern w:val="0"/>
                <w:sz w:val="22"/>
                <w:szCs w:val="22"/>
                <w:lang w:val="ru-RU" w:eastAsia="en-US" w:bidi="ar-SA"/>
              </w:rPr>
              <w:t>Запрещается изменение целевого назначения лесных участков, на которых расположены защитные леса, за исключением случаев, предусмотренных федеральными законами.</w:t>
            </w:r>
          </w:p>
        </w:tc>
        <w:tc>
          <w:tcPr>
            <w:tcW w:w="4467" w:type="dxa"/>
            <w:tcBorders/>
          </w:tcPr>
          <w:p>
            <w:pPr>
              <w:pStyle w:val="Style38"/>
              <w:widowControl w:val="false"/>
              <w:suppressAutoHyphens w:val="true"/>
              <w:spacing w:before="0" w:after="0"/>
              <w:ind w:left="0" w:right="0" w:hanging="0"/>
              <w:contextualSpacing/>
              <w:rPr>
                <w:sz w:val="22"/>
              </w:rPr>
            </w:pPr>
            <w:r>
              <w:rPr>
                <w:kern w:val="0"/>
                <w:sz w:val="22"/>
                <w:lang w:val="ru-RU" w:bidi="ar-SA"/>
              </w:rPr>
              <w:t>Статья 111 Лесного кодекса РФ от 04.12.2006 № 200-ФЗ</w:t>
            </w:r>
          </w:p>
          <w:p>
            <w:pPr>
              <w:pStyle w:val="Style38"/>
              <w:widowControl w:val="false"/>
              <w:suppressAutoHyphens w:val="true"/>
              <w:spacing w:before="0" w:after="0"/>
              <w:ind w:left="0" w:right="0" w:hanging="0"/>
              <w:contextualSpacing/>
              <w:rPr>
                <w:sz w:val="22"/>
              </w:rPr>
            </w:pPr>
            <w:r>
              <w:rPr>
                <w:kern w:val="0"/>
                <w:sz w:val="22"/>
                <w:lang w:val="ru-RU" w:bidi="ar-SA"/>
              </w:rPr>
            </w:r>
          </w:p>
        </w:tc>
      </w:tr>
      <w:tr>
        <w:trPr/>
        <w:tc>
          <w:tcPr>
            <w:tcW w:w="3873" w:type="dxa"/>
            <w:tcBorders/>
          </w:tcPr>
          <w:p>
            <w:pPr>
              <w:pStyle w:val="Style38"/>
              <w:widowControl w:val="false"/>
              <w:suppressAutoHyphens w:val="true"/>
              <w:spacing w:before="0" w:after="0"/>
              <w:ind w:left="44" w:right="0" w:hanging="0"/>
              <w:contextualSpacing/>
              <w:rPr>
                <w:sz w:val="22"/>
              </w:rPr>
            </w:pPr>
            <w:r>
              <w:rPr>
                <w:kern w:val="0"/>
                <w:sz w:val="22"/>
                <w:lang w:val="ru-RU" w:bidi="ar-SA"/>
              </w:rPr>
              <w:t xml:space="preserve">Леса, расположенные в водоохранной зоне </w:t>
            </w:r>
          </w:p>
        </w:tc>
        <w:tc>
          <w:tcPr>
            <w:tcW w:w="6513" w:type="dxa"/>
            <w:tcBorders/>
          </w:tcPr>
          <w:p>
            <w:pPr>
              <w:pStyle w:val="Normal"/>
              <w:widowControl/>
              <w:spacing w:lineRule="auto" w:line="240" w:before="0" w:after="0"/>
              <w:ind w:left="0" w:right="0" w:firstLine="423"/>
              <w:jc w:val="both"/>
              <w:rPr>
                <w:rFonts w:ascii="Times New Roman" w:hAnsi="Times New Roman" w:cs="Times New Roman"/>
              </w:rPr>
            </w:pPr>
            <w:r>
              <w:rPr>
                <w:rFonts w:eastAsia="Calibri" w:cs="Times New Roman" w:ascii="Times New Roman" w:hAnsi="Times New Roman"/>
                <w:kern w:val="0"/>
                <w:sz w:val="22"/>
                <w:szCs w:val="22"/>
                <w:lang w:val="ru-RU" w:eastAsia="en-US" w:bidi="ar-SA"/>
              </w:rPr>
              <w:t>В лесах, расположенных в водоохранных зонах, запрещаются:</w:t>
            </w:r>
          </w:p>
          <w:p>
            <w:pPr>
              <w:pStyle w:val="ListParagraph"/>
              <w:widowControl/>
              <w:numPr>
                <w:ilvl w:val="0"/>
                <w:numId w:val="39"/>
              </w:numPr>
              <w:tabs>
                <w:tab w:val="clear" w:pos="709"/>
                <w:tab w:val="left" w:pos="565" w:leader="none"/>
              </w:tabs>
              <w:spacing w:lineRule="auto" w:line="240" w:before="0" w:after="0"/>
              <w:ind w:left="0" w:right="0" w:firstLine="423"/>
              <w:contextualSpacing/>
              <w:jc w:val="both"/>
              <w:rPr>
                <w:rFonts w:ascii="Times New Roman" w:hAnsi="Times New Roman" w:cs="Times New Roman"/>
              </w:rPr>
            </w:pPr>
            <w:r>
              <w:rPr>
                <w:rFonts w:eastAsia="Calibri" w:cs="Times New Roman" w:ascii="Times New Roman" w:hAnsi="Times New Roman"/>
                <w:kern w:val="0"/>
                <w:sz w:val="22"/>
                <w:szCs w:val="22"/>
                <w:lang w:val="ru-RU" w:eastAsia="en-US" w:bidi="ar-SA"/>
              </w:rPr>
              <w:t>использование токсичных химических препаратов;</w:t>
            </w:r>
          </w:p>
          <w:p>
            <w:pPr>
              <w:pStyle w:val="ListParagraph"/>
              <w:widowControl/>
              <w:numPr>
                <w:ilvl w:val="0"/>
                <w:numId w:val="39"/>
              </w:numPr>
              <w:tabs>
                <w:tab w:val="clear" w:pos="709"/>
                <w:tab w:val="left" w:pos="565" w:leader="none"/>
              </w:tabs>
              <w:spacing w:lineRule="auto" w:line="240" w:before="0" w:after="0"/>
              <w:ind w:left="0" w:right="0" w:firstLine="423"/>
              <w:contextualSpacing/>
              <w:jc w:val="both"/>
              <w:rPr>
                <w:rFonts w:ascii="Times New Roman" w:hAnsi="Times New Roman" w:cs="Times New Roman"/>
              </w:rPr>
            </w:pPr>
            <w:r>
              <w:rPr>
                <w:rFonts w:eastAsia="Calibri" w:cs="Times New Roman" w:ascii="Times New Roman" w:hAnsi="Times New Roman"/>
                <w:kern w:val="0"/>
                <w:sz w:val="22"/>
                <w:szCs w:val="22"/>
                <w:lang w:val="ru-RU" w:eastAsia="en-US" w:bidi="ar-SA"/>
              </w:rPr>
              <w:t>ведение сельского хозяйства, за исключением сенокошения, пчеловодства и товарной аквакультуры (товарного рыбоводства);</w:t>
            </w:r>
          </w:p>
          <w:p>
            <w:pPr>
              <w:pStyle w:val="ListParagraph"/>
              <w:widowControl/>
              <w:numPr>
                <w:ilvl w:val="0"/>
                <w:numId w:val="39"/>
              </w:numPr>
              <w:tabs>
                <w:tab w:val="clear" w:pos="709"/>
                <w:tab w:val="left" w:pos="565" w:leader="none"/>
              </w:tabs>
              <w:spacing w:lineRule="auto" w:line="240" w:before="0" w:after="0"/>
              <w:ind w:left="0" w:right="0" w:firstLine="423"/>
              <w:contextualSpacing/>
              <w:jc w:val="both"/>
              <w:rPr>
                <w:rFonts w:ascii="Times New Roman" w:hAnsi="Times New Roman" w:cs="Times New Roman"/>
              </w:rPr>
            </w:pPr>
            <w:r>
              <w:rPr>
                <w:rFonts w:eastAsia="Calibri" w:cs="Times New Roman" w:ascii="Times New Roman" w:hAnsi="Times New Roman"/>
                <w:kern w:val="0"/>
                <w:sz w:val="22"/>
                <w:szCs w:val="22"/>
                <w:lang w:val="ru-RU" w:eastAsia="en-US" w:bidi="ar-SA"/>
              </w:rPr>
              <w:t>создание и эксплуатация лесных плантаций;</w:t>
            </w:r>
          </w:p>
          <w:p>
            <w:pPr>
              <w:pStyle w:val="ListParagraph"/>
              <w:widowControl/>
              <w:numPr>
                <w:ilvl w:val="0"/>
                <w:numId w:val="39"/>
              </w:numPr>
              <w:tabs>
                <w:tab w:val="clear" w:pos="709"/>
                <w:tab w:val="left" w:pos="565" w:leader="none"/>
              </w:tabs>
              <w:spacing w:lineRule="auto" w:line="240" w:before="0" w:after="0"/>
              <w:ind w:left="0" w:right="0" w:firstLine="423"/>
              <w:contextualSpacing/>
              <w:jc w:val="both"/>
              <w:rPr>
                <w:rFonts w:ascii="Times New Roman" w:hAnsi="Times New Roman" w:cs="Times New Roman"/>
                <w:szCs w:val="20"/>
              </w:rPr>
            </w:pPr>
            <w:r>
              <w:rPr>
                <w:rFonts w:eastAsia="Calibri" w:cs="Times New Roman" w:ascii="Times New Roman" w:hAnsi="Times New Roman"/>
                <w:kern w:val="0"/>
                <w:sz w:val="22"/>
                <w:szCs w:val="22"/>
                <w:lang w:val="ru-RU" w:eastAsia="en-US" w:bidi="ar-SA"/>
              </w:rPr>
              <w:t>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tc>
        <w:tc>
          <w:tcPr>
            <w:tcW w:w="4467" w:type="dxa"/>
            <w:tcBorders/>
          </w:tcPr>
          <w:p>
            <w:pPr>
              <w:pStyle w:val="Style38"/>
              <w:widowControl w:val="false"/>
              <w:suppressAutoHyphens w:val="true"/>
              <w:spacing w:before="0" w:after="0"/>
              <w:ind w:left="0" w:right="0" w:hanging="0"/>
              <w:contextualSpacing/>
              <w:rPr>
                <w:sz w:val="22"/>
              </w:rPr>
            </w:pPr>
            <w:r>
              <w:rPr>
                <w:kern w:val="0"/>
                <w:sz w:val="22"/>
                <w:lang w:val="ru-RU" w:bidi="ar-SA"/>
              </w:rPr>
              <w:t>Статья 113 Лесного кодекса РФ от 04.12.2006 № 200-ФЗ</w:t>
            </w:r>
          </w:p>
          <w:p>
            <w:pPr>
              <w:pStyle w:val="Style38"/>
              <w:widowControl w:val="false"/>
              <w:suppressAutoHyphens w:val="true"/>
              <w:spacing w:before="0" w:after="0"/>
              <w:ind w:left="0" w:right="0" w:hanging="0"/>
              <w:contextualSpacing/>
              <w:rPr>
                <w:sz w:val="22"/>
              </w:rPr>
            </w:pPr>
            <w:r>
              <w:rPr>
                <w:kern w:val="0"/>
                <w:sz w:val="22"/>
                <w:lang w:val="ru-RU" w:bidi="ar-SA"/>
              </w:rPr>
              <w:t>Лесохозяйственный регламент Приволжского лесничества</w:t>
            </w:r>
          </w:p>
        </w:tc>
      </w:tr>
      <w:tr>
        <w:trPr/>
        <w:tc>
          <w:tcPr>
            <w:tcW w:w="3873" w:type="dxa"/>
            <w:tcBorders/>
          </w:tcPr>
          <w:p>
            <w:pPr>
              <w:pStyle w:val="Style38"/>
              <w:widowControl w:val="false"/>
              <w:suppressAutoHyphens w:val="true"/>
              <w:spacing w:before="0" w:after="0"/>
              <w:ind w:left="0" w:right="0" w:hanging="0"/>
              <w:contextualSpacing/>
              <w:rPr>
                <w:sz w:val="22"/>
              </w:rPr>
            </w:pPr>
            <w:r>
              <w:rPr>
                <w:kern w:val="0"/>
                <w:sz w:val="22"/>
                <w:lang w:val="ru-RU" w:bidi="ar-SA"/>
              </w:rPr>
              <w:t>Ценные леса</w:t>
            </w:r>
          </w:p>
        </w:tc>
        <w:tc>
          <w:tcPr>
            <w:tcW w:w="6513" w:type="dxa"/>
            <w:tcBorders/>
          </w:tcPr>
          <w:p>
            <w:pPr>
              <w:pStyle w:val="Normal"/>
              <w:widowControl/>
              <w:spacing w:lineRule="auto" w:line="240" w:before="0" w:after="0"/>
              <w:ind w:left="0" w:right="0" w:firstLine="423"/>
              <w:jc w:val="both"/>
              <w:rPr>
                <w:rFonts w:ascii="Times New Roman" w:hAnsi="Times New Roman" w:cs="Times New Roman"/>
                <w:szCs w:val="20"/>
              </w:rPr>
            </w:pPr>
            <w:r>
              <w:rPr>
                <w:rFonts w:eastAsia="Calibri" w:cs="Times New Roman" w:ascii="Times New Roman" w:hAnsi="Times New Roman"/>
                <w:kern w:val="0"/>
                <w:sz w:val="22"/>
                <w:szCs w:val="22"/>
                <w:lang w:val="ru-RU" w:eastAsia="en-US" w:bidi="ar-SA"/>
              </w:rPr>
              <w:t>В ценных лесах запрещаются строительство и эксплуатация объектов капитального строительства, за исключением велосипедных, велопешеходных, пешеходных и беговых дорожек, лыжных и роллерных трасс, если такие объекты являются объектами капитального строительства, линейных объектов и гидротехнических сооружений</w:t>
            </w:r>
          </w:p>
        </w:tc>
        <w:tc>
          <w:tcPr>
            <w:tcW w:w="4467" w:type="dxa"/>
            <w:tcBorders/>
          </w:tcPr>
          <w:p>
            <w:pPr>
              <w:pStyle w:val="Style38"/>
              <w:widowControl w:val="false"/>
              <w:suppressAutoHyphens w:val="true"/>
              <w:spacing w:before="0" w:after="0"/>
              <w:ind w:left="0" w:right="0" w:hanging="0"/>
              <w:contextualSpacing/>
              <w:rPr>
                <w:sz w:val="22"/>
              </w:rPr>
            </w:pPr>
            <w:r>
              <w:rPr>
                <w:kern w:val="0"/>
                <w:sz w:val="22"/>
                <w:lang w:val="ru-RU" w:bidi="ar-SA"/>
              </w:rPr>
              <w:t>Статья 115 Лесного кодекса РФ от 04.12.2006 № 200-ФЗ</w:t>
            </w:r>
          </w:p>
          <w:p>
            <w:pPr>
              <w:pStyle w:val="Style38"/>
              <w:widowControl w:val="false"/>
              <w:suppressAutoHyphens w:val="true"/>
              <w:spacing w:before="0" w:after="0"/>
              <w:ind w:left="0" w:right="0" w:hanging="0"/>
              <w:contextualSpacing/>
              <w:rPr>
                <w:sz w:val="22"/>
              </w:rPr>
            </w:pPr>
            <w:r>
              <w:rPr>
                <w:kern w:val="0"/>
                <w:sz w:val="22"/>
                <w:lang w:val="ru-RU" w:bidi="ar-SA"/>
              </w:rPr>
              <w:t>Лесохозяйственный регламент Приволжского лесничества</w:t>
            </w:r>
          </w:p>
        </w:tc>
      </w:tr>
      <w:tr>
        <w:trPr/>
        <w:tc>
          <w:tcPr>
            <w:tcW w:w="3873" w:type="dxa"/>
            <w:tcBorders/>
          </w:tcPr>
          <w:p>
            <w:pPr>
              <w:pStyle w:val="Normal"/>
              <w:widowControl/>
              <w:spacing w:lineRule="auto" w:line="240" w:before="0" w:after="0"/>
              <w:jc w:val="both"/>
              <w:rPr>
                <w:rFonts w:ascii="Calibri" w:hAnsi="Calibri" w:eastAsia="Calibri" w:cs=""/>
                <w:kern w:val="0"/>
                <w:sz w:val="22"/>
                <w:szCs w:val="22"/>
                <w:lang w:val="ru-RU" w:eastAsia="en-US" w:bidi="ar-SA"/>
              </w:rPr>
            </w:pPr>
            <w:r>
              <w:rPr>
                <w:rFonts w:eastAsia="Calibri" w:cs="Times New Roman" w:ascii="Times New Roman" w:hAnsi="Times New Roman"/>
                <w:kern w:val="0"/>
                <w:sz w:val="22"/>
                <w:szCs w:val="22"/>
                <w:lang w:val="ru-RU" w:eastAsia="en-US" w:bidi="ar-SA"/>
              </w:rPr>
              <w:t xml:space="preserve">Леса, выполняющие функции защиты природных и иных объектов, в т.ч. леса расположенные в лесопарковых зонах; леса, расположенные в защитных полосах лесов </w:t>
            </w:r>
          </w:p>
        </w:tc>
        <w:tc>
          <w:tcPr>
            <w:tcW w:w="6513" w:type="dxa"/>
            <w:tcBorders/>
          </w:tcPr>
          <w:p>
            <w:pPr>
              <w:pStyle w:val="Normal"/>
              <w:widowControl/>
              <w:spacing w:lineRule="auto" w:line="240" w:before="0" w:after="0"/>
              <w:ind w:left="0" w:right="0" w:firstLine="423"/>
              <w:jc w:val="both"/>
              <w:rPr>
                <w:rFonts w:ascii="Times New Roman" w:hAnsi="Times New Roman" w:cs="Times New Roman"/>
              </w:rPr>
            </w:pPr>
            <w:r>
              <w:rPr>
                <w:rFonts w:eastAsia="Calibri" w:cs="Times New Roman" w:ascii="Times New Roman" w:hAnsi="Times New Roman"/>
                <w:kern w:val="0"/>
                <w:sz w:val="22"/>
                <w:szCs w:val="22"/>
                <w:lang w:val="ru-RU" w:eastAsia="en-US" w:bidi="ar-SA"/>
              </w:rPr>
              <w:t>В лесах, расположенных в лесопарковых зонах, запрещаются:</w:t>
            </w:r>
          </w:p>
          <w:p>
            <w:pPr>
              <w:pStyle w:val="ListParagraph"/>
              <w:widowControl/>
              <w:numPr>
                <w:ilvl w:val="0"/>
                <w:numId w:val="40"/>
              </w:numPr>
              <w:tabs>
                <w:tab w:val="clear" w:pos="709"/>
                <w:tab w:val="left" w:pos="565" w:leader="none"/>
              </w:tabs>
              <w:spacing w:lineRule="auto" w:line="240" w:before="0" w:after="0"/>
              <w:ind w:left="0" w:right="0" w:firstLine="423"/>
              <w:contextualSpacing/>
              <w:jc w:val="both"/>
              <w:rPr>
                <w:rFonts w:ascii="Times New Roman" w:hAnsi="Times New Roman" w:cs="Times New Roman"/>
              </w:rPr>
            </w:pPr>
            <w:r>
              <w:rPr>
                <w:rFonts w:eastAsia="Calibri" w:cs="Times New Roman" w:ascii="Times New Roman" w:hAnsi="Times New Roman"/>
                <w:kern w:val="0"/>
                <w:sz w:val="22"/>
                <w:szCs w:val="22"/>
                <w:lang w:val="ru-RU" w:eastAsia="en-US" w:bidi="ar-SA"/>
              </w:rPr>
              <w:t>использование токсичных химических препаратов;</w:t>
            </w:r>
          </w:p>
          <w:p>
            <w:pPr>
              <w:pStyle w:val="ListParagraph"/>
              <w:widowControl/>
              <w:numPr>
                <w:ilvl w:val="0"/>
                <w:numId w:val="40"/>
              </w:numPr>
              <w:tabs>
                <w:tab w:val="clear" w:pos="709"/>
                <w:tab w:val="left" w:pos="565" w:leader="none"/>
              </w:tabs>
              <w:spacing w:lineRule="auto" w:line="240" w:before="0" w:after="0"/>
              <w:ind w:left="0" w:right="0" w:firstLine="423"/>
              <w:contextualSpacing/>
              <w:jc w:val="both"/>
              <w:rPr>
                <w:rFonts w:ascii="Times New Roman" w:hAnsi="Times New Roman" w:cs="Times New Roman"/>
              </w:rPr>
            </w:pPr>
            <w:r>
              <w:rPr>
                <w:rFonts w:eastAsia="Calibri" w:cs="Times New Roman" w:ascii="Times New Roman" w:hAnsi="Times New Roman"/>
                <w:kern w:val="0"/>
                <w:sz w:val="22"/>
                <w:szCs w:val="22"/>
                <w:lang w:val="ru-RU" w:eastAsia="en-US" w:bidi="ar-SA"/>
              </w:rPr>
              <w:t>осуществление видов деятельности в сфере охотничьего хозяйства;</w:t>
            </w:r>
          </w:p>
          <w:p>
            <w:pPr>
              <w:pStyle w:val="ListParagraph"/>
              <w:widowControl/>
              <w:numPr>
                <w:ilvl w:val="0"/>
                <w:numId w:val="40"/>
              </w:numPr>
              <w:tabs>
                <w:tab w:val="clear" w:pos="709"/>
                <w:tab w:val="left" w:pos="565" w:leader="none"/>
              </w:tabs>
              <w:spacing w:lineRule="auto" w:line="240" w:before="0" w:after="0"/>
              <w:ind w:left="0" w:right="0" w:firstLine="423"/>
              <w:contextualSpacing/>
              <w:jc w:val="both"/>
              <w:rPr>
                <w:rFonts w:ascii="Times New Roman" w:hAnsi="Times New Roman" w:cs="Times New Roman"/>
              </w:rPr>
            </w:pPr>
            <w:r>
              <w:rPr>
                <w:rFonts w:eastAsia="Calibri" w:cs="Times New Roman" w:ascii="Times New Roman" w:hAnsi="Times New Roman"/>
                <w:kern w:val="0"/>
                <w:sz w:val="22"/>
                <w:szCs w:val="22"/>
                <w:lang w:val="ru-RU" w:eastAsia="en-US" w:bidi="ar-SA"/>
              </w:rPr>
              <w:t>ведение сельского хозяйства;</w:t>
            </w:r>
          </w:p>
          <w:p>
            <w:pPr>
              <w:pStyle w:val="ListParagraph"/>
              <w:widowControl/>
              <w:numPr>
                <w:ilvl w:val="0"/>
                <w:numId w:val="40"/>
              </w:numPr>
              <w:tabs>
                <w:tab w:val="clear" w:pos="709"/>
                <w:tab w:val="left" w:pos="565" w:leader="none"/>
              </w:tabs>
              <w:spacing w:lineRule="auto" w:line="240" w:before="0" w:after="0"/>
              <w:ind w:left="0" w:right="0" w:firstLine="423"/>
              <w:contextualSpacing/>
              <w:jc w:val="both"/>
              <w:rPr>
                <w:rFonts w:ascii="Times New Roman" w:hAnsi="Times New Roman" w:cs="Times New Roman"/>
              </w:rPr>
            </w:pPr>
            <w:r>
              <w:rPr>
                <w:rFonts w:eastAsia="Calibri" w:cs="Times New Roman" w:ascii="Times New Roman" w:hAnsi="Times New Roman"/>
                <w:kern w:val="0"/>
                <w:sz w:val="22"/>
                <w:szCs w:val="22"/>
                <w:lang w:val="ru-RU" w:eastAsia="en-US" w:bidi="ar-SA"/>
              </w:rPr>
              <w:t>разведка и добыча полезных ископаемых;</w:t>
            </w:r>
          </w:p>
          <w:p>
            <w:pPr>
              <w:pStyle w:val="ListParagraph"/>
              <w:widowControl/>
              <w:numPr>
                <w:ilvl w:val="0"/>
                <w:numId w:val="40"/>
              </w:numPr>
              <w:tabs>
                <w:tab w:val="clear" w:pos="709"/>
                <w:tab w:val="left" w:pos="565" w:leader="none"/>
              </w:tabs>
              <w:spacing w:lineRule="auto" w:line="240" w:before="0" w:after="0"/>
              <w:ind w:left="0" w:right="0" w:firstLine="423"/>
              <w:contextualSpacing/>
              <w:jc w:val="both"/>
              <w:rPr>
                <w:rFonts w:ascii="Times New Roman" w:hAnsi="Times New Roman" w:cs="Times New Roman"/>
              </w:rPr>
            </w:pPr>
            <w:r>
              <w:rPr>
                <w:rFonts w:eastAsia="Calibri" w:cs="Times New Roman" w:ascii="Times New Roman" w:hAnsi="Times New Roman"/>
                <w:kern w:val="0"/>
                <w:sz w:val="22"/>
                <w:szCs w:val="22"/>
                <w:lang w:val="ru-RU" w:eastAsia="en-US" w:bidi="ar-SA"/>
              </w:rPr>
              <w:t>строительство объектов капитального строительства, за исключением велосипедных и беговых дорожек и гидротехнических сооружений.</w:t>
            </w:r>
          </w:p>
        </w:tc>
        <w:tc>
          <w:tcPr>
            <w:tcW w:w="4467" w:type="dxa"/>
            <w:tcBorders/>
          </w:tcPr>
          <w:p>
            <w:pPr>
              <w:pStyle w:val="Style38"/>
              <w:widowControl w:val="false"/>
              <w:suppressAutoHyphens w:val="true"/>
              <w:spacing w:before="0" w:after="0"/>
              <w:ind w:left="0" w:right="0" w:hanging="0"/>
              <w:contextualSpacing/>
              <w:rPr>
                <w:sz w:val="22"/>
              </w:rPr>
            </w:pPr>
            <w:r>
              <w:rPr>
                <w:kern w:val="0"/>
                <w:sz w:val="22"/>
                <w:lang w:val="ru-RU" w:bidi="ar-SA"/>
              </w:rPr>
              <w:t>Статья 114 Лесного кодекса РФ от 04.12.2006 № 200-ФЗ</w:t>
            </w:r>
          </w:p>
          <w:p>
            <w:pPr>
              <w:pStyle w:val="Style38"/>
              <w:widowControl w:val="false"/>
              <w:suppressAutoHyphens w:val="true"/>
              <w:spacing w:before="0" w:after="0"/>
              <w:ind w:left="0" w:right="0" w:hanging="0"/>
              <w:contextualSpacing/>
              <w:rPr>
                <w:sz w:val="22"/>
              </w:rPr>
            </w:pPr>
            <w:r>
              <w:rPr>
                <w:kern w:val="0"/>
                <w:sz w:val="22"/>
                <w:lang w:val="ru-RU" w:bidi="ar-SA"/>
              </w:rPr>
              <w:t>Лесохозяйственный регламент Приволжского лесничества</w:t>
            </w:r>
          </w:p>
        </w:tc>
      </w:tr>
      <w:tr>
        <w:trPr/>
        <w:tc>
          <w:tcPr>
            <w:tcW w:w="3873" w:type="dxa"/>
            <w:tcBorders/>
          </w:tcPr>
          <w:p>
            <w:pPr>
              <w:pStyle w:val="Normal"/>
              <w:widowControl/>
              <w:spacing w:lineRule="auto" w:line="240" w:before="0" w:after="0"/>
              <w:jc w:val="both"/>
              <w:rPr>
                <w:rFonts w:ascii="Times New Roman" w:hAnsi="Times New Roman" w:cs="Times New Roman"/>
              </w:rPr>
            </w:pPr>
            <w:r>
              <w:rPr>
                <w:rFonts w:eastAsia="Calibri" w:cs="Times New Roman" w:ascii="Times New Roman" w:hAnsi="Times New Roman"/>
                <w:kern w:val="0"/>
                <w:sz w:val="22"/>
                <w:szCs w:val="22"/>
                <w:lang w:val="ru-RU" w:eastAsia="en-US" w:bidi="ar-SA"/>
              </w:rPr>
              <w:t>Леса, расположенные на особо охраняемой природной территории</w:t>
            </w:r>
          </w:p>
        </w:tc>
        <w:tc>
          <w:tcPr>
            <w:tcW w:w="6513" w:type="dxa"/>
            <w:tcBorders/>
          </w:tcPr>
          <w:p>
            <w:pPr>
              <w:pStyle w:val="Normal"/>
              <w:widowControl/>
              <w:spacing w:lineRule="auto" w:line="240" w:before="0" w:after="0"/>
              <w:ind w:left="0" w:right="0" w:firstLine="423"/>
              <w:jc w:val="both"/>
              <w:rPr>
                <w:rFonts w:ascii="Times New Roman" w:hAnsi="Times New Roman" w:cs="Times New Roman"/>
              </w:rPr>
            </w:pPr>
            <w:r>
              <w:rPr>
                <w:rFonts w:eastAsia="Calibri" w:cs="Times New Roman" w:ascii="Times New Roman" w:hAnsi="Times New Roman"/>
                <w:kern w:val="0"/>
                <w:sz w:val="22"/>
                <w:szCs w:val="22"/>
                <w:lang w:val="ru-RU" w:eastAsia="en-US" w:bidi="ar-SA"/>
              </w:rPr>
              <w:t>В лесах, расположенных на территориях государственных природных заповедников, запрещается проведение рубок лесных насаждений на лесных участках, на которых исключается любое вмешательство человека в природные процессы. На иных лесных участках, если это не противоречит правовому режиму особой охраны территорий государственных природных заповедников, допускается проведение выборочных рубок лесных насаждений в целях обеспечения функционирования государственных природных заповедников и жизнедеятельности проживающих в их пределах граждан.</w:t>
            </w:r>
          </w:p>
          <w:p>
            <w:pPr>
              <w:pStyle w:val="Normal"/>
              <w:widowControl/>
              <w:spacing w:lineRule="auto" w:line="240" w:before="0" w:after="0"/>
              <w:ind w:left="0" w:right="0" w:firstLine="565"/>
              <w:jc w:val="both"/>
              <w:rPr>
                <w:rFonts w:ascii="Times New Roman" w:hAnsi="Times New Roman" w:cs="Times New Roman"/>
              </w:rPr>
            </w:pPr>
            <w:r>
              <w:rPr>
                <w:rFonts w:eastAsia="Calibri" w:cs="Times New Roman" w:ascii="Times New Roman" w:hAnsi="Times New Roman"/>
                <w:kern w:val="0"/>
                <w:sz w:val="22"/>
                <w:szCs w:val="22"/>
                <w:lang w:val="ru-RU" w:eastAsia="en-US" w:bidi="ar-SA"/>
              </w:rPr>
              <w:t>В лесах, расположенных на территориях национальных парков, природных парков и государственных природных заказников, запрещается 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 в соответствии с Федеральным законом от 14 марта 1995 года N 33-ФЗ "Об особо охраняемых природных территориях".</w:t>
            </w:r>
          </w:p>
          <w:p>
            <w:pPr>
              <w:pStyle w:val="Normal"/>
              <w:widowControl/>
              <w:spacing w:lineRule="auto" w:line="240" w:before="0" w:after="0"/>
              <w:ind w:left="0" w:right="0" w:firstLine="565"/>
              <w:jc w:val="both"/>
              <w:rPr>
                <w:rFonts w:ascii="Times New Roman" w:hAnsi="Times New Roman" w:cs="Times New Roman"/>
              </w:rPr>
            </w:pPr>
            <w:r>
              <w:rPr>
                <w:rFonts w:eastAsia="Calibri" w:cs="Times New Roman" w:ascii="Times New Roman" w:hAnsi="Times New Roman"/>
                <w:kern w:val="0"/>
                <w:sz w:val="22"/>
                <w:szCs w:val="22"/>
                <w:lang w:val="ru-RU" w:eastAsia="en-US" w:bidi="ar-SA"/>
              </w:rPr>
              <w:t>В лесах, расположенных на особо охраняемых природных территориях, запрещается использование химических препаратов, обладающих токсичным, канцерогенным или мутагенным воздействием.</w:t>
            </w:r>
          </w:p>
        </w:tc>
        <w:tc>
          <w:tcPr>
            <w:tcW w:w="4467" w:type="dxa"/>
            <w:tcBorders/>
          </w:tcPr>
          <w:p>
            <w:pPr>
              <w:pStyle w:val="Style38"/>
              <w:widowControl w:val="false"/>
              <w:suppressAutoHyphens w:val="true"/>
              <w:spacing w:before="0" w:after="0"/>
              <w:ind w:left="0" w:right="0" w:hanging="0"/>
              <w:contextualSpacing/>
              <w:rPr>
                <w:sz w:val="22"/>
              </w:rPr>
            </w:pPr>
            <w:r>
              <w:rPr>
                <w:kern w:val="0"/>
                <w:sz w:val="22"/>
                <w:lang w:val="ru-RU" w:bidi="ar-SA"/>
              </w:rPr>
              <w:t>Статья 112. Лесного кодекса РФ от 04.12.2006 № 200-ФЗ</w:t>
            </w:r>
          </w:p>
          <w:p>
            <w:pPr>
              <w:pStyle w:val="Style38"/>
              <w:widowControl w:val="false"/>
              <w:suppressAutoHyphens w:val="true"/>
              <w:spacing w:before="0" w:after="0"/>
              <w:ind w:left="0" w:right="0" w:hanging="0"/>
              <w:contextualSpacing/>
              <w:rPr>
                <w:sz w:val="22"/>
              </w:rPr>
            </w:pPr>
            <w:r>
              <w:rPr>
                <w:kern w:val="0"/>
                <w:sz w:val="22"/>
                <w:lang w:val="ru-RU" w:bidi="ar-SA"/>
              </w:rPr>
              <w:t>Лесохозяйственный регламент Приволжского лесничества</w:t>
            </w:r>
          </w:p>
        </w:tc>
      </w:tr>
    </w:tbl>
    <w:p>
      <w:pPr>
        <w:pStyle w:val="Style38"/>
        <w:widowControl w:val="false"/>
        <w:suppressAutoHyphens w:val="true"/>
        <w:ind w:hanging="0"/>
        <w:rPr>
          <w:szCs w:val="28"/>
          <w:highlight w:val="lightGray"/>
        </w:rPr>
      </w:pPr>
      <w:r>
        <w:rPr>
          <w:szCs w:val="28"/>
          <w:highlight w:val="lightGray"/>
        </w:rPr>
      </w:r>
    </w:p>
    <w:p>
      <w:pPr>
        <w:pStyle w:val="Normal"/>
        <w:rPr>
          <w:rFonts w:ascii="Times New Roman" w:hAnsi="Times New Roman" w:eastAsia="Times New Roman" w:cs="Times New Roman"/>
          <w:sz w:val="28"/>
          <w:szCs w:val="28"/>
          <w:highlight w:val="lightGray"/>
          <w:lang w:eastAsia="ru-RU"/>
        </w:rPr>
      </w:pPr>
      <w:r>
        <w:rPr>
          <w:rFonts w:eastAsia="Times New Roman" w:cs="Times New Roman" w:ascii="Times New Roman" w:hAnsi="Times New Roman"/>
          <w:sz w:val="28"/>
          <w:szCs w:val="28"/>
          <w:highlight w:val="lightGray"/>
          <w:lang w:eastAsia="ru-RU"/>
        </w:rPr>
      </w:r>
      <w:r>
        <w:br w:type="page"/>
      </w:r>
    </w:p>
    <w:p>
      <w:pPr>
        <w:pStyle w:val="Normal"/>
        <w:widowControl w:val="false"/>
        <w:numPr>
          <w:ilvl w:val="0"/>
          <w:numId w:val="0"/>
        </w:numPr>
        <w:suppressAutoHyphens w:val="true"/>
        <w:spacing w:lineRule="auto" w:line="240" w:before="0" w:after="0"/>
        <w:ind w:left="360" w:firstLine="567"/>
        <w:jc w:val="center"/>
        <w:outlineLvl w:val="0"/>
        <w:rPr>
          <w:rFonts w:ascii="Times New Roman" w:hAnsi="Times New Roman" w:eastAsia="" w:cs="Times New Roman" w:eastAsiaTheme="majorEastAsia"/>
          <w:b/>
          <w:sz w:val="28"/>
          <w:szCs w:val="28"/>
        </w:rPr>
      </w:pPr>
      <w:bookmarkStart w:id="139" w:name="_Toc34205841"/>
      <w:bookmarkStart w:id="140" w:name="_Toc147740054"/>
      <w:bookmarkEnd w:id="139"/>
      <w:r>
        <w:rPr>
          <w:rFonts w:eastAsia="" w:cs="Times New Roman" w:ascii="Times New Roman" w:hAnsi="Times New Roman" w:eastAsiaTheme="majorEastAsia"/>
          <w:b/>
          <w:sz w:val="28"/>
          <w:szCs w:val="28"/>
        </w:rPr>
        <w:t>4. МЕСТОРОЖДЕНИЯ ПОЛЕЗНЫХ ИСКОПАЕМЫХ, УЧАСТКИ НЕДР, ГОРНЫЕ ОТВОДЫ</w:t>
      </w:r>
      <w:bookmarkEnd w:id="140"/>
      <w:r>
        <w:rPr>
          <w:rFonts w:eastAsia="" w:cs="Times New Roman" w:ascii="Times New Roman" w:hAnsi="Times New Roman" w:eastAsiaTheme="majorEastAsia"/>
          <w:b/>
          <w:sz w:val="28"/>
          <w:szCs w:val="28"/>
        </w:rPr>
        <w:t xml:space="preserve"> </w:t>
      </w:r>
    </w:p>
    <w:p>
      <w:pPr>
        <w:pStyle w:val="Style38"/>
        <w:ind w:firstLine="851"/>
        <w:rPr>
          <w:szCs w:val="24"/>
        </w:rPr>
      </w:pPr>
      <w:bookmarkStart w:id="141" w:name="_Toc34205841"/>
      <w:bookmarkStart w:id="142" w:name="_Toc34205842"/>
      <w:bookmarkEnd w:id="141"/>
      <w:r>
        <w:rPr>
          <w:szCs w:val="24"/>
        </w:rPr>
        <w:t>Согласно карте оцифрованных границ площадей залегания полезных ископаемых, опубликованной на сайте ФГБУ «Российский федеральный геологический фонд», на северо-восточной части поселения расположен лицензионный участок «Матюшинское» (лицензия ТАТ ВСЛ01760ТЭ от 10.11.2016 до 01.12.2046, разведка и добыча, ООО «Матюшинский карьер»).</w:t>
      </w:r>
    </w:p>
    <w:p>
      <w:pPr>
        <w:pStyle w:val="Style38"/>
        <w:ind w:firstLine="851"/>
        <w:rPr>
          <w:szCs w:val="24"/>
        </w:rPr>
      </w:pPr>
      <w:r>
        <w:rPr>
          <w:szCs w:val="24"/>
        </w:rPr>
        <w:t>По данным, имеющимся в фонде геологической информации Министерства экологии и природных ресурсов Республики Татарстан, в границах поселения на северо-восточной части расположена месторождение «Матюшинское», содержащееся сырье: камни строительные, известковые мелиоранты.</w:t>
      </w:r>
    </w:p>
    <w:p>
      <w:pPr>
        <w:pStyle w:val="Style38"/>
        <w:ind w:firstLine="851"/>
        <w:rPr>
          <w:szCs w:val="24"/>
        </w:rPr>
      </w:pPr>
      <w:r>
        <w:rPr>
          <w:szCs w:val="28"/>
        </w:rPr>
        <w:t xml:space="preserve">Сведения о расположенных на территории поселения месторождениях, участках недр, горных отводах приведены в таблице 4.1. </w:t>
      </w:r>
    </w:p>
    <w:p>
      <w:pPr>
        <w:pStyle w:val="Normal"/>
        <w:widowControl w:val="false"/>
        <w:tabs>
          <w:tab w:val="clear" w:pos="709"/>
          <w:tab w:val="left" w:pos="851" w:leader="none"/>
        </w:tabs>
        <w:suppressAutoHyphens w:val="true"/>
        <w:spacing w:lineRule="auto" w:line="240" w:before="0" w:after="0"/>
        <w:ind w:firstLine="851"/>
        <w:contextualSpacing/>
        <w:jc w:val="both"/>
        <w:rPr>
          <w:rFonts w:ascii="Times New Roman" w:hAnsi="Times New Roman" w:cs="Times New Roman"/>
          <w:sz w:val="28"/>
          <w:szCs w:val="28"/>
        </w:rPr>
      </w:pPr>
      <w:r>
        <w:rPr>
          <w:rFonts w:cs="Times New Roman" w:ascii="Times New Roman" w:hAnsi="Times New Roman"/>
          <w:sz w:val="28"/>
          <w:szCs w:val="28"/>
        </w:rPr>
        <w:t xml:space="preserve">Согласно статье 7 </w:t>
      </w:r>
      <w:r>
        <w:rPr>
          <w:rFonts w:eastAsia="Times New Roman" w:cs="Times New Roman" w:ascii="Times New Roman" w:hAnsi="Times New Roman"/>
          <w:sz w:val="28"/>
          <w:szCs w:val="28"/>
          <w:lang w:eastAsia="ru-RU"/>
        </w:rPr>
        <w:t>Федерального закона от 21.02.1992 № 2395-1-ФЗ «О недрах» (далее Закон «О недрах»)</w:t>
      </w:r>
      <w:r>
        <w:rPr>
          <w:rFonts w:cs="Times New Roman" w:ascii="Times New Roman" w:hAnsi="Times New Roman"/>
          <w:sz w:val="28"/>
          <w:szCs w:val="28"/>
        </w:rPr>
        <w:t>,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 а также в соответствии с соглашением о разделе продукции при разведке и добыче минерального сырья пользователю предоставляется участок недр в виде горного отвода - геометризованного блока недр.</w:t>
      </w:r>
    </w:p>
    <w:p>
      <w:pPr>
        <w:pStyle w:val="Normal"/>
        <w:widowControl w:val="false"/>
        <w:tabs>
          <w:tab w:val="clear" w:pos="709"/>
          <w:tab w:val="left" w:pos="851" w:leader="none"/>
        </w:tabs>
        <w:suppressAutoHyphens w:val="true"/>
        <w:spacing w:lineRule="auto" w:line="240" w:before="0" w:after="0"/>
        <w:ind w:firstLine="851"/>
        <w:contextualSpacing/>
        <w:jc w:val="both"/>
        <w:rPr>
          <w:rFonts w:ascii="Times New Roman" w:hAnsi="Times New Roman" w:cs="Times New Roman"/>
          <w:sz w:val="28"/>
          <w:szCs w:val="28"/>
        </w:rPr>
      </w:pPr>
      <w:r>
        <w:rPr>
          <w:rFonts w:cs="Times New Roman" w:ascii="Times New Roman" w:hAnsi="Times New Roman"/>
          <w:sz w:val="28"/>
          <w:szCs w:val="28"/>
        </w:rPr>
        <w:t>В соответствии со статьей 22 указанного Закона, пользователь недр имеет право ограничивать застройку площадей залегания полезных ископаемых в границах предоставленного ему горного отвода. Пользователь отвечает за безопасное ведение работ, связанных с пользованием недрами; соблюдение утвержденных в установленном порядке стандартов, регламентирующих условия охраны недр, атмосферного воздуха, земель, лесов, водных объектов, зданий и сооружений от вредного влияния работ, связанных с пользованием недрами; а также за 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pPr>
        <w:pStyle w:val="Normal"/>
        <w:widowControl w:val="false"/>
        <w:tabs>
          <w:tab w:val="clear" w:pos="709"/>
          <w:tab w:val="left" w:pos="851" w:leader="none"/>
        </w:tabs>
        <w:suppressAutoHyphens w:val="true"/>
        <w:spacing w:lineRule="auto" w:line="240" w:before="0" w:after="0"/>
        <w:ind w:firstLine="851"/>
        <w:contextualSpacing/>
        <w:jc w:val="both"/>
        <w:rPr>
          <w:rFonts w:ascii="Times New Roman" w:hAnsi="Times New Roman" w:cs="Times New Roman"/>
          <w:sz w:val="28"/>
          <w:szCs w:val="28"/>
        </w:rPr>
      </w:pPr>
      <w:r>
        <w:rPr>
          <w:rFonts w:cs="Times New Roman" w:ascii="Times New Roman" w:hAnsi="Times New Roman"/>
          <w:sz w:val="28"/>
          <w:szCs w:val="28"/>
        </w:rPr>
        <w:t xml:space="preserve">Согласно со ст. 25 </w:t>
      </w:r>
      <w:r>
        <w:rPr>
          <w:rFonts w:eastAsia="Times New Roman" w:cs="Times New Roman" w:ascii="Times New Roman" w:hAnsi="Times New Roman"/>
          <w:sz w:val="28"/>
          <w:szCs w:val="28"/>
          <w:lang w:eastAsia="ru-RU"/>
        </w:rPr>
        <w:t>Закона «О недрах»</w:t>
      </w:r>
      <w:r>
        <w:rPr>
          <w:rFonts w:cs="Times New Roman" w:ascii="Times New Roman" w:hAnsi="Times New Roman"/>
          <w:sz w:val="28"/>
          <w:szCs w:val="28"/>
        </w:rPr>
        <w:t>,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pPr>
        <w:pStyle w:val="Normal"/>
        <w:widowControl w:val="false"/>
        <w:tabs>
          <w:tab w:val="clear" w:pos="709"/>
          <w:tab w:val="left" w:pos="851" w:leader="none"/>
        </w:tabs>
        <w:suppressAutoHyphens w:val="true"/>
        <w:spacing w:lineRule="auto" w:line="240" w:before="0" w:after="0"/>
        <w:ind w:firstLine="851"/>
        <w:contextualSpacing/>
        <w:jc w:val="both"/>
        <w:rPr>
          <w:rFonts w:ascii="Times New Roman" w:hAnsi="Times New Roman" w:cs="Times New Roman"/>
          <w:sz w:val="28"/>
          <w:szCs w:val="28"/>
        </w:rPr>
      </w:pPr>
      <w:r>
        <w:rPr>
          <w:rFonts w:cs="Times New Roman" w:ascii="Times New Roman" w:hAnsi="Times New Roman"/>
          <w:sz w:val="28"/>
          <w:szCs w:val="28"/>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w:t>
      </w:r>
    </w:p>
    <w:p>
      <w:pPr>
        <w:sectPr>
          <w:footerReference w:type="default" r:id="rId47"/>
          <w:type w:val="nextPage"/>
          <w:pgSz w:orient="landscape" w:w="16838" w:h="11906"/>
          <w:pgMar w:left="1134" w:right="851" w:gutter="0" w:header="0" w:top="851" w:footer="709" w:bottom="851"/>
          <w:pgNumType w:fmt="decimal"/>
          <w:formProt w:val="false"/>
          <w:textDirection w:val="lrTb"/>
          <w:docGrid w:type="default" w:linePitch="360" w:charSpace="0"/>
        </w:sectPr>
        <w:pStyle w:val="Normal"/>
        <w:widowControl w:val="false"/>
        <w:tabs>
          <w:tab w:val="clear" w:pos="709"/>
          <w:tab w:val="left" w:pos="851" w:leader="none"/>
        </w:tabs>
        <w:suppressAutoHyphens w:val="true"/>
        <w:spacing w:lineRule="auto" w:line="240" w:before="0" w:after="0"/>
        <w:ind w:firstLine="851"/>
        <w:contextualSpacing/>
        <w:jc w:val="both"/>
        <w:rPr>
          <w:rFonts w:ascii="Times New Roman" w:hAnsi="Times New Roman" w:cs="Times New Roman"/>
          <w:sz w:val="28"/>
          <w:szCs w:val="28"/>
        </w:rPr>
      </w:pPr>
      <w:r>
        <w:rPr>
          <w:rFonts w:cs="Times New Roman" w:ascii="Times New Roman" w:hAnsi="Times New Roman"/>
          <w:sz w:val="28"/>
          <w:szCs w:val="28"/>
        </w:rPr>
        <w:t>Самовольная застройка площадей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w:t>
      </w:r>
    </w:p>
    <w:p>
      <w:pPr>
        <w:pStyle w:val="Style92"/>
        <w:spacing w:lineRule="auto" w:line="216" w:before="0" w:after="0"/>
        <w:ind w:left="1080" w:hanging="0"/>
        <w:contextualSpacing/>
        <w:jc w:val="right"/>
        <w:rPr>
          <w:sz w:val="28"/>
        </w:rPr>
      </w:pPr>
      <w:r>
        <w:rPr>
          <w:sz w:val="28"/>
        </w:rPr>
        <w:t xml:space="preserve">Таблица 4.1 </w:t>
      </w:r>
    </w:p>
    <w:p>
      <w:pPr>
        <w:pStyle w:val="Style92"/>
        <w:spacing w:lineRule="auto" w:line="276" w:before="0" w:after="0"/>
        <w:jc w:val="center"/>
        <w:rPr>
          <w:sz w:val="28"/>
        </w:rPr>
      </w:pPr>
      <w:r>
        <w:rPr>
          <w:sz w:val="28"/>
        </w:rPr>
        <w:t xml:space="preserve">Сведения о месторождениях, участках недр, горных отводах, расположенных </w:t>
      </w:r>
    </w:p>
    <w:p>
      <w:pPr>
        <w:pStyle w:val="Style92"/>
        <w:spacing w:lineRule="auto" w:line="276" w:before="0" w:after="0"/>
        <w:jc w:val="center"/>
        <w:rPr>
          <w:sz w:val="28"/>
        </w:rPr>
      </w:pPr>
      <w:r>
        <w:rPr>
          <w:sz w:val="28"/>
        </w:rPr>
        <w:t>на территории поселения</w:t>
      </w:r>
    </w:p>
    <w:p>
      <w:pPr>
        <w:pStyle w:val="Style92"/>
        <w:spacing w:lineRule="auto" w:line="276" w:before="0" w:after="0"/>
        <w:jc w:val="center"/>
        <w:rPr>
          <w:sz w:val="28"/>
        </w:rPr>
      </w:pPr>
      <w:r>
        <w:rPr>
          <w:sz w:val="28"/>
        </w:rPr>
      </w:r>
    </w:p>
    <w:tbl>
      <w:tblPr>
        <w:tblW w:w="5000" w:type="pct"/>
        <w:jc w:val="center"/>
        <w:tblInd w:w="0" w:type="dxa"/>
        <w:tblLayout w:type="fixed"/>
        <w:tblCellMar>
          <w:top w:w="0" w:type="dxa"/>
          <w:left w:w="108" w:type="dxa"/>
          <w:bottom w:w="0" w:type="dxa"/>
          <w:right w:w="108" w:type="dxa"/>
        </w:tblCellMar>
        <w:tblLook w:noVBand="0" w:val="0000" w:noHBand="0" w:lastColumn="0" w:firstColumn="0" w:lastRow="0" w:firstRow="0"/>
      </w:tblPr>
      <w:tblGrid>
        <w:gridCol w:w="1680"/>
        <w:gridCol w:w="1682"/>
        <w:gridCol w:w="1680"/>
        <w:gridCol w:w="2861"/>
        <w:gridCol w:w="2018"/>
      </w:tblGrid>
      <w:tr>
        <w:trPr>
          <w:trHeight w:val="801" w:hRule="atLeast"/>
        </w:trPr>
        <w:tc>
          <w:tcPr>
            <w:tcW w:w="1680"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ind w:hanging="0"/>
              <w:jc w:val="center"/>
              <w:rPr>
                <w:b/>
                <w:sz w:val="22"/>
              </w:rPr>
            </w:pPr>
            <w:r>
              <w:rPr>
                <w:b/>
                <w:sz w:val="22"/>
              </w:rPr>
              <w:t>Месторождение,</w:t>
            </w:r>
          </w:p>
          <w:p>
            <w:pPr>
              <w:pStyle w:val="Style38"/>
              <w:widowControl w:val="false"/>
              <w:ind w:hanging="0"/>
              <w:jc w:val="center"/>
              <w:rPr>
                <w:b/>
                <w:sz w:val="22"/>
              </w:rPr>
            </w:pPr>
            <w:r>
              <w:rPr>
                <w:b/>
                <w:sz w:val="22"/>
              </w:rPr>
              <w:t>лицензионный участок</w:t>
            </w:r>
          </w:p>
        </w:tc>
        <w:tc>
          <w:tcPr>
            <w:tcW w:w="1682"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ind w:hanging="0"/>
              <w:jc w:val="center"/>
              <w:rPr>
                <w:b/>
                <w:sz w:val="22"/>
              </w:rPr>
            </w:pPr>
            <w:r>
              <w:rPr>
                <w:b/>
                <w:sz w:val="22"/>
              </w:rPr>
              <w:t>Номер лицензии (горноотводного акта), дата выдачи, срок действия</w:t>
            </w:r>
          </w:p>
        </w:tc>
        <w:tc>
          <w:tcPr>
            <w:tcW w:w="1680"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ind w:hanging="0"/>
              <w:jc w:val="center"/>
              <w:rPr>
                <w:b/>
                <w:sz w:val="22"/>
              </w:rPr>
            </w:pPr>
            <w:r>
              <w:rPr>
                <w:b/>
                <w:sz w:val="22"/>
              </w:rPr>
              <w:t>Недропользователь</w:t>
            </w:r>
          </w:p>
        </w:tc>
        <w:tc>
          <w:tcPr>
            <w:tcW w:w="2861"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ind w:hanging="0"/>
              <w:jc w:val="center"/>
              <w:rPr>
                <w:b/>
                <w:sz w:val="22"/>
              </w:rPr>
            </w:pPr>
            <w:r>
              <w:rPr>
                <w:b/>
                <w:sz w:val="22"/>
              </w:rPr>
              <w:t>Целевое назначение лицензии</w:t>
            </w:r>
          </w:p>
        </w:tc>
        <w:tc>
          <w:tcPr>
            <w:tcW w:w="2018"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ind w:hanging="0"/>
              <w:jc w:val="center"/>
              <w:rPr>
                <w:b/>
                <w:sz w:val="22"/>
              </w:rPr>
            </w:pPr>
            <w:r>
              <w:rPr>
                <w:b/>
                <w:sz w:val="22"/>
              </w:rPr>
              <w:t>Вид полезного ископаемого</w:t>
            </w:r>
          </w:p>
        </w:tc>
      </w:tr>
      <w:tr>
        <w:trPr>
          <w:trHeight w:val="673" w:hRule="atLeast"/>
        </w:trPr>
        <w:tc>
          <w:tcPr>
            <w:tcW w:w="1680"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ind w:hanging="0"/>
              <w:jc w:val="center"/>
              <w:rPr>
                <w:sz w:val="22"/>
                <w:highlight w:val="yellow"/>
              </w:rPr>
            </w:pPr>
            <w:r>
              <w:rPr>
                <w:sz w:val="22"/>
              </w:rPr>
              <w:t>месторождение "Матюшинское"</w:t>
            </w:r>
          </w:p>
        </w:tc>
        <w:tc>
          <w:tcPr>
            <w:tcW w:w="1682"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ind w:hanging="0"/>
              <w:jc w:val="center"/>
              <w:rPr>
                <w:sz w:val="22"/>
                <w:highlight w:val="yellow"/>
              </w:rPr>
            </w:pPr>
            <w:r>
              <w:rPr>
                <w:sz w:val="22"/>
              </w:rPr>
              <w:t>ТАТ ВСЛ01760ТЭ</w:t>
            </w:r>
          </w:p>
        </w:tc>
        <w:tc>
          <w:tcPr>
            <w:tcW w:w="1680"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ind w:hanging="0"/>
              <w:jc w:val="center"/>
              <w:rPr>
                <w:sz w:val="22"/>
                <w:highlight w:val="yellow"/>
              </w:rPr>
            </w:pPr>
            <w:r>
              <w:rPr>
                <w:sz w:val="22"/>
              </w:rPr>
              <w:t>ООО "Матюшинский карьер" (ИНН: 1615013292)</w:t>
            </w:r>
          </w:p>
        </w:tc>
        <w:tc>
          <w:tcPr>
            <w:tcW w:w="2861"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ind w:hanging="0"/>
              <w:jc w:val="center"/>
              <w:rPr>
                <w:sz w:val="22"/>
                <w:highlight w:val="yellow"/>
              </w:rPr>
            </w:pPr>
            <w:r>
              <w:rPr>
                <w:sz w:val="22"/>
              </w:rPr>
              <w:t>разведка и добыча</w:t>
            </w:r>
          </w:p>
        </w:tc>
        <w:tc>
          <w:tcPr>
            <w:tcW w:w="2018"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ind w:hanging="0"/>
              <w:jc w:val="center"/>
              <w:rPr>
                <w:sz w:val="22"/>
                <w:highlight w:val="yellow"/>
              </w:rPr>
            </w:pPr>
            <w:r>
              <w:rPr>
                <w:sz w:val="22"/>
              </w:rPr>
              <w:t>известняк</w:t>
            </w:r>
          </w:p>
        </w:tc>
      </w:tr>
    </w:tbl>
    <w:p>
      <w:pPr>
        <w:sectPr>
          <w:footerReference w:type="default" r:id="rId48"/>
          <w:footerReference w:type="first" r:id="rId49"/>
          <w:type w:val="nextPage"/>
          <w:pgSz w:w="11906" w:h="16838"/>
          <w:pgMar w:left="1134" w:right="851" w:gutter="0" w:header="0" w:top="851" w:footer="708" w:bottom="851"/>
          <w:pgNumType w:fmt="decimal"/>
          <w:formProt w:val="false"/>
          <w:textDirection w:val="lrTb"/>
          <w:docGrid w:type="default" w:linePitch="360" w:charSpace="0"/>
        </w:sectPr>
      </w:pPr>
    </w:p>
    <w:p>
      <w:pPr>
        <w:pStyle w:val="ListParagraph"/>
        <w:widowControl w:val="false"/>
        <w:numPr>
          <w:ilvl w:val="0"/>
          <w:numId w:val="41"/>
        </w:numPr>
        <w:suppressAutoHyphens w:val="true"/>
        <w:spacing w:lineRule="auto" w:line="240"/>
        <w:jc w:val="center"/>
        <w:outlineLvl w:val="0"/>
        <w:rPr>
          <w:rFonts w:ascii="Times New Roman" w:hAnsi="Times New Roman" w:eastAsia="" w:cs="Times New Roman" w:eastAsiaTheme="majorEastAsia"/>
          <w:b/>
          <w:sz w:val="28"/>
          <w:szCs w:val="28"/>
          <w:lang w:eastAsia="ru-RU"/>
        </w:rPr>
      </w:pPr>
      <w:bookmarkStart w:id="143" w:name="_Toc34205842"/>
      <w:bookmarkStart w:id="144" w:name="_Toc147740055"/>
      <w:r>
        <w:rPr>
          <w:rFonts w:eastAsia="" w:cs="Times New Roman" w:ascii="Times New Roman" w:hAnsi="Times New Roman" w:eastAsiaTheme="majorEastAsia"/>
          <w:b/>
          <w:sz w:val="28"/>
          <w:szCs w:val="28"/>
          <w:lang w:eastAsia="ru-RU"/>
        </w:rPr>
        <w:t>ОСОБО ОХРАНЯЕМЫЕ ПРИРОДНЫЕ ТЕРРИТОРИИ</w:t>
      </w:r>
      <w:bookmarkEnd w:id="143"/>
      <w:bookmarkEnd w:id="144"/>
    </w:p>
    <w:p>
      <w:pPr>
        <w:pStyle w:val="Normal"/>
        <w:numPr>
          <w:ilvl w:val="0"/>
          <w:numId w:val="0"/>
        </w:numPr>
        <w:spacing w:lineRule="auto" w:line="240" w:before="0" w:after="0"/>
        <w:contextualSpacing/>
        <w:jc w:val="center"/>
        <w:outlineLvl w:val="0"/>
        <w:rPr>
          <w:rFonts w:ascii="Times New Roman" w:hAnsi="Times New Roman" w:eastAsia="" w:cs="Times New Roman" w:eastAsiaTheme="majorEastAsia"/>
          <w:b/>
          <w:sz w:val="28"/>
          <w:szCs w:val="28"/>
          <w:lang w:eastAsia="ru-RU"/>
        </w:rPr>
      </w:pPr>
      <w:bookmarkStart w:id="145" w:name="_Toc147740056"/>
      <w:r>
        <w:rPr>
          <w:rFonts w:cs="Times New Roman" w:ascii="Times New Roman" w:hAnsi="Times New Roman"/>
          <w:b/>
          <w:sz w:val="28"/>
          <w:szCs w:val="28"/>
        </w:rPr>
        <w:t>5.1</w:t>
      </w:r>
      <w:r>
        <w:rPr>
          <w:rFonts w:cs="Times New Roman" w:ascii="Times New Roman" w:hAnsi="Times New Roman"/>
          <w:sz w:val="28"/>
          <w:szCs w:val="28"/>
        </w:rPr>
        <w:t xml:space="preserve"> </w:t>
      </w:r>
      <w:r>
        <w:rPr>
          <w:rFonts w:eastAsia="" w:cs="Times New Roman" w:ascii="Times New Roman" w:hAnsi="Times New Roman" w:eastAsiaTheme="majorEastAsia"/>
          <w:b/>
          <w:sz w:val="28"/>
          <w:szCs w:val="28"/>
          <w:lang w:eastAsia="ru-RU"/>
        </w:rPr>
        <w:t>Особо охраняемые природные территории</w:t>
      </w:r>
      <w:bookmarkEnd w:id="145"/>
    </w:p>
    <w:p>
      <w:pPr>
        <w:pStyle w:val="Normal"/>
        <w:spacing w:lineRule="auto" w:line="240" w:before="0" w:after="0"/>
        <w:ind w:firstLine="709"/>
        <w:contextualSpacing/>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firstLine="709"/>
        <w:contextualSpacing/>
        <w:jc w:val="center"/>
        <w:rPr>
          <w:rFonts w:ascii="Times New Roman" w:hAnsi="Times New Roman" w:cs="Times New Roman"/>
          <w:i/>
          <w:i/>
          <w:sz w:val="28"/>
          <w:szCs w:val="28"/>
        </w:rPr>
      </w:pPr>
      <w:r>
        <w:rPr>
          <w:rFonts w:cs="Times New Roman" w:ascii="Times New Roman" w:hAnsi="Times New Roman"/>
          <w:i/>
          <w:sz w:val="28"/>
          <w:szCs w:val="28"/>
        </w:rPr>
        <w:t>Государственный природный заказник регионального значения ландшафтного профиля «Волжские просторы»</w:t>
      </w:r>
    </w:p>
    <w:p>
      <w:pPr>
        <w:pStyle w:val="Normal"/>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На территории Вахитовского сельского поселения, в восточной части расположен государственный природный заказник регионального значения ландшафтного профиля "Волжские просторы" (далее – заказник «Волжские просторы»), образованный Постановлением КМ РТ от 30.12.2019 № 1260 «О создании на территории Верхнеуслонского, Зеленодольского, Камско-Устьинского, Лаишевского муниципальных районов, муниципального образования г. Казани государственного природного заказника регионального значения ландшафтного профиля "Волжские просторы". Заказник «Волжские просторы» является особо охраняемой природной территорией регионального значения, образованной с целью сохранения уникальных ландшафтных комплексов реки Волги, охраны водных и околоводных видов растений и животных, занесенных в Красную книгу Республики Татарстан. </w:t>
      </w:r>
    </w:p>
    <w:p>
      <w:pPr>
        <w:pStyle w:val="Normal"/>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Границы заказника «Волжские просторы» поставлены на государственный кадастровый учет (в ЕГРН зоны и территории 16:00-9.1). </w:t>
      </w:r>
    </w:p>
    <w:p>
      <w:pPr>
        <w:pStyle w:val="Normal"/>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Регламент использования особо охраняемой природной территории приведен в таблице 5.1.</w:t>
      </w:r>
    </w:p>
    <w:p>
      <w:pPr>
        <w:pStyle w:val="Normal"/>
        <w:spacing w:lineRule="auto" w:line="240" w:before="0" w:after="0"/>
        <w:ind w:firstLine="709"/>
        <w:contextualSpacing/>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contextualSpacing/>
        <w:jc w:val="center"/>
        <w:rPr>
          <w:rFonts w:ascii="Times New Roman" w:hAnsi="Times New Roman" w:cs="Times New Roman"/>
          <w:i/>
          <w:i/>
          <w:sz w:val="28"/>
          <w:szCs w:val="28"/>
        </w:rPr>
      </w:pPr>
      <w:r>
        <w:rPr>
          <w:rFonts w:cs="Times New Roman" w:ascii="Times New Roman" w:hAnsi="Times New Roman"/>
          <w:i/>
          <w:sz w:val="28"/>
          <w:szCs w:val="28"/>
        </w:rPr>
        <w:t>Государственный природный зоологический (охотничий) заказник регионального значения «Лесной ключ»</w:t>
      </w:r>
    </w:p>
    <w:p>
      <w:pPr>
        <w:pStyle w:val="Normal"/>
        <w:spacing w:lineRule="auto" w:line="240" w:before="0" w:after="0"/>
        <w:ind w:firstLine="567"/>
        <w:contextualSpacing/>
        <w:jc w:val="both"/>
        <w:rPr>
          <w:rFonts w:ascii="Times New Roman" w:hAnsi="Times New Roman" w:cs="Times New Roman"/>
          <w:sz w:val="28"/>
          <w:szCs w:val="28"/>
        </w:rPr>
      </w:pPr>
      <w:r>
        <w:rPr>
          <w:rFonts w:cs="Times New Roman" w:ascii="Times New Roman" w:hAnsi="Times New Roman"/>
          <w:sz w:val="28"/>
          <w:szCs w:val="28"/>
        </w:rPr>
        <w:t>Государственный природный зоологический (охотничий) заказник регионального значения "Лесной ключ" расположен на западной и южной части сельского поселения, учрежден постановлением КМ РТ от 04.05.2013 №300 «Об образовании на территории Верхнеуслонского муниципального района Республики Татарстан государственного природного зоологического (охотничьего) заказника регионального значения «Лесной ключ»»</w:t>
      </w:r>
    </w:p>
    <w:p>
      <w:pPr>
        <w:pStyle w:val="Normal"/>
        <w:spacing w:lineRule="auto" w:line="240" w:before="0" w:after="0"/>
        <w:ind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Границы государственного природного зоологического (охотничьего) заказника регионального значения «Лесной ключ» поставлены на государственный кадастровый учет (в ЕГРН зоны и территории 16.15.2.1187). </w:t>
      </w:r>
    </w:p>
    <w:p>
      <w:pPr>
        <w:pStyle w:val="Normal"/>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Государственный природный зоологический (охотничий) заказник регионального значения "Лесной ключ" (далее - заказник) является особо охраняемой природной территорией регионального значения, образованной в целях сохранения и восстановления видового разнообразия охотничьих ресурсов и среды их обитания в Волго-Свияжском возвышенном районе Республики Татарстан.</w:t>
      </w:r>
    </w:p>
    <w:p>
      <w:pPr>
        <w:pStyle w:val="Normal"/>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Заказник входит в состав природно-заповедного фонда Республики Татарстан.</w:t>
      </w:r>
    </w:p>
    <w:p>
      <w:pPr>
        <w:pStyle w:val="Normal"/>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Северо-восточная - от точки пересечения автомобильной дороги Казань - Ульяновск с автомобильной дорогой, ведущей в с. Шеланга, на юг в направлении с. Шеланга до поворота на д. Нариман, далее по дороге до д. Нариман, далее на восток до административной границы Верхнеуслонского муниципального района с Лаишевским муниципальным районом и далее на юг по этой границе до точки пересечения административных границ Верхнеуслонского, Лаишевского и Камско-Устьинского муниципальных районов.</w:t>
      </w:r>
    </w:p>
    <w:p>
      <w:pPr>
        <w:pStyle w:val="Normal"/>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Южная - от точки пересечения административных границ Верхнеуслонского, Лаишевского и Камско-Устьинского муниципальных районов на запад по административной границе Верхнеуслонского муниципального района с Камско-Устьинским муниципальным районом до пересечения с автомобильной дорогой на с. Майдан и далее по этой дороге до с. Майдан.</w:t>
      </w:r>
    </w:p>
    <w:p>
      <w:pPr>
        <w:pStyle w:val="Normal"/>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Западная - от с. Майдан по автомобильной дороге через с. Ямбулатово, д. Крестниково до пересечения с автомобильной дорогой Казань - Ульяновск и далее по этой дороге в направлении г. Казани до точки пересечения автомобильной дороги Казань - Ульяновск с автомобильной дорогой, ведущей на с. Шеланга</w:t>
      </w:r>
    </w:p>
    <w:p>
      <w:pPr>
        <w:pStyle w:val="Normal"/>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Заказник образован в Верхнеуслонском муниципальном районе Республики Татарстан на площади 23,7 тыс. гектаров без изъятия у пользователей, владельцев и собственников земельных участков, входящих в его границы.</w:t>
      </w:r>
    </w:p>
    <w:p>
      <w:pPr>
        <w:pStyle w:val="Normal"/>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Регламент использования особо охраняемой природной территории приведен в таблице 5.1.</w:t>
      </w:r>
    </w:p>
    <w:p>
      <w:pPr>
        <w:pStyle w:val="Normal"/>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contextualSpacing/>
        <w:jc w:val="center"/>
        <w:rPr>
          <w:rFonts w:ascii="Times New Roman" w:hAnsi="Times New Roman" w:cs="Times New Roman"/>
          <w:i/>
          <w:i/>
          <w:sz w:val="28"/>
          <w:szCs w:val="28"/>
        </w:rPr>
      </w:pPr>
      <w:r>
        <w:rPr>
          <w:rFonts w:cs="Times New Roman" w:ascii="Times New Roman" w:hAnsi="Times New Roman"/>
          <w:i/>
          <w:sz w:val="28"/>
          <w:szCs w:val="28"/>
        </w:rPr>
        <w:t>Памятник природы регионального значения «Ташевские склоны»</w:t>
      </w:r>
    </w:p>
    <w:p>
      <w:pPr>
        <w:pStyle w:val="Normal"/>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Памятник природы регионального значения «Ташевские склоны» расположен в центральной части поселения, утвержден Постановлением КМ РТ от 02.02.2009 № 60 «Об объявлении природных объектов Верхнеуслонского муниципального района памятниками природы регионального значения». </w:t>
      </w:r>
    </w:p>
    <w:p>
      <w:pPr>
        <w:pStyle w:val="Normal"/>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Участок "Ташевские склоны" площадью 233,46 гектара включает в себя две овражно-балочные системы, расположенные по обеим сторонам ведущей в с. Ташевка дороги. По дну обеих балок протекают ручьи, впадающие в р. Волгу. Растительность участка имеет мозаичную структуру из остепненных и влажно-луговых фрагментов. Наибольшую ценность представляют участки ковыльно-типчаковых остепненных лугов. Флора представлена 106 видами сосудистых растений, относящихся к 93 родам и 33 семействам. Среди них 1 вид - ковыль перистый (Stipa pennata) - включен в Красную книгу Российской Федерации и Красную книгу Республики Татарстан. Лук Вальдштайна (Allium waldsteinii) внесен в приложение к Красной книге Республики Татарстан как вид, нуждающийся в контроле состояния популяции.</w:t>
      </w:r>
    </w:p>
    <w:p>
      <w:pPr>
        <w:pStyle w:val="Normal"/>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На данном участке и прилегающих к нему территориях зарегистрировано 8 видов млекопитающих, 65 видов птиц, 1 вид амфибий, 2 вида рептилий, на маршрутных учетах зарегистрировано 30 видов летающих насекомых. Из общего числа отмеченных видов животных 8 включены в Красную книгу Республики Татарстан и приложения II и III к Конвенции о международной торговле видами фауны и флоры, находящимися под угрозой исчезновения (The Convention on International Trade in Endangered Species of Wild Fauna and Flora) (далее - СИТЕС): горлица, золотистая щурка, лунь луговой, лунь полевой, осоед, гадюка обыкновенная, бабочки пестроглазка Галатея и мнемозина (Аполлон черный).</w:t>
      </w:r>
    </w:p>
    <w:p>
      <w:pPr>
        <w:pStyle w:val="Normal"/>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Регламент использования особо охраняемой природной территории приведен в таблице 5.1.</w:t>
      </w:r>
    </w:p>
    <w:p>
      <w:pPr>
        <w:pStyle w:val="Normal"/>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widowControl w:val="false"/>
        <w:spacing w:lineRule="auto" w:line="240" w:before="0" w:after="0"/>
        <w:ind w:left="1140" w:hanging="0"/>
        <w:jc w:val="right"/>
        <w:rPr>
          <w:rFonts w:ascii="Times New Roman" w:hAnsi="Times New Roman" w:eastAsia="Times New Roman" w:cs="Times New Roman"/>
          <w:sz w:val="28"/>
          <w:szCs w:val="28"/>
        </w:rPr>
      </w:pPr>
      <w:r>
        <w:rPr>
          <w:rFonts w:eastAsia="Times New Roman" w:cs="Times New Roman" w:ascii="Times New Roman" w:hAnsi="Times New Roman"/>
          <w:sz w:val="28"/>
          <w:szCs w:val="28"/>
        </w:rPr>
        <w:t>Таблица 5.1</w:t>
      </w:r>
    </w:p>
    <w:p>
      <w:pPr>
        <w:pStyle w:val="Normal"/>
        <w:widowControl w:val="false"/>
        <w:spacing w:lineRule="auto" w:line="240" w:before="0" w:after="0"/>
        <w:ind w:left="1140" w:hanging="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Регламенты использования особо охраняемых природных территорий</w:t>
      </w:r>
    </w:p>
    <w:tbl>
      <w:tblPr>
        <w:tblW w:w="5000" w:type="pct"/>
        <w:jc w:val="center"/>
        <w:tblInd w:w="0" w:type="dxa"/>
        <w:tblLayout w:type="fixed"/>
        <w:tblCellMar>
          <w:top w:w="100" w:type="dxa"/>
          <w:left w:w="100" w:type="dxa"/>
          <w:bottom w:w="100" w:type="dxa"/>
          <w:right w:w="100" w:type="dxa"/>
        </w:tblCellMar>
        <w:tblLook w:noVBand="1" w:val="0600" w:noHBand="1" w:lastColumn="0" w:firstColumn="0" w:lastRow="0" w:firstRow="0"/>
      </w:tblPr>
      <w:tblGrid>
        <w:gridCol w:w="1081"/>
        <w:gridCol w:w="2519"/>
        <w:gridCol w:w="8169"/>
        <w:gridCol w:w="3083"/>
      </w:tblGrid>
      <w:tr>
        <w:trPr>
          <w:trHeight w:val="57" w:hRule="atLeast"/>
        </w:trPr>
        <w:tc>
          <w:tcPr>
            <w:tcW w:w="1081" w:type="dxa"/>
            <w:tcBorders>
              <w:top w:val="single" w:sz="8" w:space="0" w:color="000000"/>
              <w:left w:val="single" w:sz="8" w:space="0" w:color="000000"/>
              <w:bottom w:val="single" w:sz="8" w:space="0" w:color="000000"/>
              <w:right w:val="single" w:sz="8"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п/п</w:t>
            </w:r>
          </w:p>
        </w:tc>
        <w:tc>
          <w:tcPr>
            <w:tcW w:w="2519" w:type="dxa"/>
            <w:tcBorders>
              <w:top w:val="single" w:sz="8" w:space="0" w:color="000000"/>
              <w:left w:val="single" w:sz="6" w:space="0" w:color="000000"/>
              <w:bottom w:val="single" w:sz="8" w:space="0" w:color="000000"/>
              <w:right w:val="single" w:sz="8"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Наименование ООПТ</w:t>
            </w:r>
          </w:p>
        </w:tc>
        <w:tc>
          <w:tcPr>
            <w:tcW w:w="8169" w:type="dxa"/>
            <w:tcBorders>
              <w:top w:val="single" w:sz="8" w:space="0" w:color="000000"/>
              <w:left w:val="single" w:sz="6" w:space="0" w:color="000000"/>
              <w:bottom w:val="single" w:sz="8" w:space="0" w:color="000000"/>
              <w:right w:val="single" w:sz="8"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Режим использования указанной зоны</w:t>
            </w:r>
          </w:p>
        </w:tc>
        <w:tc>
          <w:tcPr>
            <w:tcW w:w="3083" w:type="dxa"/>
            <w:tcBorders>
              <w:top w:val="single" w:sz="8" w:space="0" w:color="000000"/>
              <w:left w:val="single" w:sz="6" w:space="0" w:color="000000"/>
              <w:bottom w:val="single" w:sz="8" w:space="0" w:color="000000"/>
              <w:right w:val="single" w:sz="8"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Нормативные документы, регулирующие разрешенное использование</w:t>
            </w:r>
          </w:p>
        </w:tc>
      </w:tr>
      <w:tr>
        <w:trPr>
          <w:trHeight w:val="57" w:hRule="atLeast"/>
        </w:trPr>
        <w:tc>
          <w:tcPr>
            <w:tcW w:w="1081" w:type="dxa"/>
            <w:tcBorders>
              <w:top w:val="single" w:sz="8" w:space="0" w:color="000000"/>
              <w:left w:val="single" w:sz="8" w:space="0" w:color="000000"/>
              <w:bottom w:val="single" w:sz="8" w:space="0" w:color="000000"/>
              <w:right w:val="single" w:sz="8"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w:t>
            </w:r>
          </w:p>
        </w:tc>
        <w:tc>
          <w:tcPr>
            <w:tcW w:w="2519" w:type="dxa"/>
            <w:tcBorders>
              <w:top w:val="single" w:sz="8" w:space="0" w:color="000000"/>
              <w:left w:val="single" w:sz="6" w:space="0" w:color="000000"/>
              <w:bottom w:val="single" w:sz="8" w:space="0" w:color="000000"/>
              <w:right w:val="single" w:sz="8" w:space="0" w:color="000000"/>
            </w:tcBorders>
            <w:vAlign w:val="center"/>
          </w:tcPr>
          <w:p>
            <w:pPr>
              <w:pStyle w:val="Normal"/>
              <w:widowControl w:val="false"/>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Государственный природный заказник регионального значения ландшафтного профиля "Волжские просторы"</w:t>
            </w:r>
          </w:p>
        </w:tc>
        <w:tc>
          <w:tcPr>
            <w:tcW w:w="8169" w:type="dxa"/>
            <w:tcBorders>
              <w:top w:val="single" w:sz="8" w:space="0" w:color="000000"/>
              <w:left w:val="single" w:sz="6" w:space="0" w:color="000000"/>
              <w:bottom w:val="single" w:sz="8" w:space="0" w:color="000000"/>
              <w:right w:val="single" w:sz="8" w:space="0" w:color="000000"/>
            </w:tcBorders>
            <w:vAlign w:val="center"/>
          </w:tcPr>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На территории заказника запрещена любая деятельность, влекущая за собой нарушение сохранности заказника, в том числе:</w:t>
            </w:r>
          </w:p>
          <w:p>
            <w:pPr>
              <w:pStyle w:val="Normal"/>
              <w:widowControl w:val="false"/>
              <w:spacing w:lineRule="auto" w:line="240" w:before="0" w:after="0"/>
              <w:ind w:firstLine="540"/>
              <w:jc w:val="both"/>
              <w:rPr>
                <w:rFonts w:ascii="Times New Roman" w:hAnsi="Times New Roman" w:cs="Times New Roman"/>
                <w:sz w:val="24"/>
                <w:szCs w:val="24"/>
              </w:rPr>
            </w:pPr>
            <w:r>
              <w:rPr>
                <w:rFonts w:cs="Times New Roman" w:ascii="Times New Roman" w:hAnsi="Times New Roman"/>
                <w:sz w:val="24"/>
                <w:szCs w:val="24"/>
              </w:rPr>
              <w:t>деятельность, влекущая за собой изменение исторически сложившегося природного ландшафта, снижение или уничтожение экологических, эстетических и рекреационных качеств заказника, нарушение режима содержания памятников истории и культуры;</w:t>
            </w:r>
          </w:p>
          <w:p>
            <w:pPr>
              <w:pStyle w:val="Normal"/>
              <w:widowControl w:val="false"/>
              <w:spacing w:lineRule="auto" w:line="240" w:before="0" w:after="0"/>
              <w:ind w:firstLine="540"/>
              <w:jc w:val="both"/>
              <w:rPr>
                <w:rFonts w:ascii="Times New Roman" w:hAnsi="Times New Roman" w:cs="Times New Roman"/>
                <w:sz w:val="24"/>
                <w:szCs w:val="24"/>
              </w:rPr>
            </w:pPr>
            <w:r>
              <w:rPr>
                <w:rFonts w:cs="Times New Roman" w:ascii="Times New Roman" w:hAnsi="Times New Roman"/>
                <w:sz w:val="24"/>
                <w:szCs w:val="24"/>
              </w:rPr>
              <w:t>создание населенных пунктов, новых садоводческих и огороднических некоммерческих товариществ, за исключением существующих садоводческих и огороднических некоммерческих товариществ, образованных на островах р. Волги до создания заказника;</w:t>
            </w:r>
          </w:p>
          <w:p>
            <w:pPr>
              <w:pStyle w:val="Normal"/>
              <w:widowControl w:val="false"/>
              <w:spacing w:lineRule="auto" w:line="240" w:before="0" w:after="0"/>
              <w:ind w:firstLine="540"/>
              <w:jc w:val="both"/>
              <w:rPr>
                <w:rFonts w:ascii="Times New Roman" w:hAnsi="Times New Roman" w:cs="Times New Roman"/>
                <w:sz w:val="24"/>
                <w:szCs w:val="24"/>
              </w:rPr>
            </w:pPr>
            <w:r>
              <w:rPr>
                <w:rFonts w:cs="Times New Roman" w:ascii="Times New Roman" w:hAnsi="Times New Roman"/>
                <w:sz w:val="24"/>
                <w:szCs w:val="24"/>
              </w:rPr>
              <w:t>предоставление земельных участков для строительства, индивидуального жилищного строительства, ведения садоводства и огородничества, садоводческих и огороднических некоммерческих товариществ, за исключением предоставления земельных участков садоводческим некоммерческим товариществам, образованным из существующих садовых земельных участков, со строениями, построенными на островах р. Волги до создания заказника;</w:t>
            </w:r>
          </w:p>
          <w:p>
            <w:pPr>
              <w:pStyle w:val="Normal"/>
              <w:widowControl w:val="false"/>
              <w:spacing w:lineRule="auto" w:line="240" w:before="0" w:after="0"/>
              <w:ind w:firstLine="540"/>
              <w:jc w:val="both"/>
              <w:rPr>
                <w:rFonts w:ascii="Times New Roman" w:hAnsi="Times New Roman" w:cs="Times New Roman"/>
                <w:sz w:val="24"/>
                <w:szCs w:val="24"/>
              </w:rPr>
            </w:pPr>
            <w:r>
              <w:rPr>
                <w:rFonts w:cs="Times New Roman" w:ascii="Times New Roman" w:hAnsi="Times New Roman"/>
                <w:sz w:val="24"/>
                <w:szCs w:val="24"/>
              </w:rPr>
              <w:t>строительство объектов капитального строительства, в том числе линейных объектов, если такое строительство не связано с функционированием заказника или с обеспечением функционирования населенных пунктов, садоводческих некоммерческих товариществ и огороднических некоммерческих товариществ и не соответствует целевому назначению земельных участков;</w:t>
            </w:r>
          </w:p>
          <w:p>
            <w:pPr>
              <w:pStyle w:val="Normal"/>
              <w:widowControl w:val="false"/>
              <w:spacing w:lineRule="auto" w:line="240" w:before="0" w:after="0"/>
              <w:ind w:firstLine="540"/>
              <w:jc w:val="both"/>
              <w:rPr>
                <w:rFonts w:ascii="Times New Roman" w:hAnsi="Times New Roman" w:cs="Times New Roman"/>
                <w:sz w:val="24"/>
                <w:szCs w:val="24"/>
              </w:rPr>
            </w:pPr>
            <w:r>
              <w:rPr>
                <w:rFonts w:cs="Times New Roman" w:ascii="Times New Roman" w:hAnsi="Times New Roman"/>
                <w:sz w:val="24"/>
                <w:szCs w:val="24"/>
              </w:rPr>
              <w:t>ведение садоводческой и огороднической деятельности на земельных участках, которые не освоены до создания заказника;</w:t>
            </w:r>
          </w:p>
          <w:p>
            <w:pPr>
              <w:pStyle w:val="Normal"/>
              <w:widowControl w:val="false"/>
              <w:spacing w:lineRule="auto" w:line="240" w:before="0" w:after="0"/>
              <w:ind w:firstLine="540"/>
              <w:jc w:val="both"/>
              <w:rPr>
                <w:rFonts w:ascii="Times New Roman" w:hAnsi="Times New Roman" w:cs="Times New Roman"/>
                <w:sz w:val="24"/>
                <w:szCs w:val="24"/>
              </w:rPr>
            </w:pPr>
            <w:r>
              <w:rPr>
                <w:rFonts w:cs="Times New Roman" w:ascii="Times New Roman" w:hAnsi="Times New Roman"/>
                <w:sz w:val="24"/>
                <w:szCs w:val="24"/>
              </w:rPr>
              <w:t>разработка полезных ископаемых, за исключением разработки полезных ископаемых на существующих лицензионных участках месторождений по лицензиям, выданным до создания заказника;</w:t>
            </w:r>
          </w:p>
          <w:p>
            <w:pPr>
              <w:pStyle w:val="Normal"/>
              <w:widowControl w:val="false"/>
              <w:spacing w:lineRule="auto" w:line="240" w:before="0" w:after="0"/>
              <w:ind w:firstLine="540"/>
              <w:jc w:val="both"/>
              <w:rPr>
                <w:rFonts w:ascii="Times New Roman" w:hAnsi="Times New Roman" w:cs="Times New Roman"/>
                <w:sz w:val="24"/>
                <w:szCs w:val="24"/>
              </w:rPr>
            </w:pPr>
            <w:r>
              <w:rPr>
                <w:rFonts w:cs="Times New Roman" w:ascii="Times New Roman" w:hAnsi="Times New Roman"/>
                <w:sz w:val="24"/>
                <w:szCs w:val="24"/>
              </w:rPr>
              <w:t>сброс сточных вод, в том числе дренажных;</w:t>
            </w:r>
          </w:p>
          <w:p>
            <w:pPr>
              <w:pStyle w:val="Normal"/>
              <w:widowControl w:val="false"/>
              <w:spacing w:lineRule="auto" w:line="240" w:before="0" w:after="0"/>
              <w:ind w:firstLine="540"/>
              <w:jc w:val="both"/>
              <w:rPr>
                <w:rFonts w:ascii="Times New Roman" w:hAnsi="Times New Roman" w:cs="Times New Roman"/>
                <w:sz w:val="24"/>
                <w:szCs w:val="24"/>
              </w:rPr>
            </w:pPr>
            <w:r>
              <w:rPr>
                <w:rFonts w:cs="Times New Roman" w:ascii="Times New Roman" w:hAnsi="Times New Roman"/>
                <w:sz w:val="24"/>
                <w:szCs w:val="24"/>
              </w:rPr>
              <w:t>применение ядохимикатов, минеральных удобрений, химических средств защиты растений и стимуляторов роста, а также размещение и складирование ядохимикатов, минеральных удобрений, навоза и горюче-смазочных материалов;</w:t>
            </w:r>
          </w:p>
          <w:p>
            <w:pPr>
              <w:pStyle w:val="Normal"/>
              <w:widowControl w:val="false"/>
              <w:spacing w:lineRule="auto" w:line="240" w:before="0" w:after="0"/>
              <w:ind w:firstLine="540"/>
              <w:jc w:val="both"/>
              <w:rPr>
                <w:rFonts w:ascii="Times New Roman" w:hAnsi="Times New Roman" w:cs="Times New Roman"/>
                <w:sz w:val="24"/>
                <w:szCs w:val="24"/>
              </w:rPr>
            </w:pPr>
            <w:r>
              <w:rPr>
                <w:rFonts w:cs="Times New Roman" w:ascii="Times New Roman" w:hAnsi="Times New Roman"/>
                <w:sz w:val="24"/>
                <w:szCs w:val="24"/>
              </w:rPr>
              <w:t>создание объектов размещения отходов производства и потребления, радиоактивных, химических, взрывчатых, токсичных, отравляющих и ядовитых веществ;</w:t>
            </w:r>
          </w:p>
          <w:p>
            <w:pPr>
              <w:pStyle w:val="Normal"/>
              <w:widowControl w:val="false"/>
              <w:spacing w:lineRule="auto" w:line="240" w:before="0" w:after="0"/>
              <w:ind w:firstLine="540"/>
              <w:jc w:val="both"/>
              <w:rPr>
                <w:rFonts w:ascii="Times New Roman" w:hAnsi="Times New Roman" w:cs="Times New Roman"/>
                <w:sz w:val="24"/>
                <w:szCs w:val="24"/>
              </w:rPr>
            </w:pPr>
            <w:r>
              <w:rPr>
                <w:rFonts w:cs="Times New Roman" w:ascii="Times New Roman" w:hAnsi="Times New Roman"/>
                <w:sz w:val="24"/>
                <w:szCs w:val="24"/>
              </w:rPr>
              <w:t>проезд и стоянка автомототранспортных средств вне дорог общего пользования, за исключением специально предусмотренных для этого мест (кроме случаев, связанных с использованием транспортных средств специально уполномоченными государственными органами, собственниками, владельцами, пользователями земельных участков, расположенных в границах заказника, а также на организованных ледовых переправах и в случаях аварий или стихийных бедствий);</w:t>
            </w:r>
          </w:p>
          <w:p>
            <w:pPr>
              <w:pStyle w:val="Normal"/>
              <w:widowControl w:val="false"/>
              <w:spacing w:lineRule="auto" w:line="240" w:before="0" w:after="0"/>
              <w:ind w:firstLine="540"/>
              <w:jc w:val="both"/>
              <w:rPr>
                <w:rFonts w:ascii="Times New Roman" w:hAnsi="Times New Roman" w:cs="Times New Roman"/>
                <w:sz w:val="24"/>
                <w:szCs w:val="24"/>
              </w:rPr>
            </w:pPr>
            <w:r>
              <w:rPr>
                <w:rFonts w:cs="Times New Roman" w:ascii="Times New Roman" w:hAnsi="Times New Roman"/>
                <w:sz w:val="24"/>
                <w:szCs w:val="24"/>
              </w:rPr>
              <w:t>разведение костров за пределами специально предусмотренных для этого мест;</w:t>
            </w:r>
          </w:p>
          <w:p>
            <w:pPr>
              <w:pStyle w:val="Normal"/>
              <w:widowControl w:val="false"/>
              <w:spacing w:lineRule="auto" w:line="240" w:before="0" w:after="0"/>
              <w:ind w:firstLine="540"/>
              <w:jc w:val="both"/>
              <w:rPr>
                <w:rFonts w:ascii="Times New Roman" w:hAnsi="Times New Roman" w:cs="Times New Roman"/>
                <w:sz w:val="24"/>
                <w:szCs w:val="24"/>
              </w:rPr>
            </w:pPr>
            <w:r>
              <w:rPr>
                <w:rFonts w:cs="Times New Roman" w:ascii="Times New Roman" w:hAnsi="Times New Roman"/>
                <w:sz w:val="24"/>
                <w:szCs w:val="24"/>
              </w:rPr>
              <w:t>мойка автотранспортных средств и сельскохозяйственной техники;</w:t>
            </w:r>
          </w:p>
          <w:p>
            <w:pPr>
              <w:pStyle w:val="Normal"/>
              <w:widowControl w:val="false"/>
              <w:spacing w:lineRule="auto" w:line="240" w:before="0" w:after="0"/>
              <w:ind w:firstLine="540"/>
              <w:jc w:val="both"/>
              <w:rPr>
                <w:rFonts w:ascii="Times New Roman" w:hAnsi="Times New Roman" w:cs="Times New Roman"/>
                <w:sz w:val="24"/>
                <w:szCs w:val="24"/>
              </w:rPr>
            </w:pPr>
            <w:r>
              <w:rPr>
                <w:rFonts w:cs="Times New Roman" w:ascii="Times New Roman" w:hAnsi="Times New Roman"/>
                <w:sz w:val="24"/>
                <w:szCs w:val="24"/>
              </w:rPr>
              <w:t>посадка растений и переселение животных, чуждых местным флоре и фауне;</w:t>
            </w:r>
          </w:p>
          <w:p>
            <w:pPr>
              <w:pStyle w:val="Normal"/>
              <w:widowControl w:val="false"/>
              <w:spacing w:lineRule="auto" w:line="240" w:before="0" w:after="0"/>
              <w:ind w:firstLine="540"/>
              <w:jc w:val="both"/>
              <w:rPr>
                <w:rFonts w:ascii="Times New Roman" w:hAnsi="Times New Roman" w:cs="Times New Roman"/>
                <w:sz w:val="24"/>
                <w:szCs w:val="24"/>
              </w:rPr>
            </w:pPr>
            <w:r>
              <w:rPr>
                <w:rFonts w:cs="Times New Roman" w:ascii="Times New Roman" w:hAnsi="Times New Roman"/>
                <w:sz w:val="24"/>
                <w:szCs w:val="24"/>
              </w:rPr>
              <w:t>охота в весенний период, за исключением охоты в целях регулирования численности и осуществления научно-исследовательской деятельности, образовательной деятельности;</w:t>
            </w:r>
          </w:p>
          <w:p>
            <w:pPr>
              <w:pStyle w:val="Normal"/>
              <w:widowControl w:val="false"/>
              <w:spacing w:lineRule="auto" w:line="240" w:before="0" w:after="0"/>
              <w:ind w:firstLine="540"/>
              <w:jc w:val="both"/>
              <w:rPr>
                <w:rFonts w:ascii="Times New Roman" w:hAnsi="Times New Roman" w:cs="Times New Roman"/>
                <w:sz w:val="24"/>
                <w:szCs w:val="24"/>
              </w:rPr>
            </w:pPr>
            <w:r>
              <w:rPr>
                <w:rFonts w:cs="Times New Roman" w:ascii="Times New Roman" w:hAnsi="Times New Roman"/>
                <w:sz w:val="24"/>
                <w:szCs w:val="24"/>
              </w:rPr>
              <w:t>добыча животных, не отнесенных к объектам охоты, за исключением добычи в целях регулирования численности, а также добыча редких и находящихся под угрозой исчезновения видов животных, растений и грибов, занесенных в Красную книгу Республики Татарстан;</w:t>
            </w:r>
          </w:p>
          <w:p>
            <w:pPr>
              <w:pStyle w:val="Normal"/>
              <w:widowControl w:val="false"/>
              <w:spacing w:lineRule="auto" w:line="240" w:before="0" w:after="0"/>
              <w:ind w:firstLine="540"/>
              <w:jc w:val="both"/>
              <w:rPr>
                <w:rFonts w:ascii="Times New Roman" w:hAnsi="Times New Roman" w:cs="Times New Roman"/>
                <w:sz w:val="24"/>
                <w:szCs w:val="24"/>
              </w:rPr>
            </w:pPr>
            <w:r>
              <w:rPr>
                <w:rFonts w:cs="Times New Roman" w:ascii="Times New Roman" w:hAnsi="Times New Roman"/>
                <w:sz w:val="24"/>
                <w:szCs w:val="24"/>
              </w:rPr>
              <w:t>уничтожение гнезд, нор, иных укрытий, а также действия, ведущие к беспокойству диких животных;</w:t>
            </w:r>
          </w:p>
          <w:p>
            <w:pPr>
              <w:pStyle w:val="Normal"/>
              <w:widowControl w:val="false"/>
              <w:spacing w:lineRule="auto" w:line="240" w:before="0" w:after="0"/>
              <w:ind w:firstLine="540"/>
              <w:jc w:val="both"/>
              <w:rPr>
                <w:rFonts w:ascii="Times New Roman" w:hAnsi="Times New Roman" w:cs="Times New Roman"/>
                <w:sz w:val="24"/>
                <w:szCs w:val="24"/>
              </w:rPr>
            </w:pPr>
            <w:r>
              <w:rPr>
                <w:rFonts w:cs="Times New Roman" w:ascii="Times New Roman" w:hAnsi="Times New Roman"/>
                <w:sz w:val="24"/>
                <w:szCs w:val="24"/>
              </w:rPr>
              <w:t>деятельность, ведущая к сокращению численности растений, животных и других организмов, относящихся к видам, занесенным в Красную книгу Российской Федерации и Красную книгу Республики Татарстан, и ухудшающая среду их обитания;</w:t>
            </w:r>
          </w:p>
          <w:p>
            <w:pPr>
              <w:pStyle w:val="Normal"/>
              <w:widowControl w:val="false"/>
              <w:spacing w:lineRule="auto" w:line="240" w:before="0" w:after="0"/>
              <w:ind w:firstLine="540"/>
              <w:jc w:val="both"/>
              <w:rPr>
                <w:rFonts w:ascii="Times New Roman" w:hAnsi="Times New Roman" w:cs="Times New Roman"/>
                <w:sz w:val="24"/>
                <w:szCs w:val="24"/>
              </w:rPr>
            </w:pPr>
            <w:r>
              <w:rPr>
                <w:rFonts w:cs="Times New Roman" w:ascii="Times New Roman" w:hAnsi="Times New Roman"/>
                <w:sz w:val="24"/>
                <w:szCs w:val="24"/>
              </w:rPr>
              <w:t>уничтожение старовозрастных и дуплистых деревьев;</w:t>
            </w:r>
          </w:p>
          <w:p>
            <w:pPr>
              <w:pStyle w:val="Normal"/>
              <w:widowControl w:val="false"/>
              <w:spacing w:lineRule="auto" w:line="240" w:before="0" w:after="0"/>
              <w:ind w:firstLine="540"/>
              <w:jc w:val="both"/>
              <w:rPr>
                <w:rFonts w:ascii="Times New Roman" w:hAnsi="Times New Roman" w:cs="Times New Roman"/>
                <w:sz w:val="24"/>
                <w:szCs w:val="24"/>
              </w:rPr>
            </w:pPr>
            <w:r>
              <w:rPr>
                <w:rFonts w:cs="Times New Roman" w:ascii="Times New Roman" w:hAnsi="Times New Roman"/>
                <w:sz w:val="24"/>
                <w:szCs w:val="24"/>
              </w:rPr>
              <w:t>выжигание растительности;</w:t>
            </w:r>
          </w:p>
          <w:p>
            <w:pPr>
              <w:pStyle w:val="Normal"/>
              <w:widowControl w:val="false"/>
              <w:spacing w:lineRule="auto" w:line="240" w:before="0" w:after="0"/>
              <w:ind w:firstLine="540"/>
              <w:jc w:val="both"/>
              <w:rPr>
                <w:rFonts w:ascii="Times New Roman" w:hAnsi="Times New Roman" w:cs="Times New Roman"/>
                <w:sz w:val="24"/>
                <w:szCs w:val="24"/>
              </w:rPr>
            </w:pPr>
            <w:r>
              <w:rPr>
                <w:rFonts w:cs="Times New Roman" w:ascii="Times New Roman" w:hAnsi="Times New Roman"/>
                <w:sz w:val="24"/>
                <w:szCs w:val="24"/>
              </w:rPr>
              <w:t>уничтожение и заготовка тростника в пределах прибрежных защитных полос водных объектов и на участках, представляющих особую ценность в качестве среды обитания объектов животного мира;</w:t>
            </w:r>
          </w:p>
          <w:p>
            <w:pPr>
              <w:pStyle w:val="Normal"/>
              <w:widowControl w:val="false"/>
              <w:spacing w:lineRule="auto" w:line="240" w:before="0" w:after="0"/>
              <w:ind w:firstLine="540"/>
              <w:jc w:val="both"/>
              <w:rPr>
                <w:rFonts w:ascii="Times New Roman" w:hAnsi="Times New Roman" w:cs="Times New Roman"/>
                <w:sz w:val="24"/>
                <w:szCs w:val="24"/>
              </w:rPr>
            </w:pPr>
            <w:r>
              <w:rPr>
                <w:rFonts w:cs="Times New Roman" w:ascii="Times New Roman" w:hAnsi="Times New Roman"/>
                <w:sz w:val="24"/>
                <w:szCs w:val="24"/>
              </w:rPr>
              <w:t>проведение рубок лесных насаждений, за исключением выборочных или сплошных санитарных рубок и мероприятий по охране, защите и воспроизводству лесов;</w:t>
            </w:r>
          </w:p>
          <w:p>
            <w:pPr>
              <w:pStyle w:val="Normal"/>
              <w:widowControl w:val="false"/>
              <w:spacing w:lineRule="auto" w:line="240" w:before="0" w:after="0"/>
              <w:ind w:firstLine="540"/>
              <w:jc w:val="both"/>
              <w:rPr>
                <w:rFonts w:ascii="Times New Roman" w:hAnsi="Times New Roman" w:cs="Times New Roman"/>
                <w:sz w:val="24"/>
                <w:szCs w:val="24"/>
              </w:rPr>
            </w:pPr>
            <w:r>
              <w:rPr>
                <w:rFonts w:cs="Times New Roman" w:ascii="Times New Roman" w:hAnsi="Times New Roman"/>
                <w:sz w:val="24"/>
                <w:szCs w:val="24"/>
              </w:rPr>
              <w:t>деятельность, снижающая плодородие почв;</w:t>
            </w:r>
          </w:p>
          <w:p>
            <w:pPr>
              <w:pStyle w:val="Normal"/>
              <w:widowControl w:val="false"/>
              <w:spacing w:lineRule="auto" w:line="240" w:before="0" w:after="0"/>
              <w:ind w:firstLine="540"/>
              <w:jc w:val="both"/>
              <w:rPr>
                <w:rFonts w:ascii="Times New Roman" w:hAnsi="Times New Roman" w:cs="Times New Roman"/>
                <w:sz w:val="24"/>
                <w:szCs w:val="24"/>
              </w:rPr>
            </w:pPr>
            <w:r>
              <w:rPr>
                <w:rFonts w:cs="Times New Roman" w:ascii="Times New Roman" w:hAnsi="Times New Roman"/>
                <w:sz w:val="24"/>
                <w:szCs w:val="24"/>
              </w:rPr>
              <w:t>разведка полезных ископаемых, проведение геологического изучения, включающего поиск и оценку месторождений полезных ископаемых, а также геологическое изучение и оценку пригодности участков недр для строительства и эксплуатации подземных сооружений, не связанных с добычей полезных ископаемых, за исключением проведения этих работ в соответствии с условиями пользования недрами по лицензиям, выданным до создания заказника;</w:t>
            </w:r>
          </w:p>
          <w:p>
            <w:pPr>
              <w:pStyle w:val="Normal"/>
              <w:widowControl w:val="false"/>
              <w:spacing w:lineRule="auto" w:line="240" w:before="0" w:after="0"/>
              <w:ind w:firstLine="540"/>
              <w:jc w:val="both"/>
              <w:rPr>
                <w:rFonts w:ascii="Times New Roman" w:hAnsi="Times New Roman" w:cs="Times New Roman"/>
                <w:sz w:val="24"/>
                <w:szCs w:val="24"/>
              </w:rPr>
            </w:pPr>
            <w:r>
              <w:rPr>
                <w:rFonts w:cs="Times New Roman" w:ascii="Times New Roman" w:hAnsi="Times New Roman"/>
                <w:sz w:val="24"/>
                <w:szCs w:val="24"/>
              </w:rPr>
              <w:t>уничтожение и повреждение аншлагов, шлагбаумов, стендов, граничных столбов и других информационных знаков, и указателей, оборудованных экологических троп, строений и сооружений на территории заказника, нанесение надписей и знаков на деревьях;</w:t>
            </w:r>
          </w:p>
          <w:p>
            <w:pPr>
              <w:pStyle w:val="Normal"/>
              <w:widowControl w:val="false"/>
              <w:spacing w:lineRule="auto" w:line="240" w:before="0" w:after="0"/>
              <w:ind w:firstLine="540"/>
              <w:jc w:val="both"/>
              <w:rPr>
                <w:rFonts w:ascii="Times New Roman" w:hAnsi="Times New Roman" w:eastAsia="Times New Roman" w:cs="Times New Roman"/>
                <w:sz w:val="24"/>
                <w:szCs w:val="24"/>
              </w:rPr>
            </w:pPr>
            <w:r>
              <w:rPr>
                <w:rFonts w:cs="Times New Roman" w:ascii="Times New Roman" w:hAnsi="Times New Roman"/>
                <w:sz w:val="24"/>
                <w:szCs w:val="24"/>
              </w:rPr>
              <w:t>иные виды деятельности, вызывающие нарушение экологического равновесия природного комплекса, влекущие за собой снижение экологической ценности данной территории или причиняющие вред охраняемым объектам животного и растительного мира и среде их обитания.</w:t>
            </w:r>
          </w:p>
        </w:tc>
        <w:tc>
          <w:tcPr>
            <w:tcW w:w="3083" w:type="dxa"/>
            <w:tcBorders>
              <w:top w:val="single" w:sz="8" w:space="0" w:color="000000"/>
              <w:left w:val="single" w:sz="6" w:space="0" w:color="000000"/>
              <w:bottom w:val="single" w:sz="8" w:space="0" w:color="000000"/>
              <w:right w:val="single" w:sz="8"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Постановление КМ РТ от 30.12.2019 № 1260</w:t>
            </w:r>
          </w:p>
          <w:p>
            <w:pPr>
              <w:pStyle w:val="Normal"/>
              <w:widowControl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(с изменениями и дополнениями)</w:t>
            </w:r>
          </w:p>
        </w:tc>
      </w:tr>
      <w:tr>
        <w:trPr>
          <w:trHeight w:val="57" w:hRule="atLeast"/>
        </w:trPr>
        <w:tc>
          <w:tcPr>
            <w:tcW w:w="1081" w:type="dxa"/>
            <w:tcBorders>
              <w:top w:val="single" w:sz="6" w:space="0" w:color="000000"/>
              <w:left w:val="single" w:sz="8" w:space="0" w:color="000000"/>
              <w:bottom w:val="single" w:sz="6" w:space="0" w:color="000000"/>
              <w:right w:val="single" w:sz="8"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4"/>
                <w:szCs w:val="24"/>
                <w:highlight w:val="yellow"/>
              </w:rPr>
            </w:pPr>
            <w:r>
              <w:rPr>
                <w:rFonts w:eastAsia="Times New Roman" w:cs="Times New Roman" w:ascii="Times New Roman" w:hAnsi="Times New Roman"/>
                <w:sz w:val="24"/>
                <w:szCs w:val="24"/>
              </w:rPr>
              <w:t>2</w:t>
            </w:r>
          </w:p>
        </w:tc>
        <w:tc>
          <w:tcPr>
            <w:tcW w:w="2519" w:type="dxa"/>
            <w:tcBorders>
              <w:top w:val="single" w:sz="6" w:space="0" w:color="000000"/>
              <w:left w:val="single" w:sz="6" w:space="0" w:color="000000"/>
              <w:bottom w:val="single" w:sz="6" w:space="0" w:color="000000"/>
              <w:right w:val="single" w:sz="8" w:space="0" w:color="000000"/>
            </w:tcBorders>
            <w:vAlign w:val="center"/>
          </w:tcPr>
          <w:p>
            <w:pPr>
              <w:pStyle w:val="Normal"/>
              <w:widowControl w:val="false"/>
              <w:spacing w:lineRule="auto" w:line="240" w:before="0" w:after="0"/>
              <w:rPr>
                <w:rFonts w:ascii="Times New Roman" w:hAnsi="Times New Roman" w:cs="Times New Roman"/>
                <w:sz w:val="24"/>
                <w:szCs w:val="24"/>
              </w:rPr>
            </w:pPr>
            <w:r>
              <w:rPr>
                <w:rFonts w:cs="Times New Roman" w:ascii="Times New Roman" w:hAnsi="Times New Roman"/>
                <w:sz w:val="24"/>
                <w:szCs w:val="24"/>
              </w:rPr>
              <w:t>Государственный природный зоологический (охотничий) заказник регионального значения «Лесной ключ»</w:t>
            </w:r>
          </w:p>
        </w:tc>
        <w:tc>
          <w:tcPr>
            <w:tcW w:w="8169" w:type="dxa"/>
            <w:tcBorders>
              <w:top w:val="single" w:sz="6" w:space="0" w:color="000000"/>
              <w:left w:val="single" w:sz="6" w:space="0" w:color="000000"/>
              <w:bottom w:val="single" w:sz="6" w:space="0" w:color="000000"/>
              <w:right w:val="single" w:sz="8" w:space="0" w:color="000000"/>
            </w:tcBorders>
            <w:vAlign w:val="center"/>
          </w:tcPr>
          <w:p>
            <w:pPr>
              <w:pStyle w:val="Normal"/>
              <w:widowControl w:val="false"/>
              <w:spacing w:lineRule="auto" w:line="240" w:before="0" w:after="0"/>
              <w:ind w:firstLine="472"/>
              <w:jc w:val="both"/>
              <w:rPr>
                <w:rFonts w:ascii="Times New Roman" w:hAnsi="Times New Roman" w:cs="Times New Roman"/>
                <w:sz w:val="24"/>
                <w:szCs w:val="24"/>
              </w:rPr>
            </w:pPr>
            <w:r>
              <w:rPr>
                <w:rFonts w:cs="Times New Roman" w:ascii="Times New Roman" w:hAnsi="Times New Roman"/>
                <w:sz w:val="24"/>
                <w:szCs w:val="24"/>
              </w:rPr>
              <w:t>На территории заказника запрещена любая деятельность, угрожающая существованию популяций объектов животного мира, в том числе:</w:t>
            </w:r>
          </w:p>
          <w:p>
            <w:pPr>
              <w:pStyle w:val="Normal"/>
              <w:widowControl w:val="false"/>
              <w:spacing w:lineRule="auto" w:line="240" w:before="0" w:after="0"/>
              <w:ind w:firstLine="472"/>
              <w:jc w:val="both"/>
              <w:rPr>
                <w:rFonts w:ascii="Times New Roman" w:hAnsi="Times New Roman" w:cs="Times New Roman"/>
                <w:sz w:val="24"/>
                <w:szCs w:val="24"/>
              </w:rPr>
            </w:pPr>
            <w:r>
              <w:rPr>
                <w:rFonts w:cs="Times New Roman" w:ascii="Times New Roman" w:hAnsi="Times New Roman"/>
                <w:sz w:val="24"/>
                <w:szCs w:val="24"/>
              </w:rPr>
              <w:t>проезд и стоянка автомототранспорта вне дорог общего пользования;</w:t>
            </w:r>
          </w:p>
          <w:p>
            <w:pPr>
              <w:pStyle w:val="Normal"/>
              <w:widowControl w:val="false"/>
              <w:spacing w:lineRule="auto" w:line="240" w:before="0" w:after="0"/>
              <w:ind w:firstLine="472"/>
              <w:jc w:val="both"/>
              <w:rPr>
                <w:rFonts w:ascii="Times New Roman" w:hAnsi="Times New Roman" w:cs="Times New Roman"/>
                <w:sz w:val="24"/>
                <w:szCs w:val="24"/>
              </w:rPr>
            </w:pPr>
            <w:r>
              <w:rPr>
                <w:rFonts w:cs="Times New Roman" w:ascii="Times New Roman" w:hAnsi="Times New Roman"/>
                <w:sz w:val="24"/>
                <w:szCs w:val="24"/>
              </w:rPr>
              <w:t>устройство привалов, туристических стоянок, лагерей, разведение костров за границами населенных пунктов и за пределами специально предусмотренных для этого мест.</w:t>
            </w:r>
          </w:p>
          <w:p>
            <w:pPr>
              <w:pStyle w:val="Normal"/>
              <w:widowControl w:val="false"/>
              <w:spacing w:lineRule="auto" w:line="240" w:before="0" w:after="0"/>
              <w:ind w:firstLine="472"/>
              <w:jc w:val="both"/>
              <w:rPr>
                <w:rFonts w:ascii="Times New Roman" w:hAnsi="Times New Roman" w:cs="Times New Roman"/>
                <w:sz w:val="24"/>
                <w:szCs w:val="24"/>
              </w:rPr>
            </w:pPr>
            <w:r>
              <w:rPr>
                <w:rFonts w:cs="Times New Roman" w:ascii="Times New Roman" w:hAnsi="Times New Roman"/>
                <w:sz w:val="24"/>
                <w:szCs w:val="24"/>
              </w:rPr>
              <w:t>Проектная документация объектов, строительство и реконструкцию которых предполагается осуществлять на территории заказника, подлежит представлению на государственную экологическую экспертизу в установленном порядке.</w:t>
            </w:r>
          </w:p>
          <w:p>
            <w:pPr>
              <w:pStyle w:val="Normal"/>
              <w:widowControl w:val="false"/>
              <w:spacing w:lineRule="auto" w:line="240" w:before="0" w:after="0"/>
              <w:ind w:firstLine="472"/>
              <w:jc w:val="both"/>
              <w:rPr>
                <w:rFonts w:ascii="Times New Roman" w:hAnsi="Times New Roman" w:cs="Times New Roman"/>
                <w:sz w:val="24"/>
                <w:szCs w:val="24"/>
              </w:rPr>
            </w:pPr>
            <w:r>
              <w:rPr>
                <w:rFonts w:cs="Times New Roman" w:ascii="Times New Roman" w:hAnsi="Times New Roman"/>
                <w:sz w:val="24"/>
                <w:szCs w:val="24"/>
              </w:rPr>
              <w:t>На территории заказника запрещается без согласования с Комитетом сбор зоологических, ботанических и минералогических коллекций и палеонтологических объектов.</w:t>
            </w:r>
          </w:p>
          <w:p>
            <w:pPr>
              <w:pStyle w:val="Normal"/>
              <w:widowControl w:val="false"/>
              <w:spacing w:lineRule="auto" w:line="240" w:before="0" w:after="0"/>
              <w:ind w:firstLine="472"/>
              <w:jc w:val="both"/>
              <w:rPr>
                <w:rFonts w:ascii="Times New Roman" w:hAnsi="Times New Roman" w:cs="Times New Roman"/>
                <w:sz w:val="24"/>
                <w:szCs w:val="24"/>
              </w:rPr>
            </w:pPr>
            <w:r>
              <w:rPr>
                <w:rFonts w:cs="Times New Roman" w:ascii="Times New Roman" w:hAnsi="Times New Roman"/>
                <w:sz w:val="24"/>
                <w:szCs w:val="24"/>
              </w:rPr>
              <w:t>На территории заказника полностью запрещены:</w:t>
            </w:r>
          </w:p>
          <w:p>
            <w:pPr>
              <w:pStyle w:val="Normal"/>
              <w:widowControl w:val="false"/>
              <w:spacing w:lineRule="auto" w:line="240" w:before="0" w:after="0"/>
              <w:ind w:firstLine="472"/>
              <w:jc w:val="both"/>
              <w:rPr>
                <w:rFonts w:ascii="Times New Roman" w:hAnsi="Times New Roman" w:cs="Times New Roman"/>
                <w:sz w:val="24"/>
                <w:szCs w:val="24"/>
              </w:rPr>
            </w:pPr>
            <w:r>
              <w:rPr>
                <w:rFonts w:cs="Times New Roman" w:ascii="Times New Roman" w:hAnsi="Times New Roman"/>
                <w:sz w:val="24"/>
                <w:szCs w:val="24"/>
              </w:rPr>
              <w:t>промысловая охота;</w:t>
            </w:r>
          </w:p>
          <w:p>
            <w:pPr>
              <w:pStyle w:val="Normal"/>
              <w:widowControl w:val="false"/>
              <w:spacing w:lineRule="auto" w:line="240" w:before="0" w:after="0"/>
              <w:ind w:firstLine="472"/>
              <w:jc w:val="both"/>
              <w:rPr>
                <w:rFonts w:ascii="Times New Roman" w:hAnsi="Times New Roman" w:cs="Times New Roman"/>
                <w:sz w:val="24"/>
                <w:szCs w:val="24"/>
              </w:rPr>
            </w:pPr>
            <w:r>
              <w:rPr>
                <w:rFonts w:cs="Times New Roman" w:ascii="Times New Roman" w:hAnsi="Times New Roman"/>
                <w:sz w:val="24"/>
                <w:szCs w:val="24"/>
              </w:rPr>
              <w:t>любительская и спортивная охота на все виды охотничьих ресурсов, за исключением охотничьих ресурсов, добыча которых осуществляется в соответствии с лимитом их добычи;</w:t>
            </w:r>
          </w:p>
          <w:p>
            <w:pPr>
              <w:pStyle w:val="Normal"/>
              <w:widowControl w:val="false"/>
              <w:spacing w:lineRule="auto" w:line="240" w:before="0" w:after="0"/>
              <w:ind w:firstLine="472"/>
              <w:jc w:val="both"/>
              <w:rPr>
                <w:rFonts w:ascii="Times New Roman" w:hAnsi="Times New Roman" w:cs="Times New Roman"/>
                <w:sz w:val="24"/>
                <w:szCs w:val="24"/>
              </w:rPr>
            </w:pPr>
            <w:r>
              <w:rPr>
                <w:rFonts w:cs="Times New Roman" w:ascii="Times New Roman" w:hAnsi="Times New Roman"/>
                <w:sz w:val="24"/>
                <w:szCs w:val="24"/>
              </w:rPr>
              <w:t>выжигание растительности, хранение ядохимикатов, удобрений, химических реагентов и материалов, опасных для объектов животного мира и среды их обитания.</w:t>
            </w:r>
          </w:p>
          <w:p>
            <w:pPr>
              <w:pStyle w:val="Normal"/>
              <w:widowControl w:val="false"/>
              <w:spacing w:lineRule="auto" w:line="240" w:before="0" w:after="0"/>
              <w:ind w:firstLine="472"/>
              <w:jc w:val="both"/>
              <w:rPr>
                <w:rFonts w:ascii="Times New Roman" w:hAnsi="Times New Roman" w:cs="Times New Roman"/>
                <w:sz w:val="24"/>
                <w:szCs w:val="24"/>
              </w:rPr>
            </w:pPr>
            <w:r>
              <w:rPr>
                <w:rFonts w:cs="Times New Roman" w:ascii="Times New Roman" w:hAnsi="Times New Roman"/>
                <w:sz w:val="24"/>
                <w:szCs w:val="24"/>
              </w:rPr>
              <w:t>Собственники и арендаторы земельных участков, расположенных в границах заказника, а также иные юридические лица, индивидуальные предприниматели и граждане обязаны соблюдать установленный режим особой охраны заказника и несут за его нарушение административную, уголовную и иную ответственность в соответствии с законодательством Российской Федерации.</w:t>
            </w:r>
          </w:p>
          <w:p>
            <w:pPr>
              <w:pStyle w:val="Normal"/>
              <w:widowControl w:val="false"/>
              <w:spacing w:lineRule="auto" w:line="240" w:before="0" w:after="0"/>
              <w:ind w:firstLine="472"/>
              <w:jc w:val="both"/>
              <w:rPr>
                <w:rFonts w:ascii="Times New Roman" w:hAnsi="Times New Roman" w:cs="Times New Roman"/>
                <w:sz w:val="24"/>
                <w:szCs w:val="24"/>
              </w:rPr>
            </w:pPr>
            <w:r>
              <w:rPr>
                <w:rFonts w:cs="Times New Roman" w:ascii="Times New Roman" w:hAnsi="Times New Roman"/>
                <w:sz w:val="24"/>
                <w:szCs w:val="24"/>
              </w:rPr>
              <w:t>На территории заказника допускаются следующие виды деятельности:</w:t>
            </w:r>
          </w:p>
          <w:p>
            <w:pPr>
              <w:pStyle w:val="Normal"/>
              <w:widowControl w:val="false"/>
              <w:spacing w:lineRule="auto" w:line="240" w:before="0" w:after="0"/>
              <w:ind w:firstLine="472"/>
              <w:jc w:val="both"/>
              <w:rPr>
                <w:rFonts w:ascii="Times New Roman" w:hAnsi="Times New Roman" w:cs="Times New Roman"/>
                <w:sz w:val="24"/>
                <w:szCs w:val="24"/>
              </w:rPr>
            </w:pPr>
            <w:r>
              <w:rPr>
                <w:rFonts w:cs="Times New Roman" w:ascii="Times New Roman" w:hAnsi="Times New Roman"/>
                <w:sz w:val="24"/>
                <w:szCs w:val="24"/>
              </w:rPr>
              <w:t>любительское и спортивное рыболовство;</w:t>
            </w:r>
          </w:p>
          <w:p>
            <w:pPr>
              <w:pStyle w:val="Normal"/>
              <w:widowControl w:val="false"/>
              <w:spacing w:lineRule="auto" w:line="240" w:before="0" w:after="0"/>
              <w:ind w:firstLine="472"/>
              <w:jc w:val="both"/>
              <w:rPr>
                <w:rFonts w:ascii="Times New Roman" w:hAnsi="Times New Roman" w:cs="Times New Roman"/>
                <w:sz w:val="24"/>
                <w:szCs w:val="24"/>
              </w:rPr>
            </w:pPr>
            <w:r>
              <w:rPr>
                <w:rFonts w:cs="Times New Roman" w:ascii="Times New Roman" w:hAnsi="Times New Roman"/>
                <w:sz w:val="24"/>
                <w:szCs w:val="24"/>
              </w:rPr>
              <w:t>санитарная рубка в соответствии с результатами лесопатологических обследований;</w:t>
            </w:r>
          </w:p>
          <w:p>
            <w:pPr>
              <w:pStyle w:val="Normal"/>
              <w:widowControl w:val="false"/>
              <w:spacing w:lineRule="auto" w:line="240" w:before="0" w:after="0"/>
              <w:ind w:firstLine="472"/>
              <w:jc w:val="both"/>
              <w:rPr>
                <w:rFonts w:ascii="Times New Roman" w:hAnsi="Times New Roman" w:cs="Times New Roman"/>
                <w:sz w:val="24"/>
                <w:szCs w:val="24"/>
              </w:rPr>
            </w:pPr>
            <w:r>
              <w:rPr>
                <w:rFonts w:cs="Times New Roman" w:ascii="Times New Roman" w:hAnsi="Times New Roman"/>
                <w:sz w:val="24"/>
                <w:szCs w:val="24"/>
              </w:rPr>
              <w:t>сенокошение, выпас и водопой скота;</w:t>
            </w:r>
          </w:p>
          <w:p>
            <w:pPr>
              <w:pStyle w:val="Normal"/>
              <w:widowControl w:val="false"/>
              <w:spacing w:lineRule="auto" w:line="240" w:before="0" w:after="0"/>
              <w:ind w:firstLine="472"/>
              <w:jc w:val="both"/>
              <w:rPr>
                <w:rFonts w:ascii="Times New Roman" w:hAnsi="Times New Roman" w:cs="Times New Roman"/>
                <w:sz w:val="24"/>
                <w:szCs w:val="24"/>
              </w:rPr>
            </w:pPr>
            <w:r>
              <w:rPr>
                <w:rFonts w:cs="Times New Roman" w:ascii="Times New Roman" w:hAnsi="Times New Roman"/>
                <w:sz w:val="24"/>
                <w:szCs w:val="24"/>
              </w:rPr>
              <w:t>размещение ульев и пасек на землях лесного фонда в форме временных построек и на землях иных категорий в соответствии с законодательством Российской Федерации;</w:t>
            </w:r>
          </w:p>
          <w:p>
            <w:pPr>
              <w:pStyle w:val="Normal"/>
              <w:widowControl w:val="false"/>
              <w:spacing w:lineRule="auto" w:line="240" w:before="0" w:after="0"/>
              <w:ind w:firstLine="472"/>
              <w:jc w:val="both"/>
              <w:rPr>
                <w:rFonts w:ascii="Times New Roman" w:hAnsi="Times New Roman" w:cs="Times New Roman"/>
                <w:sz w:val="24"/>
                <w:szCs w:val="24"/>
              </w:rPr>
            </w:pPr>
            <w:r>
              <w:rPr>
                <w:rFonts w:cs="Times New Roman" w:ascii="Times New Roman" w:hAnsi="Times New Roman"/>
                <w:sz w:val="24"/>
                <w:szCs w:val="24"/>
              </w:rPr>
              <w:t>пользование земельными и лесными участками в соответствии с условиями, установленными договорами пользования.</w:t>
            </w:r>
          </w:p>
          <w:p>
            <w:pPr>
              <w:pStyle w:val="Normal"/>
              <w:widowControl w:val="false"/>
              <w:spacing w:lineRule="auto" w:line="240" w:before="0" w:after="0"/>
              <w:ind w:firstLine="472"/>
              <w:jc w:val="both"/>
              <w:rPr>
                <w:rFonts w:ascii="Times New Roman" w:hAnsi="Times New Roman" w:cs="Times New Roman"/>
                <w:sz w:val="24"/>
                <w:szCs w:val="24"/>
              </w:rPr>
            </w:pPr>
            <w:r>
              <w:rPr>
                <w:rFonts w:cs="Times New Roman" w:ascii="Times New Roman" w:hAnsi="Times New Roman"/>
                <w:sz w:val="24"/>
                <w:szCs w:val="24"/>
              </w:rPr>
              <w:t>Добыча охотничьих ресурсов в целях регулирования их численности, осуществления научно-исследовательской, образовательной деятельности, акклиматизации, переселения и гибридизации, содержания и разведения в полувольных условиях или искусственно созданной среде обитания, а также добыча объектов животного мира, не отнесенных к охотничьим ресурсам, осуществляются в соответствии с законодательством Российской Федерации.</w:t>
            </w:r>
          </w:p>
          <w:p>
            <w:pPr>
              <w:pStyle w:val="Normal"/>
              <w:widowControl w:val="false"/>
              <w:spacing w:lineRule="auto" w:line="240" w:before="0" w:after="0"/>
              <w:ind w:firstLine="472"/>
              <w:jc w:val="both"/>
              <w:rPr>
                <w:rFonts w:ascii="Times New Roman" w:hAnsi="Times New Roman" w:cs="Times New Roman"/>
                <w:sz w:val="24"/>
                <w:szCs w:val="24"/>
              </w:rPr>
            </w:pPr>
            <w:r>
              <w:rPr>
                <w:rFonts w:cs="Times New Roman" w:ascii="Times New Roman" w:hAnsi="Times New Roman"/>
                <w:sz w:val="24"/>
                <w:szCs w:val="24"/>
              </w:rPr>
              <w:t>Граждане имеют право находиться на территории заказника, собирать для собственных нужд дикорастущие плоды, ягоды, грибы, другие пищевые лесные ресурсы, лекарственные растения.</w:t>
            </w:r>
          </w:p>
          <w:p>
            <w:pPr>
              <w:pStyle w:val="Normal"/>
              <w:widowControl w:val="false"/>
              <w:spacing w:lineRule="auto" w:line="240" w:before="0" w:after="0"/>
              <w:ind w:firstLine="472"/>
              <w:jc w:val="both"/>
              <w:rPr>
                <w:rFonts w:ascii="Times New Roman" w:hAnsi="Times New Roman" w:cs="Times New Roman"/>
                <w:sz w:val="24"/>
                <w:szCs w:val="24"/>
              </w:rPr>
            </w:pPr>
            <w:r>
              <w:rPr>
                <w:rFonts w:cs="Times New Roman" w:ascii="Times New Roman" w:hAnsi="Times New Roman"/>
                <w:sz w:val="24"/>
                <w:szCs w:val="24"/>
              </w:rPr>
              <w:t>Режим заказника учитывается при разработке районных схем земле- и лесоустройства.</w:t>
            </w:r>
          </w:p>
        </w:tc>
        <w:tc>
          <w:tcPr>
            <w:tcW w:w="3083" w:type="dxa"/>
            <w:tcBorders>
              <w:top w:val="single" w:sz="6" w:space="0" w:color="000000"/>
              <w:left w:val="single" w:sz="6" w:space="0" w:color="000000"/>
              <w:bottom w:val="single" w:sz="6" w:space="0" w:color="000000"/>
              <w:right w:val="single" w:sz="8"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Постановление КМ РТ от 04.05.2013 №300 (с изменениями и дополнениями)</w:t>
            </w:r>
          </w:p>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540"/>
              <w:jc w:val="center"/>
              <w:rPr>
                <w:rFonts w:ascii="Times New Roman" w:hAnsi="Times New Roman" w:cs="Times New Roman"/>
                <w:sz w:val="24"/>
                <w:szCs w:val="24"/>
              </w:rPr>
            </w:pPr>
            <w:r>
              <w:rPr>
                <w:rFonts w:cs="Times New Roman" w:ascii="Times New Roman" w:hAnsi="Times New Roman"/>
                <w:sz w:val="24"/>
                <w:szCs w:val="24"/>
              </w:rPr>
            </w:r>
          </w:p>
        </w:tc>
      </w:tr>
      <w:tr>
        <w:trPr>
          <w:trHeight w:val="57" w:hRule="atLeast"/>
        </w:trPr>
        <w:tc>
          <w:tcPr>
            <w:tcW w:w="1081" w:type="dxa"/>
            <w:tcBorders>
              <w:top w:val="single" w:sz="6" w:space="0" w:color="000000"/>
              <w:left w:val="single" w:sz="8" w:space="0" w:color="000000"/>
              <w:bottom w:val="single" w:sz="6" w:space="0" w:color="000000"/>
              <w:right w:val="single" w:sz="8"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2519" w:type="dxa"/>
            <w:tcBorders>
              <w:top w:val="single" w:sz="6" w:space="0" w:color="000000"/>
              <w:left w:val="single" w:sz="6" w:space="0" w:color="000000"/>
              <w:bottom w:val="single" w:sz="6" w:space="0" w:color="000000"/>
              <w:right w:val="single" w:sz="8" w:space="0" w:color="000000"/>
            </w:tcBorders>
            <w:vAlign w:val="center"/>
          </w:tcPr>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Памятник природы регионального значения «Ташевские склоны»</w:t>
            </w:r>
          </w:p>
        </w:tc>
        <w:tc>
          <w:tcPr>
            <w:tcW w:w="8169" w:type="dxa"/>
            <w:tcBorders>
              <w:top w:val="single" w:sz="6" w:space="0" w:color="000000"/>
              <w:left w:val="single" w:sz="6" w:space="0" w:color="000000"/>
              <w:bottom w:val="single" w:sz="6" w:space="0" w:color="000000"/>
              <w:right w:val="single" w:sz="8" w:space="0" w:color="000000"/>
            </w:tcBorders>
            <w:vAlign w:val="center"/>
          </w:tcPr>
          <w:p>
            <w:pPr>
              <w:pStyle w:val="ConsPlusNormal"/>
              <w:widowControl w:val="false"/>
              <w:ind w:firstLine="540"/>
              <w:jc w:val="both"/>
              <w:rPr>
                <w:rFonts w:ascii="Times New Roman" w:hAnsi="Times New Roman" w:eastAsia="Calibri" w:cs="Times New Roman" w:eastAsiaTheme="minorHAnsi"/>
                <w:sz w:val="24"/>
                <w:szCs w:val="24"/>
                <w:lang w:eastAsia="en-US"/>
              </w:rPr>
            </w:pPr>
            <w:r>
              <w:rPr>
                <w:rFonts w:eastAsia="Calibri" w:cs="Times New Roman" w:ascii="Times New Roman" w:hAnsi="Times New Roman" w:eastAsiaTheme="minorHAnsi"/>
                <w:sz w:val="24"/>
                <w:szCs w:val="24"/>
                <w:lang w:eastAsia="en-US"/>
              </w:rPr>
              <w:t>В границах памятника природы регионального значения "Ташевские склоны" запрещается всякая деятельность, влекущая за собой нарушение его сохранности, в том числе:</w:t>
            </w:r>
          </w:p>
          <w:p>
            <w:pPr>
              <w:pStyle w:val="ConsPlusNormal"/>
              <w:widowControl w:val="false"/>
              <w:ind w:firstLine="540"/>
              <w:jc w:val="both"/>
              <w:rPr>
                <w:rFonts w:ascii="Times New Roman" w:hAnsi="Times New Roman" w:eastAsia="Calibri" w:cs="Times New Roman" w:eastAsiaTheme="minorHAnsi"/>
                <w:sz w:val="24"/>
                <w:szCs w:val="24"/>
                <w:lang w:eastAsia="en-US"/>
              </w:rPr>
            </w:pPr>
            <w:r>
              <w:rPr>
                <w:rFonts w:eastAsia="Calibri" w:cs="Times New Roman" w:ascii="Times New Roman" w:hAnsi="Times New Roman" w:eastAsiaTheme="minorHAnsi"/>
                <w:sz w:val="24"/>
                <w:szCs w:val="24"/>
                <w:lang w:eastAsia="en-US"/>
              </w:rPr>
              <w:t>распашка земель;</w:t>
            </w:r>
          </w:p>
          <w:p>
            <w:pPr>
              <w:pStyle w:val="ConsPlusNormal"/>
              <w:widowControl w:val="false"/>
              <w:ind w:firstLine="540"/>
              <w:jc w:val="both"/>
              <w:rPr>
                <w:rFonts w:ascii="Times New Roman" w:hAnsi="Times New Roman" w:eastAsia="Calibri" w:cs="Times New Roman" w:eastAsiaTheme="minorHAnsi"/>
                <w:sz w:val="24"/>
                <w:szCs w:val="24"/>
                <w:lang w:eastAsia="en-US"/>
              </w:rPr>
            </w:pPr>
            <w:r>
              <w:rPr>
                <w:rFonts w:eastAsia="Calibri" w:cs="Times New Roman" w:ascii="Times New Roman" w:hAnsi="Times New Roman" w:eastAsiaTheme="minorHAnsi"/>
                <w:sz w:val="24"/>
                <w:szCs w:val="24"/>
                <w:lang w:eastAsia="en-US"/>
              </w:rPr>
              <w:t>выпас сельскохозяйственных животных и сенокошение с начала вегетационного периода до 15 июля;</w:t>
            </w:r>
          </w:p>
          <w:p>
            <w:pPr>
              <w:pStyle w:val="ConsPlusNormal"/>
              <w:widowControl w:val="false"/>
              <w:ind w:firstLine="540"/>
              <w:jc w:val="both"/>
              <w:rPr>
                <w:rFonts w:ascii="Times New Roman" w:hAnsi="Times New Roman" w:eastAsia="Calibri" w:cs="Times New Roman" w:eastAsiaTheme="minorHAnsi"/>
                <w:sz w:val="24"/>
                <w:szCs w:val="24"/>
                <w:lang w:eastAsia="en-US"/>
              </w:rPr>
            </w:pPr>
            <w:r>
              <w:rPr>
                <w:rFonts w:eastAsia="Calibri" w:cs="Times New Roman" w:ascii="Times New Roman" w:hAnsi="Times New Roman" w:eastAsiaTheme="minorHAnsi"/>
                <w:sz w:val="24"/>
                <w:szCs w:val="24"/>
                <w:lang w:eastAsia="en-US"/>
              </w:rPr>
              <w:t>проведение гидромелиоративных и ирригационных работ;</w:t>
            </w:r>
          </w:p>
          <w:p>
            <w:pPr>
              <w:pStyle w:val="ConsPlusNormal"/>
              <w:widowControl w:val="false"/>
              <w:ind w:firstLine="540"/>
              <w:jc w:val="both"/>
              <w:rPr>
                <w:rFonts w:ascii="Times New Roman" w:hAnsi="Times New Roman" w:eastAsia="Calibri" w:cs="Times New Roman" w:eastAsiaTheme="minorHAnsi"/>
                <w:sz w:val="24"/>
                <w:szCs w:val="24"/>
                <w:lang w:eastAsia="en-US"/>
              </w:rPr>
            </w:pPr>
            <w:r>
              <w:rPr>
                <w:rFonts w:eastAsia="Calibri" w:cs="Times New Roman" w:ascii="Times New Roman" w:hAnsi="Times New Roman" w:eastAsiaTheme="minorHAnsi"/>
                <w:sz w:val="24"/>
                <w:szCs w:val="24"/>
                <w:lang w:eastAsia="en-US"/>
              </w:rPr>
              <w:t>отвод земель под индивидуальное жилищное строительство, садово-огородные, дачные участки, объекты производственного и сельскохозяйственного назначения, базы отдыха;</w:t>
            </w:r>
          </w:p>
          <w:p>
            <w:pPr>
              <w:pStyle w:val="ConsPlusNormal"/>
              <w:widowControl w:val="false"/>
              <w:ind w:firstLine="540"/>
              <w:jc w:val="both"/>
              <w:rPr>
                <w:rFonts w:ascii="Times New Roman" w:hAnsi="Times New Roman" w:eastAsia="Calibri" w:cs="Times New Roman" w:eastAsiaTheme="minorHAnsi"/>
                <w:sz w:val="24"/>
                <w:szCs w:val="24"/>
                <w:lang w:eastAsia="en-US"/>
              </w:rPr>
            </w:pPr>
            <w:r>
              <w:rPr>
                <w:rFonts w:eastAsia="Calibri" w:cs="Times New Roman" w:ascii="Times New Roman" w:hAnsi="Times New Roman" w:eastAsiaTheme="minorHAnsi"/>
                <w:sz w:val="24"/>
                <w:szCs w:val="24"/>
                <w:lang w:eastAsia="en-US"/>
              </w:rPr>
              <w:t>строительство хозяйственных, промышленных и коммунальных объектов;</w:t>
            </w:r>
          </w:p>
          <w:p>
            <w:pPr>
              <w:pStyle w:val="ConsPlusNormal"/>
              <w:widowControl w:val="false"/>
              <w:ind w:firstLine="540"/>
              <w:jc w:val="both"/>
              <w:rPr>
                <w:rFonts w:ascii="Times New Roman" w:hAnsi="Times New Roman" w:eastAsia="Calibri" w:cs="Times New Roman" w:eastAsiaTheme="minorHAnsi"/>
                <w:sz w:val="24"/>
                <w:szCs w:val="24"/>
                <w:lang w:eastAsia="en-US"/>
              </w:rPr>
            </w:pPr>
            <w:r>
              <w:rPr>
                <w:rFonts w:eastAsia="Calibri" w:cs="Times New Roman" w:ascii="Times New Roman" w:hAnsi="Times New Roman" w:eastAsiaTheme="minorHAnsi"/>
                <w:sz w:val="24"/>
                <w:szCs w:val="24"/>
                <w:lang w:eastAsia="en-US"/>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w:t>
            </w:r>
          </w:p>
          <w:p>
            <w:pPr>
              <w:pStyle w:val="ConsPlusNormal"/>
              <w:widowControl w:val="false"/>
              <w:ind w:firstLine="540"/>
              <w:jc w:val="both"/>
              <w:rPr>
                <w:rFonts w:ascii="Times New Roman" w:hAnsi="Times New Roman" w:eastAsia="Calibri" w:cs="Times New Roman" w:eastAsiaTheme="minorHAnsi"/>
                <w:sz w:val="24"/>
                <w:szCs w:val="24"/>
                <w:lang w:eastAsia="en-US"/>
              </w:rPr>
            </w:pPr>
            <w:r>
              <w:rPr>
                <w:rFonts w:eastAsia="Calibri" w:cs="Times New Roman" w:ascii="Times New Roman" w:hAnsi="Times New Roman" w:eastAsiaTheme="minorHAnsi"/>
                <w:sz w:val="24"/>
                <w:szCs w:val="24"/>
                <w:lang w:eastAsia="en-US"/>
              </w:rPr>
              <w:t>осуществление геологоразведочных работ, разработка полезных ископаемых, нарушение почвенного покрова;</w:t>
            </w:r>
          </w:p>
          <w:p>
            <w:pPr>
              <w:pStyle w:val="ConsPlusNormal"/>
              <w:widowControl w:val="false"/>
              <w:ind w:firstLine="540"/>
              <w:jc w:val="both"/>
              <w:rPr>
                <w:rFonts w:ascii="Times New Roman" w:hAnsi="Times New Roman" w:eastAsia="Calibri" w:cs="Times New Roman" w:eastAsiaTheme="minorHAnsi"/>
                <w:sz w:val="24"/>
                <w:szCs w:val="24"/>
                <w:lang w:eastAsia="en-US"/>
              </w:rPr>
            </w:pPr>
            <w:r>
              <w:rPr>
                <w:rFonts w:eastAsia="Calibri" w:cs="Times New Roman" w:ascii="Times New Roman" w:hAnsi="Times New Roman" w:eastAsiaTheme="minorHAnsi"/>
                <w:sz w:val="24"/>
                <w:szCs w:val="24"/>
                <w:lang w:eastAsia="en-US"/>
              </w:rPr>
              <w:t>строительство дорог, трубопроводов, линий электропередач и других коммуникаций;</w:t>
            </w:r>
          </w:p>
          <w:p>
            <w:pPr>
              <w:pStyle w:val="ConsPlusNormal"/>
              <w:widowControl w:val="false"/>
              <w:ind w:firstLine="540"/>
              <w:jc w:val="both"/>
              <w:rPr>
                <w:rFonts w:ascii="Times New Roman" w:hAnsi="Times New Roman" w:eastAsia="Calibri" w:cs="Times New Roman" w:eastAsiaTheme="minorHAnsi"/>
                <w:sz w:val="24"/>
                <w:szCs w:val="24"/>
                <w:lang w:eastAsia="en-US"/>
              </w:rPr>
            </w:pPr>
            <w:r>
              <w:rPr>
                <w:rFonts w:eastAsia="Calibri" w:cs="Times New Roman" w:ascii="Times New Roman" w:hAnsi="Times New Roman" w:eastAsiaTheme="minorHAnsi"/>
                <w:sz w:val="24"/>
                <w:szCs w:val="24"/>
                <w:lang w:eastAsia="en-US"/>
              </w:rPr>
              <w:t>действия, изменяющие гидрологический режим, эксплуатация водных ресурсов, если они наносят вред природным комплексам памятника природы;</w:t>
            </w:r>
          </w:p>
          <w:p>
            <w:pPr>
              <w:pStyle w:val="ConsPlusNormal"/>
              <w:widowControl w:val="false"/>
              <w:ind w:firstLine="540"/>
              <w:jc w:val="both"/>
              <w:rPr>
                <w:rFonts w:ascii="Times New Roman" w:hAnsi="Times New Roman" w:eastAsia="Calibri" w:cs="Times New Roman" w:eastAsiaTheme="minorHAnsi"/>
                <w:sz w:val="24"/>
                <w:szCs w:val="24"/>
                <w:lang w:eastAsia="en-US"/>
              </w:rPr>
            </w:pPr>
            <w:r>
              <w:rPr>
                <w:rFonts w:eastAsia="Calibri" w:cs="Times New Roman" w:ascii="Times New Roman" w:hAnsi="Times New Roman" w:eastAsiaTheme="minorHAnsi"/>
                <w:sz w:val="24"/>
                <w:szCs w:val="24"/>
                <w:lang w:eastAsia="en-US"/>
              </w:rPr>
              <w:t>вырубка деревьев и кустарников;</w:t>
            </w:r>
          </w:p>
          <w:p>
            <w:pPr>
              <w:pStyle w:val="ConsPlusNormal"/>
              <w:widowControl w:val="false"/>
              <w:ind w:firstLine="540"/>
              <w:jc w:val="both"/>
              <w:rPr>
                <w:rFonts w:ascii="Times New Roman" w:hAnsi="Times New Roman" w:eastAsia="Calibri" w:cs="Times New Roman" w:eastAsiaTheme="minorHAnsi"/>
                <w:sz w:val="24"/>
                <w:szCs w:val="24"/>
                <w:lang w:eastAsia="en-US"/>
              </w:rPr>
            </w:pPr>
            <w:r>
              <w:rPr>
                <w:rFonts w:eastAsia="Calibri" w:cs="Times New Roman" w:ascii="Times New Roman" w:hAnsi="Times New Roman" w:eastAsiaTheme="minorHAnsi"/>
                <w:sz w:val="24"/>
                <w:szCs w:val="24"/>
                <w:lang w:eastAsia="en-US"/>
              </w:rPr>
              <w:t>хранение и применение ядохимикатов, минеральных удобрений, химических средств защиты растений и стимуляторов роста, а также размещение и складирование ядохимикатов, минеральных удобрений, навоза и горюче-смазочных материалов;</w:t>
            </w:r>
          </w:p>
          <w:p>
            <w:pPr>
              <w:pStyle w:val="ConsPlusNormal"/>
              <w:widowControl w:val="false"/>
              <w:ind w:firstLine="540"/>
              <w:jc w:val="both"/>
              <w:rPr>
                <w:rFonts w:ascii="Times New Roman" w:hAnsi="Times New Roman" w:eastAsia="Calibri" w:cs="Times New Roman" w:eastAsiaTheme="minorHAnsi"/>
                <w:sz w:val="24"/>
                <w:szCs w:val="24"/>
                <w:lang w:eastAsia="en-US"/>
              </w:rPr>
            </w:pPr>
            <w:r>
              <w:rPr>
                <w:rFonts w:eastAsia="Calibri" w:cs="Times New Roman" w:ascii="Times New Roman" w:hAnsi="Times New Roman" w:eastAsiaTheme="minorHAnsi"/>
                <w:sz w:val="24"/>
                <w:szCs w:val="24"/>
                <w:lang w:eastAsia="en-US"/>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pPr>
              <w:pStyle w:val="ConsPlusNormal"/>
              <w:widowControl w:val="false"/>
              <w:ind w:firstLine="540"/>
              <w:jc w:val="both"/>
              <w:rPr>
                <w:rFonts w:ascii="Times New Roman" w:hAnsi="Times New Roman" w:eastAsia="Calibri" w:cs="Times New Roman" w:eastAsiaTheme="minorHAnsi"/>
                <w:sz w:val="24"/>
                <w:szCs w:val="24"/>
                <w:lang w:eastAsia="en-US"/>
              </w:rPr>
            </w:pPr>
            <w:r>
              <w:rPr>
                <w:rFonts w:eastAsia="Calibri" w:cs="Times New Roman" w:ascii="Times New Roman" w:hAnsi="Times New Roman" w:eastAsiaTheme="minorHAnsi"/>
                <w:sz w:val="24"/>
                <w:szCs w:val="24"/>
                <w:lang w:eastAsia="en-US"/>
              </w:rPr>
              <w:t>осуществление авиационных мер по борьбе с вредителями и болезнями растений;</w:t>
            </w:r>
          </w:p>
          <w:p>
            <w:pPr>
              <w:pStyle w:val="ConsPlusNormal"/>
              <w:widowControl w:val="false"/>
              <w:ind w:firstLine="540"/>
              <w:jc w:val="both"/>
              <w:rPr>
                <w:rFonts w:ascii="Times New Roman" w:hAnsi="Times New Roman" w:eastAsia="Calibri" w:cs="Times New Roman" w:eastAsiaTheme="minorHAnsi"/>
                <w:sz w:val="24"/>
                <w:szCs w:val="24"/>
                <w:lang w:eastAsia="en-US"/>
              </w:rPr>
            </w:pPr>
            <w:r>
              <w:rPr>
                <w:rFonts w:eastAsia="Calibri" w:cs="Times New Roman" w:ascii="Times New Roman" w:hAnsi="Times New Roman" w:eastAsiaTheme="minorHAnsi"/>
                <w:sz w:val="24"/>
                <w:szCs w:val="24"/>
                <w:lang w:eastAsia="en-US"/>
              </w:rPr>
              <w:t>заготовка лекарственных растений (за исключением заготовки гражданами для собственных нужд);</w:t>
            </w:r>
          </w:p>
          <w:p>
            <w:pPr>
              <w:pStyle w:val="ConsPlusNormal"/>
              <w:widowControl w:val="false"/>
              <w:ind w:firstLine="540"/>
              <w:jc w:val="both"/>
              <w:rPr>
                <w:rFonts w:ascii="Times New Roman" w:hAnsi="Times New Roman" w:eastAsia="Calibri" w:cs="Times New Roman" w:eastAsiaTheme="minorHAnsi"/>
                <w:sz w:val="24"/>
                <w:szCs w:val="24"/>
                <w:lang w:eastAsia="en-US"/>
              </w:rPr>
            </w:pPr>
            <w:r>
              <w:rPr>
                <w:rFonts w:eastAsia="Calibri" w:cs="Times New Roman" w:ascii="Times New Roman" w:hAnsi="Times New Roman" w:eastAsiaTheme="minorHAnsi"/>
                <w:sz w:val="24"/>
                <w:szCs w:val="24"/>
                <w:lang w:eastAsia="en-US"/>
              </w:rPr>
              <w:t>сбор дикорастущих декоративных растений для целей реализации;</w:t>
            </w:r>
          </w:p>
          <w:p>
            <w:pPr>
              <w:pStyle w:val="ConsPlusNormal"/>
              <w:widowControl w:val="false"/>
              <w:ind w:firstLine="540"/>
              <w:jc w:val="both"/>
              <w:rPr>
                <w:rFonts w:ascii="Times New Roman" w:hAnsi="Times New Roman" w:eastAsia="Calibri" w:cs="Times New Roman" w:eastAsiaTheme="minorHAnsi"/>
                <w:sz w:val="24"/>
                <w:szCs w:val="24"/>
                <w:lang w:eastAsia="en-US"/>
              </w:rPr>
            </w:pPr>
            <w:r>
              <w:rPr>
                <w:rFonts w:eastAsia="Calibri" w:cs="Times New Roman" w:ascii="Times New Roman" w:hAnsi="Times New Roman" w:eastAsiaTheme="minorHAnsi"/>
                <w:sz w:val="24"/>
                <w:szCs w:val="24"/>
                <w:lang w:eastAsia="en-US"/>
              </w:rPr>
              <w:t>организация свалок мусора и бытовых отходов;</w:t>
            </w:r>
          </w:p>
          <w:p>
            <w:pPr>
              <w:pStyle w:val="ConsPlusNormal"/>
              <w:widowControl w:val="false"/>
              <w:ind w:firstLine="540"/>
              <w:jc w:val="both"/>
              <w:rPr>
                <w:rFonts w:ascii="Times New Roman" w:hAnsi="Times New Roman" w:eastAsia="Calibri" w:cs="Times New Roman" w:eastAsiaTheme="minorHAnsi"/>
                <w:sz w:val="24"/>
                <w:szCs w:val="24"/>
                <w:lang w:eastAsia="en-US"/>
              </w:rPr>
            </w:pPr>
            <w:r>
              <w:rPr>
                <w:rFonts w:eastAsia="Calibri" w:cs="Times New Roman" w:ascii="Times New Roman" w:hAnsi="Times New Roman" w:eastAsiaTheme="minorHAnsi"/>
                <w:sz w:val="24"/>
                <w:szCs w:val="24"/>
                <w:lang w:eastAsia="en-US"/>
              </w:rPr>
              <w:t>мойка автомобилей и сельскохозяйственной техники;</w:t>
            </w:r>
          </w:p>
          <w:p>
            <w:pPr>
              <w:pStyle w:val="ConsPlusNormal"/>
              <w:widowControl w:val="false"/>
              <w:ind w:firstLine="540"/>
              <w:jc w:val="both"/>
              <w:rPr>
                <w:rFonts w:ascii="Times New Roman" w:hAnsi="Times New Roman" w:eastAsia="Calibri" w:cs="Times New Roman" w:eastAsiaTheme="minorHAnsi"/>
                <w:sz w:val="24"/>
                <w:szCs w:val="24"/>
                <w:lang w:eastAsia="en-US"/>
              </w:rPr>
            </w:pPr>
            <w:r>
              <w:rPr>
                <w:rFonts w:eastAsia="Calibri" w:cs="Times New Roman" w:ascii="Times New Roman" w:hAnsi="Times New Roman" w:eastAsiaTheme="minorHAnsi"/>
                <w:sz w:val="24"/>
                <w:szCs w:val="24"/>
                <w:lang w:eastAsia="en-US"/>
              </w:rPr>
              <w:t>выжигание растительности;</w:t>
            </w:r>
          </w:p>
          <w:p>
            <w:pPr>
              <w:pStyle w:val="ConsPlusNormal"/>
              <w:widowControl w:val="false"/>
              <w:ind w:firstLine="540"/>
              <w:jc w:val="both"/>
              <w:rPr>
                <w:rFonts w:ascii="Times New Roman" w:hAnsi="Times New Roman" w:eastAsia="Calibri" w:cs="Times New Roman" w:eastAsiaTheme="minorHAnsi"/>
                <w:sz w:val="24"/>
                <w:szCs w:val="24"/>
                <w:lang w:eastAsia="en-US"/>
              </w:rPr>
            </w:pPr>
            <w:r>
              <w:rPr>
                <w:rFonts w:eastAsia="Calibri" w:cs="Times New Roman" w:ascii="Times New Roman" w:hAnsi="Times New Roman" w:eastAsiaTheme="minorHAnsi"/>
                <w:sz w:val="24"/>
                <w:szCs w:val="24"/>
                <w:lang w:eastAsia="en-US"/>
              </w:rPr>
              <w:t>уничтожение и повреждение аншлагов, шлагбаумов и других информационных знаков;</w:t>
            </w:r>
          </w:p>
          <w:p>
            <w:pPr>
              <w:pStyle w:val="ConsPlusNormal"/>
              <w:widowControl w:val="false"/>
              <w:ind w:firstLine="540"/>
              <w:jc w:val="both"/>
              <w:rPr>
                <w:rFonts w:ascii="Times New Roman" w:hAnsi="Times New Roman" w:eastAsia="Calibri" w:cs="Times New Roman" w:eastAsiaTheme="minorHAnsi"/>
                <w:sz w:val="24"/>
                <w:szCs w:val="24"/>
                <w:lang w:eastAsia="en-US"/>
              </w:rPr>
            </w:pPr>
            <w:r>
              <w:rPr>
                <w:rFonts w:eastAsia="Calibri" w:cs="Times New Roman" w:ascii="Times New Roman" w:hAnsi="Times New Roman" w:eastAsiaTheme="minorHAnsi"/>
                <w:sz w:val="24"/>
                <w:szCs w:val="24"/>
                <w:lang w:eastAsia="en-US"/>
              </w:rPr>
              <w:t>сбор зоологических, ботанических и минералогических коллекций, а также палеонтологических объектов без согласования с Государственным комитетом Республики Татарстан по биологическим ресурсам;</w:t>
            </w:r>
          </w:p>
          <w:p>
            <w:pPr>
              <w:pStyle w:val="ConsPlusNormal"/>
              <w:widowControl w:val="false"/>
              <w:ind w:firstLine="540"/>
              <w:jc w:val="both"/>
              <w:rPr>
                <w:rFonts w:ascii="Times New Roman" w:hAnsi="Times New Roman" w:cs="Times New Roman"/>
                <w:sz w:val="24"/>
                <w:szCs w:val="24"/>
              </w:rPr>
            </w:pPr>
            <w:r>
              <w:rPr>
                <w:rFonts w:eastAsia="Calibri" w:cs="Times New Roman" w:ascii="Times New Roman" w:hAnsi="Times New Roman" w:eastAsiaTheme="minorHAnsi"/>
                <w:sz w:val="24"/>
                <w:szCs w:val="24"/>
                <w:lang w:eastAsia="en-US"/>
              </w:rPr>
              <w:t>иные виды деятельности, препятствующие сохранению памятника природы.</w:t>
            </w:r>
          </w:p>
        </w:tc>
        <w:tc>
          <w:tcPr>
            <w:tcW w:w="3083" w:type="dxa"/>
            <w:tcBorders>
              <w:top w:val="single" w:sz="6" w:space="0" w:color="000000"/>
              <w:left w:val="single" w:sz="6" w:space="0" w:color="000000"/>
              <w:bottom w:val="single" w:sz="6" w:space="0" w:color="000000"/>
              <w:right w:val="single" w:sz="8"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Постановление КМ РТ от 02.02.2009 № 60</w:t>
            </w:r>
          </w:p>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 изменениями и дополнениями)</w:t>
            </w:r>
          </w:p>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bl>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widowControl w:val="false"/>
        <w:numPr>
          <w:ilvl w:val="0"/>
          <w:numId w:val="0"/>
        </w:numPr>
        <w:suppressAutoHyphens w:val="true"/>
        <w:spacing w:lineRule="auto" w:line="240"/>
        <w:ind w:left="360" w:hanging="0"/>
        <w:jc w:val="center"/>
        <w:outlineLvl w:val="0"/>
        <w:rPr>
          <w:rFonts w:ascii="Times New Roman" w:hAnsi="Times New Roman" w:eastAsia="" w:cs="Times New Roman" w:eastAsiaTheme="majorEastAsia"/>
          <w:b/>
          <w:sz w:val="28"/>
          <w:szCs w:val="28"/>
          <w:lang w:eastAsia="ru-RU"/>
        </w:rPr>
      </w:pPr>
      <w:bookmarkStart w:id="146" w:name="_Toc147740057"/>
      <w:r>
        <w:rPr>
          <w:rFonts w:cs="Times New Roman" w:ascii="Times New Roman" w:hAnsi="Times New Roman"/>
          <w:b/>
          <w:sz w:val="28"/>
          <w:szCs w:val="28"/>
        </w:rPr>
        <w:t>5.2</w:t>
      </w:r>
      <w:r>
        <w:rPr>
          <w:rFonts w:eastAsia="" w:cs="Times New Roman" w:ascii="Times New Roman" w:hAnsi="Times New Roman" w:eastAsiaTheme="majorEastAsia"/>
          <w:b/>
          <w:sz w:val="28"/>
          <w:szCs w:val="28"/>
          <w:lang w:eastAsia="ru-RU"/>
        </w:rPr>
        <w:t xml:space="preserve"> Особо охраняемые территории и объекты</w:t>
      </w:r>
      <w:bookmarkEnd w:id="146"/>
    </w:p>
    <w:p>
      <w:pPr>
        <w:pStyle w:val="Style38"/>
        <w:spacing w:before="0" w:after="0"/>
        <w:ind w:firstLine="709"/>
        <w:contextualSpacing/>
        <w:rPr>
          <w:szCs w:val="28"/>
        </w:rPr>
      </w:pPr>
      <w:r>
        <w:rPr>
          <w:szCs w:val="28"/>
        </w:rPr>
        <w:t xml:space="preserve">На территории Верхнеуслонского района, в том числе Вахитовского сельского поселения реализуется проект «Волжская тропа», представляющий собой новый проект создания протяженной пешеходной туристической тропы, расположенной в Республике Татарстан. Маршрут тропы протянулся вдоль правого берега Волги от границы с Республикой Чувашия до границы с Ульяновской областью. </w:t>
      </w:r>
    </w:p>
    <w:p>
      <w:pPr>
        <w:pStyle w:val="Style38"/>
        <w:spacing w:before="0" w:after="0"/>
        <w:ind w:firstLine="709"/>
        <w:contextualSpacing/>
        <w:rPr>
          <w:szCs w:val="28"/>
        </w:rPr>
      </w:pPr>
      <w:r>
        <w:rPr>
          <w:szCs w:val="28"/>
        </w:rPr>
        <w:t>Волжская Тропа проложена преимущественно по территории живописного правобережья Волги, объединяя 20 особо охраняемых природных территорий и более 100 объектов туристического интереса. Проект призван открыть Татарстан для широкого круга туристов с новых ракурсов, показать республику во всём многообразии видовых и природных достопримечательностей, тесно вплетенных в жизнь и культуру местных сообществ, живущих вдоль великой реки.</w:t>
      </w:r>
    </w:p>
    <w:p>
      <w:pPr>
        <w:pStyle w:val="Style38"/>
        <w:spacing w:before="0" w:after="0"/>
        <w:ind w:firstLine="709"/>
        <w:contextualSpacing/>
        <w:rPr>
          <w:szCs w:val="28"/>
        </w:rPr>
      </w:pPr>
      <w:r>
        <w:rPr>
          <w:szCs w:val="28"/>
        </w:rPr>
        <w:t xml:space="preserve">В рамках реализации проекта планируется изменение категории ряда земельных участков по треку «Волжская тропа» на «Земли особо охраняемых территорий и объектов». </w:t>
      </w:r>
    </w:p>
    <w:p>
      <w:pPr>
        <w:pStyle w:val="Annotationtext1"/>
        <w:jc w:val="both"/>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lang w:eastAsia="ru-RU"/>
        </w:rPr>
      </w:pPr>
      <w:r>
        <w:rPr>
          <w:rFonts w:cs="Times New Roman" w:ascii="Times New Roman" w:hAnsi="Times New Roman"/>
          <w:sz w:val="28"/>
          <w:szCs w:val="28"/>
          <w:lang w:eastAsia="ru-RU"/>
        </w:rPr>
      </w:r>
      <w:r>
        <w:br w:type="page"/>
      </w:r>
    </w:p>
    <w:p>
      <w:pPr>
        <w:pStyle w:val="ListParagraph"/>
        <w:widowControl w:val="false"/>
        <w:numPr>
          <w:ilvl w:val="0"/>
          <w:numId w:val="41"/>
        </w:numPr>
        <w:suppressAutoHyphens w:val="true"/>
        <w:spacing w:lineRule="auto" w:line="240" w:before="0" w:after="160"/>
        <w:contextualSpacing w:val="false"/>
        <w:jc w:val="center"/>
        <w:outlineLvl w:val="0"/>
        <w:rPr>
          <w:rFonts w:ascii="Times New Roman" w:hAnsi="Times New Roman" w:eastAsia="" w:cs="Times New Roman" w:eastAsiaTheme="majorEastAsia"/>
          <w:b/>
          <w:sz w:val="28"/>
          <w:szCs w:val="28"/>
        </w:rPr>
      </w:pPr>
      <w:bookmarkStart w:id="147" w:name="_Toc147740058"/>
      <w:bookmarkStart w:id="148" w:name="_Toc34205843"/>
      <w:r>
        <w:rPr>
          <w:rFonts w:eastAsia="" w:cs="Times New Roman" w:ascii="Times New Roman" w:hAnsi="Times New Roman" w:eastAsiaTheme="majorEastAsia"/>
          <w:b/>
          <w:sz w:val="28"/>
          <w:szCs w:val="28"/>
        </w:rPr>
        <w:t>. ЗОНЫ С ОСОБЫМИ УСЛОВИЯМИ ИСПОЛЬЗОВАНИЯ ТЕРРИТОРИИ</w:t>
      </w:r>
      <w:bookmarkEnd w:id="148"/>
      <w:r>
        <w:rPr>
          <w:rFonts w:eastAsia="" w:cs="Times New Roman" w:ascii="Times New Roman" w:hAnsi="Times New Roman" w:eastAsiaTheme="majorEastAsia"/>
          <w:b/>
          <w:sz w:val="28"/>
          <w:szCs w:val="28"/>
        </w:rPr>
        <w:t xml:space="preserve"> И ИНЫЕ ЗОНЫ ОГРАНИЧЕНИЙ</w:t>
      </w:r>
      <w:bookmarkEnd w:id="147"/>
    </w:p>
    <w:p>
      <w:pPr>
        <w:pStyle w:val="ListParagraph"/>
        <w:widowControl w:val="false"/>
        <w:numPr>
          <w:ilvl w:val="1"/>
          <w:numId w:val="42"/>
        </w:numPr>
        <w:suppressAutoHyphens w:val="true"/>
        <w:spacing w:lineRule="auto" w:line="240" w:before="0" w:after="160"/>
        <w:ind w:left="0" w:firstLine="709"/>
        <w:contextualSpacing w:val="false"/>
        <w:jc w:val="center"/>
        <w:outlineLvl w:val="1"/>
        <w:rPr>
          <w:rFonts w:ascii="Times New Roman" w:hAnsi="Times New Roman" w:eastAsia="" w:cs="Times New Roman" w:eastAsiaTheme="majorEastAsia"/>
          <w:b/>
          <w:sz w:val="28"/>
          <w:szCs w:val="28"/>
        </w:rPr>
      </w:pPr>
      <w:bookmarkStart w:id="149" w:name="_Toc147740059"/>
      <w:bookmarkStart w:id="150" w:name="_Toc34205844"/>
      <w:r>
        <w:rPr>
          <w:rFonts w:eastAsia="" w:cs="Times New Roman" w:ascii="Times New Roman" w:hAnsi="Times New Roman" w:eastAsiaTheme="majorEastAsia"/>
          <w:b/>
          <w:sz w:val="28"/>
          <w:szCs w:val="28"/>
        </w:rPr>
        <w:t>Санитарно-защитные зоны производственных и иных объектов</w:t>
      </w:r>
      <w:bookmarkEnd w:id="149"/>
      <w:bookmarkEnd w:id="150"/>
    </w:p>
    <w:p>
      <w:pPr>
        <w:pStyle w:val="Style30"/>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На территории поселения расположены объекты всех классов опасности. Данные о санитарно-защитных зонах существующих объектов и информация о соблюдении режима санитарно-защитных зон приведены в таблице 6.1.1. Регламенты использования санитарно-защитной зоны объектов приведены в таблице 6.1.2.</w:t>
      </w:r>
    </w:p>
    <w:p>
      <w:pPr>
        <w:pStyle w:val="Style30"/>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pPr>
        <w:pStyle w:val="Style30"/>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В границах территории скотомогильники отсутствуют. Информация о типе захоронения приведена согласно Перечню сибиреязвенных скотомогильников и биотермических ям, в отношении которых органы местного самоуправления муниципальных районов и городского округа «город Набережные Челны», утв. распоряжением КМ РТ от 21.04.2012 № 620-р, также согласно схеме территориального планирования Верхнеуслонского муниципального района Республики Татарстан. Границы поселения пересекает санитарно-защитная зона от биотермической ямы (ОКС 16:15:181001:187), находящийся в Шеланговском с.п., пос. Янга-юл, в 1,5 км на восток. </w:t>
      </w:r>
    </w:p>
    <w:p>
      <w:pPr>
        <w:pStyle w:val="Style30"/>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Размеры ориентировочных санитарно-защитных зон скотомогильников с захоронением в ямах и скотомогильников с биологическими камерами определяются в соответствии с СанПиН 2.2.1/2.1.1.1200-03.</w:t>
      </w:r>
    </w:p>
    <w:p>
      <w:pPr>
        <w:pStyle w:val="Style30"/>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Согласно п.12.1.4 СанПиН 2.2.1/2.1.1.1200-03, сибиреязвенные скотомогильники и скотомогильники с захоронением в ямах относятся к объектам I класса опасности и имеют ориентировочную санитарно-защитную зону 1000 м. </w:t>
      </w:r>
    </w:p>
    <w:p>
      <w:pPr>
        <w:pStyle w:val="Style30"/>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Согласно п.12.2.4 СанПиН 2.2.1/2.1.1.1200-03, скотомогильники с биологическими камерами (биотермические ямы) относятся к объектам II класса опасности и имеют ориентировочную санитарно-защитную зону 500 м. При этом устройство биологической камеры должно гарантировать изоляцию захораниваемых умеренно опасных биологических отходов от объектов внешней среды (почвы, воды) и недопущение к ним посторонних физических лиц и животных. В случае нарушения конструкции биологической камеры, такое захоронение приравнивается к захоронению в яме, и размер санитарно-защитной зоны увеличивается до 1000 м.</w:t>
      </w:r>
    </w:p>
    <w:p>
      <w:pPr>
        <w:sectPr>
          <w:footerReference w:type="default" r:id="rId50"/>
          <w:footerReference w:type="first" r:id="rId51"/>
          <w:type w:val="nextPage"/>
          <w:pgSz w:orient="landscape" w:w="16838" w:h="11906"/>
          <w:pgMar w:left="1134" w:right="851" w:gutter="0" w:header="0" w:top="851" w:footer="709" w:bottom="851"/>
          <w:pgNumType w:fmt="decimal"/>
          <w:formProt w:val="false"/>
          <w:textDirection w:val="lrTb"/>
          <w:docGrid w:type="default" w:linePitch="360" w:charSpace="0"/>
        </w:sectPr>
        <w:pStyle w:val="Style30"/>
        <w:spacing w:lineRule="auto" w:line="240" w:before="0" w:after="0"/>
        <w:ind w:firstLine="709"/>
        <w:jc w:val="both"/>
        <w:rPr>
          <w:szCs w:val="28"/>
        </w:rPr>
      </w:pPr>
      <w:r>
        <w:rPr>
          <w:rFonts w:eastAsia="Times New Roman" w:cs="Times New Roman" w:ascii="Times New Roman" w:hAnsi="Times New Roman"/>
          <w:sz w:val="28"/>
          <w:szCs w:val="28"/>
          <w:lang w:eastAsia="ru-RU"/>
        </w:rPr>
        <w:t>Согласно СанПиН 2.2.1/2.1.1.1200-03, санитарные разрывы устанавливаются в отношении автомагистралей. На территории поселения автомагистрали отсутствуют.</w:t>
      </w:r>
      <w:r>
        <w:br w:type="page"/>
      </w:r>
    </w:p>
    <w:p>
      <w:pPr>
        <w:pStyle w:val="Style38"/>
        <w:widowControl w:val="false"/>
        <w:suppressAutoHyphens w:val="true"/>
        <w:ind w:firstLine="709"/>
        <w:jc w:val="right"/>
        <w:rPr>
          <w:szCs w:val="28"/>
        </w:rPr>
      </w:pPr>
      <w:r>
        <w:rPr>
          <w:szCs w:val="28"/>
        </w:rPr>
        <w:t>Таблица 6.1.1</w:t>
      </w:r>
    </w:p>
    <w:p>
      <w:pPr>
        <w:pStyle w:val="Normal"/>
        <w:widowControl w:val="false"/>
        <w:suppressAutoHyphens w:val="true"/>
        <w:spacing w:lineRule="auto" w:line="240"/>
        <w:ind w:firstLine="709"/>
        <w:jc w:val="center"/>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Санитарно-защитные зоны производственных и иных объектов, расположенных на рассматриваемой территории </w:t>
      </w:r>
    </w:p>
    <w:p>
      <w:pPr>
        <w:pStyle w:val="Style38"/>
        <w:widowControl w:val="false"/>
        <w:suppressAutoHyphens w:val="true"/>
        <w:ind w:hanging="0"/>
        <w:rPr>
          <w:szCs w:val="28"/>
        </w:rPr>
      </w:pPr>
      <w:r>
        <w:rPr>
          <w:szCs w:val="28"/>
        </w:rPr>
      </w:r>
    </w:p>
    <w:tbl>
      <w:tblPr>
        <w:tblStyle w:val="af0"/>
        <w:tblW w:w="15015"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4528"/>
        <w:gridCol w:w="2267"/>
        <w:gridCol w:w="4819"/>
        <w:gridCol w:w="992"/>
        <w:gridCol w:w="2409"/>
      </w:tblGrid>
      <w:tr>
        <w:trPr/>
        <w:tc>
          <w:tcPr>
            <w:tcW w:w="4528"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Наименование объекта, сведения о местоположении объекта</w:t>
            </w:r>
          </w:p>
        </w:tc>
        <w:tc>
          <w:tcPr>
            <w:tcW w:w="2267"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Вид СЗЗ (ориентировочная, расчетная, установленная)</w:t>
            </w:r>
          </w:p>
        </w:tc>
        <w:tc>
          <w:tcPr>
            <w:tcW w:w="4819" w:type="dxa"/>
            <w:tcBorders/>
            <w:vAlign w:val="center"/>
          </w:tcPr>
          <w:p>
            <w:pPr>
              <w:pStyle w:val="Style38"/>
              <w:widowControl/>
              <w:spacing w:before="0" w:after="0"/>
              <w:ind w:left="0" w:right="0" w:hanging="0"/>
              <w:jc w:val="center"/>
              <w:rPr>
                <w:rFonts w:eastAsia="Calibri" w:eastAsiaTheme="minorHAnsi"/>
                <w:sz w:val="20"/>
                <w:lang w:eastAsia="en-US"/>
              </w:rPr>
            </w:pPr>
            <w:r>
              <w:rPr>
                <w:rFonts w:eastAsia="Calibri" w:eastAsiaTheme="minorHAnsi"/>
                <w:kern w:val="0"/>
                <w:sz w:val="20"/>
                <w:lang w:val="ru-RU" w:eastAsia="en-US" w:bidi="ar-SA"/>
              </w:rPr>
              <w:t>Обоснование</w:t>
            </w:r>
          </w:p>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(нормативные документы)</w:t>
            </w:r>
          </w:p>
        </w:tc>
        <w:tc>
          <w:tcPr>
            <w:tcW w:w="992"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Размер СЗЗ, м</w:t>
            </w:r>
          </w:p>
        </w:tc>
        <w:tc>
          <w:tcPr>
            <w:tcW w:w="2409"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Соблюдение режима СЗЗ объекта</w:t>
            </w:r>
          </w:p>
        </w:tc>
      </w:tr>
      <w:tr>
        <w:trPr/>
        <w:tc>
          <w:tcPr>
            <w:tcW w:w="15015" w:type="dxa"/>
            <w:gridSpan w:val="5"/>
            <w:tcBorders/>
            <w:vAlign w:val="center"/>
          </w:tcPr>
          <w:p>
            <w:pPr>
              <w:pStyle w:val="Normal"/>
              <w:widowControl/>
              <w:spacing w:lineRule="auto" w:line="240" w:before="0" w:after="0"/>
              <w:jc w:val="center"/>
              <w:rPr>
                <w:rFonts w:ascii="Times New Roman" w:hAnsi="Times New Roman" w:cs="Times New Roman"/>
                <w:b/>
                <w:sz w:val="20"/>
                <w:szCs w:val="20"/>
              </w:rPr>
            </w:pPr>
            <w:r>
              <w:rPr>
                <w:rFonts w:eastAsia="Calibri" w:cs="Times New Roman" w:ascii="Times New Roman" w:hAnsi="Times New Roman"/>
                <w:b/>
                <w:kern w:val="0"/>
                <w:sz w:val="20"/>
                <w:szCs w:val="20"/>
                <w:lang w:val="ru-RU" w:eastAsia="en-US" w:bidi="ar-SA"/>
              </w:rPr>
              <w:t>Объекты, связанные с производственной деятельностью</w:t>
            </w:r>
          </w:p>
        </w:tc>
      </w:tr>
      <w:tr>
        <w:trPr/>
        <w:tc>
          <w:tcPr>
            <w:tcW w:w="15015" w:type="dxa"/>
            <w:gridSpan w:val="5"/>
            <w:tcBorders/>
            <w:vAlign w:val="center"/>
          </w:tcPr>
          <w:p>
            <w:pPr>
              <w:pStyle w:val="Normal"/>
              <w:widowControl/>
              <w:spacing w:lineRule="auto" w:line="240" w:before="0" w:after="0"/>
              <w:jc w:val="center"/>
              <w:rPr>
                <w:rFonts w:ascii="Times New Roman" w:hAnsi="Times New Roman" w:cs="Times New Roman"/>
                <w:b/>
                <w:sz w:val="20"/>
                <w:szCs w:val="20"/>
              </w:rPr>
            </w:pPr>
            <w:r>
              <w:rPr>
                <w:rFonts w:eastAsia="Calibri" w:cs="Times New Roman" w:ascii="Times New Roman" w:hAnsi="Times New Roman"/>
                <w:b/>
                <w:kern w:val="0"/>
                <w:sz w:val="20"/>
                <w:szCs w:val="20"/>
                <w:lang w:val="ru-RU" w:eastAsia="en-US" w:bidi="ar-SA"/>
              </w:rPr>
              <w:t>Существующие</w:t>
            </w:r>
          </w:p>
        </w:tc>
      </w:tr>
      <w:tr>
        <w:trPr/>
        <w:tc>
          <w:tcPr>
            <w:tcW w:w="4528"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Times New Roman" w:cs="Times New Roman" w:ascii="Times New Roman" w:hAnsi="Times New Roman"/>
                <w:kern w:val="0"/>
                <w:sz w:val="22"/>
                <w:szCs w:val="22"/>
                <w:lang w:val="en-US" w:eastAsia="ru-RU" w:bidi="ar-SA"/>
              </w:rPr>
              <w:t>ООО "Матюшинский карьер"</w:t>
            </w:r>
          </w:p>
        </w:tc>
        <w:tc>
          <w:tcPr>
            <w:tcW w:w="2267"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Times New Roman" w:cs="Times New Roman" w:ascii="Times New Roman" w:hAnsi="Times New Roman"/>
                <w:kern w:val="0"/>
                <w:sz w:val="22"/>
                <w:szCs w:val="22"/>
                <w:lang w:val="en-US" w:eastAsia="ru-RU" w:bidi="ar-SA"/>
              </w:rPr>
              <w:t>Расчетная (предварительная) зона</w:t>
            </w:r>
          </w:p>
        </w:tc>
        <w:tc>
          <w:tcPr>
            <w:tcW w:w="4819" w:type="dxa"/>
            <w:tcBorders/>
            <w:vAlign w:val="center"/>
          </w:tcPr>
          <w:p>
            <w:pPr>
              <w:pStyle w:val="Normal"/>
              <w:widowControl/>
              <w:tabs>
                <w:tab w:val="clear" w:pos="709"/>
                <w:tab w:val="left" w:pos="1469" w:leader="none"/>
              </w:tabs>
              <w:spacing w:lineRule="auto" w:line="240" w:before="0" w:after="0"/>
              <w:jc w:val="center"/>
              <w:rPr>
                <w:rFonts w:ascii="Times New Roman" w:hAnsi="Times New Roman" w:cs="Times New Roman"/>
                <w:sz w:val="20"/>
                <w:szCs w:val="20"/>
              </w:rPr>
            </w:pPr>
            <w:r>
              <w:rPr>
                <w:rFonts w:eastAsia="Times New Roman" w:cs="Times New Roman" w:ascii="Times New Roman" w:hAnsi="Times New Roman"/>
                <w:kern w:val="0"/>
                <w:sz w:val="22"/>
                <w:szCs w:val="22"/>
                <w:lang w:val="en-US" w:eastAsia="ru-RU" w:bidi="ar-SA"/>
              </w:rPr>
              <w:t>СЭЗ №16.11.11.000.Т.001378.07.20 от 10.07.2020</w:t>
            </w:r>
          </w:p>
        </w:tc>
        <w:tc>
          <w:tcPr>
            <w:tcW w:w="992"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300</w:t>
            </w:r>
          </w:p>
        </w:tc>
        <w:tc>
          <w:tcPr>
            <w:tcW w:w="2409"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Зона садоводческих, огороднических или дачных некоммерческих объединений граждан</w:t>
            </w:r>
          </w:p>
        </w:tc>
      </w:tr>
      <w:tr>
        <w:trPr>
          <w:trHeight w:val="364" w:hRule="atLeast"/>
        </w:trPr>
        <w:tc>
          <w:tcPr>
            <w:tcW w:w="4528"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Дробильно-сортировочное оборудование по переработке карбонатных пород</w:t>
            </w:r>
          </w:p>
        </w:tc>
        <w:tc>
          <w:tcPr>
            <w:tcW w:w="2267"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Ориентировочная (нормативная) зона</w:t>
            </w:r>
          </w:p>
        </w:tc>
        <w:tc>
          <w:tcPr>
            <w:tcW w:w="4819"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Times New Roman" w:cs="Times New Roman" w:ascii="Times New Roman" w:hAnsi="Times New Roman"/>
                <w:kern w:val="0"/>
                <w:sz w:val="22"/>
                <w:szCs w:val="22"/>
                <w:lang w:val="ru-RU" w:eastAsia="ru-RU" w:bidi="ar-SA"/>
              </w:rPr>
              <w:t>табл. 7.1. п 4.3.12 СанПиН 2.2.1/2.1.1.1200-03</w:t>
            </w:r>
          </w:p>
        </w:tc>
        <w:tc>
          <w:tcPr>
            <w:tcW w:w="992"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300</w:t>
            </w:r>
          </w:p>
        </w:tc>
        <w:tc>
          <w:tcPr>
            <w:tcW w:w="2409"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Times New Roman" w:cs="Times New Roman" w:ascii="Times New Roman" w:hAnsi="Times New Roman"/>
                <w:kern w:val="0"/>
                <w:sz w:val="22"/>
                <w:szCs w:val="22"/>
                <w:lang w:val="ru-RU" w:eastAsia="ru-RU" w:bidi="ar-SA"/>
              </w:rPr>
              <w:t>Зона застройки индивидуальными жилыми домами</w:t>
            </w:r>
          </w:p>
        </w:tc>
      </w:tr>
      <w:tr>
        <w:trPr>
          <w:trHeight w:val="364" w:hRule="atLeast"/>
        </w:trPr>
        <w:tc>
          <w:tcPr>
            <w:tcW w:w="4528"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Times New Roman" w:cs="Times New Roman" w:ascii="Times New Roman" w:hAnsi="Times New Roman"/>
                <w:kern w:val="0"/>
                <w:sz w:val="22"/>
                <w:szCs w:val="22"/>
                <w:lang w:val="en-US" w:eastAsia="ru-RU" w:bidi="ar-SA"/>
              </w:rPr>
              <w:t>Склад ГСМ Матюшинский карьер</w:t>
            </w:r>
          </w:p>
        </w:tc>
        <w:tc>
          <w:tcPr>
            <w:tcW w:w="2267"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Times New Roman" w:cs="Times New Roman" w:ascii="Times New Roman" w:hAnsi="Times New Roman"/>
                <w:kern w:val="0"/>
                <w:sz w:val="22"/>
                <w:szCs w:val="22"/>
                <w:lang w:val="en-US" w:eastAsia="ru-RU" w:bidi="ar-SA"/>
              </w:rPr>
              <w:t>Ориентировочная (нормативная) зона</w:t>
            </w:r>
          </w:p>
        </w:tc>
        <w:tc>
          <w:tcPr>
            <w:tcW w:w="4819" w:type="dxa"/>
            <w:tcBorders/>
            <w:vAlign w:val="center"/>
          </w:tcPr>
          <w:p>
            <w:pPr>
              <w:pStyle w:val="Normal"/>
              <w:widowControl/>
              <w:spacing w:lineRule="auto" w:line="240" w:before="0" w:after="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 xml:space="preserve">табл. 7.1. </w:t>
            </w:r>
            <w:r>
              <w:rPr>
                <w:rFonts w:eastAsia="Times New Roman" w:cs="Times New Roman" w:ascii="Times New Roman" w:hAnsi="Times New Roman"/>
                <w:kern w:val="0"/>
                <w:sz w:val="22"/>
                <w:szCs w:val="22"/>
                <w:lang w:val="en-US" w:eastAsia="ru-RU" w:bidi="ar-SA"/>
              </w:rPr>
              <w:t>п. 11.4.7 СанПиН 2.2.1/2.1.1.1200-03</w:t>
            </w:r>
          </w:p>
        </w:tc>
        <w:tc>
          <w:tcPr>
            <w:tcW w:w="992"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100</w:t>
            </w:r>
          </w:p>
        </w:tc>
        <w:tc>
          <w:tcPr>
            <w:tcW w:w="2409" w:type="dxa"/>
            <w:tcBorders/>
            <w:vAlign w:val="center"/>
          </w:tcPr>
          <w:p>
            <w:pPr>
              <w:pStyle w:val="Normal"/>
              <w:widowControl/>
              <w:spacing w:lineRule="auto" w:line="240" w:before="0" w:after="0"/>
              <w:jc w:val="center"/>
              <w:rPr>
                <w:rFonts w:ascii="Times New Roman" w:hAnsi="Times New Roman" w:eastAsia="Times New Roman" w:cs="Times New Roman"/>
                <w:lang w:eastAsia="ru-RU"/>
              </w:rPr>
            </w:pPr>
            <w:r>
              <w:rPr>
                <w:rFonts w:eastAsia="Times New Roman" w:cs="Times New Roman" w:ascii="Times New Roman" w:hAnsi="Times New Roman"/>
                <w:kern w:val="0"/>
                <w:sz w:val="22"/>
                <w:szCs w:val="22"/>
                <w:lang w:val="ru-RU" w:eastAsia="ru-RU" w:bidi="ar-SA"/>
              </w:rPr>
              <w:t xml:space="preserve">Соблюдается </w:t>
            </w:r>
          </w:p>
        </w:tc>
      </w:tr>
      <w:tr>
        <w:trPr/>
        <w:tc>
          <w:tcPr>
            <w:tcW w:w="15015" w:type="dxa"/>
            <w:gridSpan w:val="5"/>
            <w:tcBorders/>
            <w:vAlign w:val="center"/>
          </w:tcPr>
          <w:p>
            <w:pPr>
              <w:pStyle w:val="Normal"/>
              <w:widowControl/>
              <w:spacing w:lineRule="auto" w:line="240" w:before="0" w:after="0"/>
              <w:jc w:val="center"/>
              <w:rPr>
                <w:rFonts w:ascii="Times New Roman" w:hAnsi="Times New Roman" w:cs="Times New Roman"/>
                <w:b/>
                <w:sz w:val="20"/>
                <w:szCs w:val="20"/>
              </w:rPr>
            </w:pPr>
            <w:r>
              <w:rPr>
                <w:rFonts w:eastAsia="Calibri" w:cs="Times New Roman" w:ascii="Times New Roman" w:hAnsi="Times New Roman"/>
                <w:b/>
                <w:kern w:val="0"/>
                <w:sz w:val="20"/>
                <w:szCs w:val="20"/>
                <w:lang w:val="ru-RU" w:eastAsia="en-US" w:bidi="ar-SA"/>
              </w:rPr>
              <w:t>Сельскохозяйственное производство</w:t>
            </w:r>
          </w:p>
        </w:tc>
      </w:tr>
      <w:tr>
        <w:trPr/>
        <w:tc>
          <w:tcPr>
            <w:tcW w:w="15015" w:type="dxa"/>
            <w:gridSpan w:val="5"/>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b/>
                <w:kern w:val="0"/>
                <w:sz w:val="20"/>
                <w:szCs w:val="20"/>
                <w:lang w:val="ru-RU" w:eastAsia="en-US" w:bidi="ar-SA"/>
              </w:rPr>
              <w:t>Планируемые</w:t>
            </w:r>
          </w:p>
        </w:tc>
      </w:tr>
      <w:tr>
        <w:trPr/>
        <w:tc>
          <w:tcPr>
            <w:tcW w:w="4528"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Площадка перспективного развития АПК до V класса опасности (з/у с КН 16:15:030701:402)</w:t>
            </w:r>
          </w:p>
        </w:tc>
        <w:tc>
          <w:tcPr>
            <w:tcW w:w="2267"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Ориентировочная (нормативная) зона</w:t>
            </w:r>
          </w:p>
        </w:tc>
        <w:tc>
          <w:tcPr>
            <w:tcW w:w="4819"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 xml:space="preserve">табл. 7.1 </w:t>
            </w:r>
            <w:r>
              <w:rPr>
                <w:rFonts w:eastAsia="Times New Roman" w:cs="Times New Roman" w:ascii="Times New Roman" w:hAnsi="Times New Roman"/>
                <w:kern w:val="0"/>
                <w:sz w:val="22"/>
                <w:szCs w:val="22"/>
                <w:lang w:val="en-US" w:eastAsia="ru-RU" w:bidi="ar-SA"/>
              </w:rPr>
              <w:t>п 11.5.2 СанПиН 2.2.1/2.1.1.1200-03</w:t>
            </w:r>
          </w:p>
        </w:tc>
        <w:tc>
          <w:tcPr>
            <w:tcW w:w="992"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50</w:t>
            </w:r>
          </w:p>
        </w:tc>
        <w:tc>
          <w:tcPr>
            <w:tcW w:w="2409"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Соблюдается</w:t>
            </w:r>
          </w:p>
        </w:tc>
      </w:tr>
      <w:tr>
        <w:trPr/>
        <w:tc>
          <w:tcPr>
            <w:tcW w:w="4528"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Times New Roman" w:cs="Times New Roman" w:ascii="Times New Roman" w:hAnsi="Times New Roman"/>
                <w:kern w:val="0"/>
                <w:sz w:val="22"/>
                <w:szCs w:val="22"/>
                <w:lang w:val="ru-RU" w:eastAsia="ru-RU" w:bidi="ar-SA"/>
              </w:rPr>
              <w:t xml:space="preserve">Площадка перспективного развития АПК до </w:t>
            </w:r>
            <w:r>
              <w:rPr>
                <w:rFonts w:eastAsia="Times New Roman" w:cs="Times New Roman" w:ascii="Times New Roman" w:hAnsi="Times New Roman"/>
                <w:kern w:val="0"/>
                <w:sz w:val="22"/>
                <w:szCs w:val="22"/>
                <w:lang w:val="en-US" w:eastAsia="ru-RU" w:bidi="ar-SA"/>
              </w:rPr>
              <w:t>V</w:t>
            </w:r>
            <w:r>
              <w:rPr>
                <w:rFonts w:eastAsia="Times New Roman" w:cs="Times New Roman" w:ascii="Times New Roman" w:hAnsi="Times New Roman"/>
                <w:kern w:val="0"/>
                <w:sz w:val="22"/>
                <w:szCs w:val="22"/>
                <w:lang w:val="ru-RU" w:eastAsia="ru-RU" w:bidi="ar-SA"/>
              </w:rPr>
              <w:t xml:space="preserve"> класса опасности (з/у с КН 16:15:030701:402)</w:t>
            </w:r>
          </w:p>
        </w:tc>
        <w:tc>
          <w:tcPr>
            <w:tcW w:w="2267"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Ориентировочная (нормативная) зона</w:t>
            </w:r>
          </w:p>
        </w:tc>
        <w:tc>
          <w:tcPr>
            <w:tcW w:w="4819"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 xml:space="preserve">табл. 7.1 </w:t>
            </w:r>
            <w:r>
              <w:rPr>
                <w:rFonts w:eastAsia="Times New Roman" w:cs="Times New Roman" w:ascii="Times New Roman" w:hAnsi="Times New Roman"/>
                <w:kern w:val="0"/>
                <w:sz w:val="22"/>
                <w:szCs w:val="22"/>
                <w:lang w:val="en-US" w:eastAsia="ru-RU" w:bidi="ar-SA"/>
              </w:rPr>
              <w:t>п 11.5.2 СанПиН 2.2.1/2.1.1.1200-03</w:t>
            </w:r>
          </w:p>
        </w:tc>
        <w:tc>
          <w:tcPr>
            <w:tcW w:w="992"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50</w:t>
            </w:r>
          </w:p>
        </w:tc>
        <w:tc>
          <w:tcPr>
            <w:tcW w:w="2409"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Соблюдается</w:t>
            </w:r>
          </w:p>
        </w:tc>
      </w:tr>
      <w:tr>
        <w:trPr/>
        <w:tc>
          <w:tcPr>
            <w:tcW w:w="15015" w:type="dxa"/>
            <w:gridSpan w:val="5"/>
            <w:tcBorders/>
            <w:vAlign w:val="center"/>
          </w:tcPr>
          <w:p>
            <w:pPr>
              <w:pStyle w:val="Normal"/>
              <w:widowControl/>
              <w:spacing w:lineRule="auto" w:line="240" w:before="0" w:after="0"/>
              <w:jc w:val="center"/>
              <w:rPr>
                <w:rFonts w:ascii="Times New Roman" w:hAnsi="Times New Roman" w:cs="Times New Roman"/>
                <w:b/>
                <w:sz w:val="20"/>
                <w:szCs w:val="20"/>
              </w:rPr>
            </w:pPr>
            <w:r>
              <w:rPr>
                <w:rFonts w:eastAsia="Calibri" w:cs="Times New Roman" w:ascii="Times New Roman" w:hAnsi="Times New Roman"/>
                <w:b/>
                <w:kern w:val="0"/>
                <w:sz w:val="20"/>
                <w:szCs w:val="20"/>
                <w:lang w:val="ru-RU" w:eastAsia="en-US" w:bidi="ar-SA"/>
              </w:rPr>
              <w:t>Транспортная отрасль</w:t>
            </w:r>
          </w:p>
        </w:tc>
      </w:tr>
      <w:tr>
        <w:trPr/>
        <w:tc>
          <w:tcPr>
            <w:tcW w:w="15015" w:type="dxa"/>
            <w:gridSpan w:val="5"/>
            <w:tcBorders/>
            <w:vAlign w:val="center"/>
          </w:tcPr>
          <w:p>
            <w:pPr>
              <w:pStyle w:val="Normal"/>
              <w:widowControl/>
              <w:spacing w:lineRule="auto" w:line="240" w:before="0" w:after="0"/>
              <w:jc w:val="center"/>
              <w:rPr>
                <w:rFonts w:ascii="Times New Roman" w:hAnsi="Times New Roman" w:cs="Times New Roman"/>
                <w:b/>
                <w:sz w:val="20"/>
                <w:szCs w:val="20"/>
              </w:rPr>
            </w:pPr>
            <w:r>
              <w:rPr>
                <w:rFonts w:eastAsia="Calibri" w:cs="Times New Roman" w:ascii="Times New Roman" w:hAnsi="Times New Roman"/>
                <w:b/>
                <w:kern w:val="0"/>
                <w:sz w:val="20"/>
                <w:szCs w:val="20"/>
                <w:lang w:val="ru-RU" w:eastAsia="en-US" w:bidi="ar-SA"/>
              </w:rPr>
              <w:t>Существующие</w:t>
            </w:r>
          </w:p>
        </w:tc>
      </w:tr>
      <w:tr>
        <w:trPr/>
        <w:tc>
          <w:tcPr>
            <w:tcW w:w="4528"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2"/>
                <w:szCs w:val="22"/>
                <w:lang w:val="ru-RU" w:eastAsia="en-US" w:bidi="ar-SA"/>
              </w:rPr>
              <w:t>Грузовой причал АО "Татагрохимсервис" п. Бакча-Сарай</w:t>
            </w:r>
          </w:p>
        </w:tc>
        <w:tc>
          <w:tcPr>
            <w:tcW w:w="2267"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2"/>
                <w:szCs w:val="22"/>
                <w:lang w:val="ru-RU" w:eastAsia="en-US" w:bidi="ar-SA"/>
              </w:rPr>
              <w:t>Расчетная (предварительная) зона</w:t>
            </w:r>
          </w:p>
        </w:tc>
        <w:tc>
          <w:tcPr>
            <w:tcW w:w="4819"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СЭЗ № 16.11.11.000.Т.000810.04.21 от 09.04.2021</w:t>
            </w:r>
          </w:p>
        </w:tc>
        <w:tc>
          <w:tcPr>
            <w:tcW w:w="992"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300</w:t>
            </w:r>
          </w:p>
        </w:tc>
        <w:tc>
          <w:tcPr>
            <w:tcW w:w="2409"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Соблюдается</w:t>
            </w:r>
          </w:p>
        </w:tc>
      </w:tr>
      <w:tr>
        <w:trPr/>
        <w:tc>
          <w:tcPr>
            <w:tcW w:w="15015" w:type="dxa"/>
            <w:gridSpan w:val="5"/>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b/>
                <w:kern w:val="0"/>
                <w:sz w:val="20"/>
                <w:szCs w:val="20"/>
                <w:lang w:val="ru-RU" w:eastAsia="en-US" w:bidi="ar-SA"/>
              </w:rPr>
              <w:t>Объекты утилизации, обезвреживания, размещения отходов производства и потребления, биологических отходов</w:t>
            </w:r>
          </w:p>
        </w:tc>
      </w:tr>
      <w:tr>
        <w:trPr/>
        <w:tc>
          <w:tcPr>
            <w:tcW w:w="4528"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Биотермическая яма (вне границы)</w:t>
            </w:r>
          </w:p>
        </w:tc>
        <w:tc>
          <w:tcPr>
            <w:tcW w:w="2267"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Ориентировочная (нормативная) зона</w:t>
            </w:r>
          </w:p>
        </w:tc>
        <w:tc>
          <w:tcPr>
            <w:tcW w:w="4819"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табл.7.1. п.12.1.7  СанПиН .2.1/2.1.1.1200-03</w:t>
            </w:r>
          </w:p>
        </w:tc>
        <w:tc>
          <w:tcPr>
            <w:tcW w:w="992"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1000</w:t>
            </w:r>
          </w:p>
        </w:tc>
        <w:tc>
          <w:tcPr>
            <w:tcW w:w="2409"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Соблюдается</w:t>
            </w:r>
          </w:p>
        </w:tc>
      </w:tr>
      <w:tr>
        <w:trPr/>
        <w:tc>
          <w:tcPr>
            <w:tcW w:w="15015" w:type="dxa"/>
            <w:gridSpan w:val="5"/>
            <w:tcBorders/>
            <w:vAlign w:val="center"/>
          </w:tcPr>
          <w:p>
            <w:pPr>
              <w:pStyle w:val="Normal"/>
              <w:widowControl/>
              <w:spacing w:lineRule="auto" w:line="240" w:before="0" w:after="0"/>
              <w:jc w:val="center"/>
              <w:rPr>
                <w:rFonts w:ascii="Times New Roman" w:hAnsi="Times New Roman" w:cs="Times New Roman"/>
                <w:b/>
                <w:sz w:val="20"/>
                <w:szCs w:val="20"/>
              </w:rPr>
            </w:pPr>
            <w:r>
              <w:rPr>
                <w:rFonts w:eastAsia="Calibri" w:cs="Times New Roman" w:ascii="Times New Roman" w:hAnsi="Times New Roman"/>
                <w:b/>
                <w:kern w:val="0"/>
                <w:sz w:val="20"/>
                <w:szCs w:val="20"/>
                <w:lang w:val="ru-RU" w:eastAsia="en-US" w:bidi="ar-SA"/>
              </w:rPr>
              <w:t>Объекты хранения</w:t>
            </w:r>
          </w:p>
        </w:tc>
      </w:tr>
      <w:tr>
        <w:trPr/>
        <w:tc>
          <w:tcPr>
            <w:tcW w:w="15015" w:type="dxa"/>
            <w:gridSpan w:val="5"/>
            <w:tcBorders/>
            <w:vAlign w:val="center"/>
          </w:tcPr>
          <w:p>
            <w:pPr>
              <w:pStyle w:val="Normal"/>
              <w:widowControl/>
              <w:spacing w:lineRule="auto" w:line="240" w:before="0" w:after="0"/>
              <w:jc w:val="center"/>
              <w:rPr>
                <w:rFonts w:ascii="Times New Roman" w:hAnsi="Times New Roman" w:cs="Times New Roman"/>
                <w:b/>
                <w:sz w:val="20"/>
                <w:szCs w:val="20"/>
              </w:rPr>
            </w:pPr>
            <w:r>
              <w:rPr>
                <w:rFonts w:eastAsia="Calibri" w:cs="Times New Roman" w:ascii="Times New Roman" w:hAnsi="Times New Roman"/>
                <w:b/>
                <w:kern w:val="0"/>
                <w:sz w:val="20"/>
                <w:szCs w:val="20"/>
                <w:lang w:val="ru-RU" w:eastAsia="en-US" w:bidi="ar-SA"/>
              </w:rPr>
              <w:t>Существующие</w:t>
            </w:r>
          </w:p>
        </w:tc>
      </w:tr>
      <w:tr>
        <w:trPr/>
        <w:tc>
          <w:tcPr>
            <w:tcW w:w="4528"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Склад ГСМ Матюшинский карьер</w:t>
            </w:r>
          </w:p>
        </w:tc>
        <w:tc>
          <w:tcPr>
            <w:tcW w:w="2267"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Ориентировочная (нормативная) зона</w:t>
            </w:r>
          </w:p>
        </w:tc>
        <w:tc>
          <w:tcPr>
            <w:tcW w:w="4819"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 xml:space="preserve">табл. 7.1. </w:t>
            </w:r>
            <w:r>
              <w:rPr>
                <w:rFonts w:eastAsia="Times New Roman" w:cs="Times New Roman" w:ascii="Times New Roman" w:hAnsi="Times New Roman"/>
                <w:kern w:val="0"/>
                <w:sz w:val="22"/>
                <w:szCs w:val="22"/>
                <w:lang w:val="en-US" w:eastAsia="ru-RU" w:bidi="ar-SA"/>
              </w:rPr>
              <w:t>п. 11.4.7 СанПиН 2.2.1/2.1.1.1200-03</w:t>
            </w:r>
          </w:p>
        </w:tc>
        <w:tc>
          <w:tcPr>
            <w:tcW w:w="992"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100</w:t>
            </w:r>
          </w:p>
        </w:tc>
        <w:tc>
          <w:tcPr>
            <w:tcW w:w="2409"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Предприятие микробиологической, пищевой, пищевкусовой промышленности</w:t>
            </w:r>
          </w:p>
        </w:tc>
      </w:tr>
      <w:tr>
        <w:trPr/>
        <w:tc>
          <w:tcPr>
            <w:tcW w:w="15015" w:type="dxa"/>
            <w:gridSpan w:val="5"/>
            <w:tcBorders/>
            <w:vAlign w:val="center"/>
          </w:tcPr>
          <w:p>
            <w:pPr>
              <w:pStyle w:val="Normal"/>
              <w:widowControl/>
              <w:spacing w:lineRule="auto" w:line="240" w:before="0" w:after="0"/>
              <w:jc w:val="center"/>
              <w:rPr>
                <w:rFonts w:ascii="Times New Roman" w:hAnsi="Times New Roman" w:cs="Times New Roman"/>
                <w:b/>
                <w:sz w:val="20"/>
                <w:szCs w:val="20"/>
              </w:rPr>
            </w:pPr>
            <w:r>
              <w:rPr>
                <w:rFonts w:eastAsia="Calibri" w:cs="Times New Roman" w:ascii="Times New Roman" w:hAnsi="Times New Roman"/>
                <w:b/>
                <w:kern w:val="0"/>
                <w:sz w:val="20"/>
                <w:szCs w:val="20"/>
                <w:lang w:val="ru-RU" w:eastAsia="en-US" w:bidi="ar-SA"/>
              </w:rPr>
              <w:t>Места погребения</w:t>
            </w:r>
          </w:p>
        </w:tc>
      </w:tr>
      <w:tr>
        <w:trPr/>
        <w:tc>
          <w:tcPr>
            <w:tcW w:w="4528"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Кладбище д М.Вахитова (з/у с КН 16:15:030101:78)</w:t>
            </w:r>
          </w:p>
        </w:tc>
        <w:tc>
          <w:tcPr>
            <w:tcW w:w="2267"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Ориентировочная (нормативная) зона</w:t>
            </w:r>
          </w:p>
        </w:tc>
        <w:tc>
          <w:tcPr>
            <w:tcW w:w="4819"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табл.7.1. п. 12.5.2 СанПиН .2.1/2.1.1.1200-03</w:t>
            </w:r>
          </w:p>
        </w:tc>
        <w:tc>
          <w:tcPr>
            <w:tcW w:w="992"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50</w:t>
            </w:r>
          </w:p>
        </w:tc>
        <w:tc>
          <w:tcPr>
            <w:tcW w:w="2409"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Зона застройки индивидуальными жилыми домами</w:t>
            </w:r>
          </w:p>
        </w:tc>
      </w:tr>
      <w:tr>
        <w:trPr/>
        <w:tc>
          <w:tcPr>
            <w:tcW w:w="4528"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Times New Roman" w:cs="Times New Roman" w:ascii="Times New Roman" w:hAnsi="Times New Roman"/>
                <w:kern w:val="0"/>
                <w:sz w:val="22"/>
                <w:szCs w:val="22"/>
                <w:lang w:val="ru-RU" w:eastAsia="ru-RU" w:bidi="ar-SA"/>
              </w:rPr>
              <w:t>Кладбище с. Ташевка (з/у с КН 16:15:030502:182)</w:t>
            </w:r>
          </w:p>
        </w:tc>
        <w:tc>
          <w:tcPr>
            <w:tcW w:w="2267"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Ориентировочная (нормативная) зона</w:t>
            </w:r>
          </w:p>
        </w:tc>
        <w:tc>
          <w:tcPr>
            <w:tcW w:w="4819"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табл.7.1. п. 12.5.2 СанПиН .2.1/2.1.1.1200-03</w:t>
            </w:r>
          </w:p>
        </w:tc>
        <w:tc>
          <w:tcPr>
            <w:tcW w:w="992"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50</w:t>
            </w:r>
          </w:p>
        </w:tc>
        <w:tc>
          <w:tcPr>
            <w:tcW w:w="2409"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Зона застройки индивидуальными жилыми домами</w:t>
            </w:r>
          </w:p>
        </w:tc>
      </w:tr>
      <w:tr>
        <w:trPr/>
        <w:tc>
          <w:tcPr>
            <w:tcW w:w="4528"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Times New Roman" w:cs="Times New Roman" w:ascii="Times New Roman" w:hAnsi="Times New Roman"/>
                <w:kern w:val="0"/>
                <w:sz w:val="22"/>
                <w:szCs w:val="22"/>
                <w:lang w:val="ru-RU" w:eastAsia="ru-RU" w:bidi="ar-SA"/>
              </w:rPr>
              <w:t>Кладбище (з/у с КН 16:15:030701:348)</w:t>
            </w:r>
          </w:p>
        </w:tc>
        <w:tc>
          <w:tcPr>
            <w:tcW w:w="2267"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Ориентировочная (нормативная) зона</w:t>
            </w:r>
          </w:p>
        </w:tc>
        <w:tc>
          <w:tcPr>
            <w:tcW w:w="4819"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табл.7.1. п. 12.5.2 СанПиН .2.1/2.1.1.1200-03</w:t>
            </w:r>
          </w:p>
        </w:tc>
        <w:tc>
          <w:tcPr>
            <w:tcW w:w="992"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50</w:t>
            </w:r>
          </w:p>
        </w:tc>
        <w:tc>
          <w:tcPr>
            <w:tcW w:w="2409"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Соблюдается</w:t>
            </w:r>
          </w:p>
        </w:tc>
      </w:tr>
      <w:tr>
        <w:trPr/>
        <w:tc>
          <w:tcPr>
            <w:tcW w:w="4528"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Times New Roman" w:cs="Times New Roman" w:ascii="Times New Roman" w:hAnsi="Times New Roman"/>
                <w:kern w:val="0"/>
                <w:sz w:val="22"/>
                <w:szCs w:val="22"/>
                <w:lang w:val="ru-RU" w:eastAsia="ru-RU" w:bidi="ar-SA"/>
              </w:rPr>
              <w:t>Кладбище п. Бакча Сарай (з/у с КН 16:15:030201:149)</w:t>
            </w:r>
          </w:p>
        </w:tc>
        <w:tc>
          <w:tcPr>
            <w:tcW w:w="2267"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Ориентировочная (нормативная) зона</w:t>
            </w:r>
          </w:p>
        </w:tc>
        <w:tc>
          <w:tcPr>
            <w:tcW w:w="4819"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табл.7.1. п. 12.5.2 СанПиН .2.1/2.1.1.1200-03</w:t>
            </w:r>
          </w:p>
        </w:tc>
        <w:tc>
          <w:tcPr>
            <w:tcW w:w="992"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50</w:t>
            </w:r>
          </w:p>
        </w:tc>
        <w:tc>
          <w:tcPr>
            <w:tcW w:w="2409"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Зона застройки индивидуальными жилыми домами</w:t>
            </w:r>
          </w:p>
        </w:tc>
      </w:tr>
      <w:tr>
        <w:trPr/>
        <w:tc>
          <w:tcPr>
            <w:tcW w:w="4528"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Times New Roman" w:cs="Times New Roman" w:ascii="Times New Roman" w:hAnsi="Times New Roman"/>
                <w:kern w:val="0"/>
                <w:sz w:val="22"/>
                <w:szCs w:val="22"/>
                <w:lang w:val="ru-RU" w:eastAsia="ru-RU" w:bidi="ar-SA"/>
              </w:rPr>
              <w:t>Кладбише д. Гребни (з/у с КН 16:15:030401:127)</w:t>
            </w:r>
          </w:p>
        </w:tc>
        <w:tc>
          <w:tcPr>
            <w:tcW w:w="2267"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Ориентировочная (нормативная) зона</w:t>
            </w:r>
          </w:p>
        </w:tc>
        <w:tc>
          <w:tcPr>
            <w:tcW w:w="4819"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табл.7.1. п. 12.5.2 СанПиН .2.1/2.1.1.1200-03</w:t>
            </w:r>
          </w:p>
        </w:tc>
        <w:tc>
          <w:tcPr>
            <w:tcW w:w="992"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50</w:t>
            </w:r>
          </w:p>
        </w:tc>
        <w:tc>
          <w:tcPr>
            <w:tcW w:w="2409"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Соблюдается</w:t>
            </w:r>
          </w:p>
        </w:tc>
      </w:tr>
    </w:tbl>
    <w:p>
      <w:pPr>
        <w:sectPr>
          <w:footerReference w:type="default" r:id="rId52"/>
          <w:footerReference w:type="first" r:id="rId53"/>
          <w:type w:val="nextPage"/>
          <w:pgSz w:w="11906" w:h="16838"/>
          <w:pgMar w:left="1134" w:right="851" w:gutter="0" w:header="0" w:top="851" w:footer="708" w:bottom="851"/>
          <w:pgNumType w:fmt="decimal"/>
          <w:formProt w:val="false"/>
          <w:textDirection w:val="lrTb"/>
          <w:docGrid w:type="default" w:linePitch="360" w:charSpace="0"/>
        </w:sectPr>
      </w:pPr>
    </w:p>
    <w:p>
      <w:pPr>
        <w:pStyle w:val="Normal"/>
        <w:widowControl w:val="false"/>
        <w:suppressAutoHyphens w:val="true"/>
        <w:spacing w:lineRule="auto" w:line="240" w:before="0" w:after="0"/>
        <w:ind w:firstLine="709"/>
        <w:contextualSpacing/>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Таблица 6.1.2</w:t>
      </w:r>
    </w:p>
    <w:p>
      <w:pPr>
        <w:pStyle w:val="Normal"/>
        <w:widowControl w:val="false"/>
        <w:suppressAutoHyphens w:val="true"/>
        <w:spacing w:lineRule="auto" w:line="240"/>
        <w:ind w:firstLine="709"/>
        <w:jc w:val="center"/>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Регламенты использования санитарно-защитных зон</w:t>
      </w:r>
    </w:p>
    <w:tbl>
      <w:tblPr>
        <w:tblStyle w:val="af0"/>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2251"/>
        <w:gridCol w:w="4967"/>
        <w:gridCol w:w="2703"/>
      </w:tblGrid>
      <w:tr>
        <w:trPr>
          <w:tblHeader w:val="true"/>
        </w:trPr>
        <w:tc>
          <w:tcPr>
            <w:tcW w:w="2251" w:type="dxa"/>
            <w:tcBorders/>
            <w:vAlign w:val="center"/>
          </w:tcPr>
          <w:p>
            <w:pPr>
              <w:pStyle w:val="Style38"/>
              <w:widowControl w:val="false"/>
              <w:suppressAutoHyphens w:val="true"/>
              <w:spacing w:before="0" w:after="0"/>
              <w:ind w:left="0" w:right="0" w:hanging="0"/>
              <w:contextualSpacing/>
              <w:jc w:val="center"/>
              <w:rPr>
                <w:sz w:val="20"/>
              </w:rPr>
            </w:pPr>
            <w:r>
              <w:rPr>
                <w:kern w:val="0"/>
                <w:sz w:val="20"/>
                <w:lang w:val="ru-RU" w:bidi="ar-SA"/>
              </w:rPr>
              <w:t>Наименование зоны</w:t>
            </w:r>
          </w:p>
        </w:tc>
        <w:tc>
          <w:tcPr>
            <w:tcW w:w="4967" w:type="dxa"/>
            <w:tcBorders/>
            <w:vAlign w:val="center"/>
          </w:tcPr>
          <w:p>
            <w:pPr>
              <w:pStyle w:val="Style38"/>
              <w:widowControl w:val="false"/>
              <w:suppressAutoHyphens w:val="true"/>
              <w:spacing w:before="0" w:after="0"/>
              <w:ind w:left="0" w:right="0" w:hanging="0"/>
              <w:contextualSpacing/>
              <w:jc w:val="center"/>
              <w:rPr>
                <w:sz w:val="20"/>
              </w:rPr>
            </w:pPr>
            <w:r>
              <w:rPr>
                <w:kern w:val="0"/>
                <w:sz w:val="20"/>
                <w:lang w:val="ru-RU" w:bidi="ar-SA"/>
              </w:rPr>
              <w:t>Правовой режим использования зоны</w:t>
            </w:r>
          </w:p>
        </w:tc>
        <w:tc>
          <w:tcPr>
            <w:tcW w:w="2703" w:type="dxa"/>
            <w:tcBorders/>
            <w:vAlign w:val="center"/>
          </w:tcPr>
          <w:p>
            <w:pPr>
              <w:pStyle w:val="Style38"/>
              <w:widowControl w:val="false"/>
              <w:suppressAutoHyphens w:val="true"/>
              <w:spacing w:before="0" w:after="0"/>
              <w:ind w:left="0" w:right="0" w:hanging="0"/>
              <w:contextualSpacing/>
              <w:jc w:val="center"/>
              <w:rPr>
                <w:sz w:val="20"/>
              </w:rPr>
            </w:pPr>
            <w:r>
              <w:rPr>
                <w:kern w:val="0"/>
                <w:sz w:val="20"/>
                <w:lang w:val="ru-RU" w:bidi="ar-SA"/>
              </w:rPr>
              <w:t>Обоснование</w:t>
            </w:r>
          </w:p>
          <w:p>
            <w:pPr>
              <w:pStyle w:val="Style38"/>
              <w:widowControl w:val="false"/>
              <w:suppressAutoHyphens w:val="true"/>
              <w:spacing w:before="0" w:after="0"/>
              <w:ind w:left="0" w:right="0" w:hanging="0"/>
              <w:contextualSpacing/>
              <w:jc w:val="center"/>
              <w:rPr>
                <w:sz w:val="20"/>
              </w:rPr>
            </w:pPr>
            <w:r>
              <w:rPr>
                <w:kern w:val="0"/>
                <w:sz w:val="20"/>
                <w:lang w:val="ru-RU" w:bidi="ar-SA"/>
              </w:rPr>
              <w:t>(нормативные документы)</w:t>
            </w:r>
          </w:p>
        </w:tc>
      </w:tr>
      <w:tr>
        <w:trPr/>
        <w:tc>
          <w:tcPr>
            <w:tcW w:w="2251" w:type="dxa"/>
            <w:tcBorders/>
          </w:tcPr>
          <w:p>
            <w:pPr>
              <w:pStyle w:val="Normal"/>
              <w:widowControl w:val="false"/>
              <w:suppressAutoHyphens w:val="true"/>
              <w:spacing w:lineRule="auto" w:line="240" w:before="0" w:after="0"/>
              <w:jc w:val="left"/>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Санитарно-защитная зона</w:t>
            </w:r>
          </w:p>
        </w:tc>
        <w:tc>
          <w:tcPr>
            <w:tcW w:w="4967" w:type="dxa"/>
            <w:tcBorders/>
          </w:tcPr>
          <w:p>
            <w:pPr>
              <w:pStyle w:val="ConsPlusNormal"/>
              <w:widowControl w:val="false"/>
              <w:spacing w:before="240" w:after="0"/>
              <w:ind w:left="0" w:right="0" w:firstLine="191"/>
              <w:contextualSpacing/>
              <w:jc w:val="both"/>
              <w:rPr>
                <w:rFonts w:ascii="Times New Roman" w:hAnsi="Times New Roman" w:cs="Times New Roman"/>
                <w:sz w:val="20"/>
              </w:rPr>
            </w:pPr>
            <w:r>
              <w:rPr>
                <w:rFonts w:cs="Times New Roman" w:ascii="Times New Roman" w:hAnsi="Times New Roman"/>
                <w:kern w:val="0"/>
                <w:sz w:val="20"/>
                <w:lang w:val="ru-RU" w:bidi="ar-SA"/>
              </w:rPr>
              <w:t>В границах санитарно-защитной зоны не допускается использования земельных участков в целях:</w:t>
            </w:r>
          </w:p>
          <w:p>
            <w:pPr>
              <w:pStyle w:val="ConsPlusNormal"/>
              <w:widowControl w:val="false"/>
              <w:spacing w:before="240" w:after="0"/>
              <w:ind w:left="0" w:right="0" w:firstLine="191"/>
              <w:contextualSpacing/>
              <w:jc w:val="both"/>
              <w:rPr>
                <w:rFonts w:ascii="Times New Roman" w:hAnsi="Times New Roman" w:cs="Times New Roman"/>
                <w:sz w:val="20"/>
              </w:rPr>
            </w:pPr>
            <w:r>
              <w:rPr>
                <w:rFonts w:cs="Times New Roman" w:ascii="Times New Roman" w:hAnsi="Times New Roman"/>
                <w:kern w:val="0"/>
                <w:sz w:val="20"/>
                <w:lang w:val="ru-RU" w:bidi="ar-SA"/>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pPr>
              <w:pStyle w:val="ConsPlusNormal"/>
              <w:widowControl w:val="false"/>
              <w:spacing w:before="0" w:after="0"/>
              <w:ind w:left="0" w:right="0" w:firstLine="191"/>
              <w:contextualSpacing/>
              <w:jc w:val="both"/>
              <w:rPr>
                <w:rFonts w:ascii="Times New Roman" w:hAnsi="Times New Roman" w:cs="Times New Roman"/>
                <w:sz w:val="20"/>
              </w:rPr>
            </w:pPr>
            <w:r>
              <w:rPr>
                <w:rFonts w:cs="Times New Roman" w:ascii="Times New Roman" w:hAnsi="Times New Roman"/>
                <w:kern w:val="0"/>
                <w:sz w:val="20"/>
                <w:lang w:val="ru-RU" w:bidi="ar-SA"/>
              </w:rPr>
              <w:t>(в ред. Постановления Правительства РФ от 21.12.2018 № 1622)</w:t>
            </w:r>
          </w:p>
          <w:p>
            <w:pPr>
              <w:pStyle w:val="ConsPlusNormal"/>
              <w:widowControl w:val="false"/>
              <w:spacing w:before="240" w:after="0"/>
              <w:ind w:left="0" w:right="0" w:firstLine="191"/>
              <w:contextualSpacing/>
              <w:jc w:val="both"/>
              <w:rPr>
                <w:rFonts w:ascii="Times New Roman" w:hAnsi="Times New Roman" w:cs="Times New Roman"/>
                <w:sz w:val="20"/>
              </w:rPr>
            </w:pPr>
            <w:bookmarkStart w:id="151" w:name="Par54"/>
            <w:bookmarkEnd w:id="151"/>
            <w:r>
              <w:rPr>
                <w:rFonts w:cs="Times New Roman" w:ascii="Times New Roman" w:hAnsi="Times New Roman"/>
                <w:kern w:val="0"/>
                <w:sz w:val="20"/>
                <w:lang w:val="ru-RU" w:bidi="ar-SA"/>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pPr>
              <w:pStyle w:val="Style35"/>
              <w:widowControl/>
              <w:spacing w:before="0" w:after="0"/>
              <w:ind w:left="0" w:right="0" w:firstLine="191"/>
              <w:contextualSpacing/>
              <w:jc w:val="both"/>
              <w:rPr>
                <w:b w:val="false"/>
                <w:sz w:val="20"/>
                <w:lang w:val="ru-RU"/>
              </w:rPr>
            </w:pPr>
            <w:r>
              <w:rPr>
                <w:b w:val="false"/>
                <w:kern w:val="0"/>
                <w:sz w:val="20"/>
                <w:lang w:val="ru-RU" w:bidi="ar-SA"/>
              </w:rPr>
            </w:r>
          </w:p>
        </w:tc>
        <w:tc>
          <w:tcPr>
            <w:tcW w:w="2703" w:type="dxa"/>
            <w:tcBorders/>
          </w:tcPr>
          <w:p>
            <w:pPr>
              <w:pStyle w:val="Normal"/>
              <w:widowControl w:val="false"/>
              <w:tabs>
                <w:tab w:val="clear" w:pos="709"/>
                <w:tab w:val="left" w:pos="2431" w:leader="none"/>
              </w:tabs>
              <w:suppressAutoHyphens w:val="true"/>
              <w:spacing w:lineRule="auto" w:line="240" w:before="0" w:after="0"/>
              <w:jc w:val="left"/>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Правила</w:t>
            </w:r>
          </w:p>
          <w:p>
            <w:pPr>
              <w:pStyle w:val="Normal"/>
              <w:widowControl w:val="false"/>
              <w:tabs>
                <w:tab w:val="clear" w:pos="709"/>
                <w:tab w:val="left" w:pos="2431" w:leader="none"/>
              </w:tabs>
              <w:suppressAutoHyphens w:val="true"/>
              <w:spacing w:lineRule="auto" w:line="240" w:before="0" w:after="0"/>
              <w:jc w:val="left"/>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установления санитарно-защитных зон и использования</w:t>
            </w:r>
          </w:p>
          <w:p>
            <w:pPr>
              <w:pStyle w:val="Normal"/>
              <w:widowControl w:val="false"/>
              <w:tabs>
                <w:tab w:val="clear" w:pos="709"/>
                <w:tab w:val="left" w:pos="2431" w:leader="none"/>
              </w:tabs>
              <w:suppressAutoHyphens w:val="true"/>
              <w:spacing w:lineRule="auto" w:line="240" w:before="0" w:after="0"/>
              <w:jc w:val="left"/>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земельных участков, расположенных в границах</w:t>
            </w:r>
          </w:p>
          <w:p>
            <w:pPr>
              <w:pStyle w:val="Normal"/>
              <w:widowControl w:val="false"/>
              <w:tabs>
                <w:tab w:val="clear" w:pos="709"/>
                <w:tab w:val="left" w:pos="2431" w:leader="none"/>
              </w:tabs>
              <w:suppressAutoHyphens w:val="true"/>
              <w:spacing w:lineRule="auto" w:line="240" w:before="0" w:after="0"/>
              <w:jc w:val="left"/>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санитарно-защитных зон (утв. Постановлением Правительства РФ от 03.03.2018 №222)</w:t>
            </w:r>
          </w:p>
        </w:tc>
      </w:tr>
      <w:tr>
        <w:trPr/>
        <w:tc>
          <w:tcPr>
            <w:tcW w:w="2251" w:type="dxa"/>
            <w:tcBorders/>
          </w:tcPr>
          <w:p>
            <w:pPr>
              <w:pStyle w:val="Normal"/>
              <w:widowControl w:val="false"/>
              <w:suppressAutoHyphens w:val="true"/>
              <w:spacing w:lineRule="auto" w:line="240" w:before="0" w:after="0"/>
              <w:jc w:val="left"/>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Санитарно-защитная зона</w:t>
            </w:r>
          </w:p>
        </w:tc>
        <w:tc>
          <w:tcPr>
            <w:tcW w:w="4967" w:type="dxa"/>
            <w:tcBorders/>
          </w:tcPr>
          <w:p>
            <w:pPr>
              <w:pStyle w:val="Style35"/>
              <w:widowControl/>
              <w:spacing w:before="0" w:after="0"/>
              <w:ind w:left="0" w:right="0" w:firstLine="191"/>
              <w:contextualSpacing/>
              <w:jc w:val="both"/>
              <w:rPr>
                <w:b w:val="false"/>
                <w:sz w:val="20"/>
                <w:lang w:val="ru-RU"/>
              </w:rPr>
            </w:pPr>
            <w:r>
              <w:rPr>
                <w:b w:val="false"/>
                <w:kern w:val="0"/>
                <w:sz w:val="20"/>
                <w:lang w:val="ru-RU" w:bidi="ar-SA"/>
              </w:rPr>
              <w:t>Не допускается размещение:</w:t>
            </w:r>
          </w:p>
          <w:p>
            <w:pPr>
              <w:pStyle w:val="Style94"/>
              <w:widowControl/>
              <w:numPr>
                <w:ilvl w:val="0"/>
                <w:numId w:val="43"/>
              </w:numPr>
              <w:spacing w:before="0" w:after="0"/>
              <w:ind w:left="0" w:right="0" w:firstLine="191"/>
              <w:rPr>
                <w:kern w:val="0"/>
                <w:lang w:val="ru-RU" w:bidi="ar-SA"/>
              </w:rPr>
            </w:pPr>
            <w:r>
              <w:rPr>
                <w:kern w:val="0"/>
                <w:lang w:val="ru-RU" w:bidi="ar-SA"/>
              </w:rPr>
              <w:t>жилой застройки,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pPr>
              <w:pStyle w:val="Style94"/>
              <w:widowControl/>
              <w:numPr>
                <w:ilvl w:val="0"/>
                <w:numId w:val="43"/>
              </w:numPr>
              <w:spacing w:before="0" w:after="0"/>
              <w:ind w:left="0" w:right="0" w:firstLine="191"/>
              <w:rPr>
                <w:kern w:val="0"/>
                <w:lang w:val="ru-RU" w:bidi="ar-SA"/>
              </w:rPr>
            </w:pPr>
            <w:r>
              <w:rPr>
                <w:kern w:val="0"/>
                <w:lang w:val="ru-RU" w:bidi="ar-SA"/>
              </w:rPr>
              <w:t>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pPr>
              <w:pStyle w:val="Style94"/>
              <w:widowControl/>
              <w:numPr>
                <w:ilvl w:val="0"/>
                <w:numId w:val="43"/>
              </w:numPr>
              <w:spacing w:before="0" w:after="0"/>
              <w:ind w:left="0" w:right="0" w:firstLine="191"/>
              <w:rPr>
                <w:kern w:val="0"/>
                <w:lang w:val="ru-RU" w:bidi="ar-SA"/>
              </w:rPr>
            </w:pPr>
            <w:r>
              <w:rPr>
                <w:kern w:val="0"/>
                <w:lang w:val="ru-RU" w:bidi="ar-SA"/>
              </w:rPr>
              <w:t>объектов по производству лекарственных веществ, лекарственных средств и (или) лекарственных форм, складов сырья и полупродуктов для фармацевтических предприятий; объектов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pPr>
              <w:pStyle w:val="Normal"/>
              <w:widowControl w:val="false"/>
              <w:suppressAutoHyphens w:val="true"/>
              <w:spacing w:lineRule="auto" w:line="240" w:before="0" w:after="0"/>
              <w:ind w:left="0" w:right="0" w:firstLine="191"/>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Допускается размещать</w:t>
            </w:r>
            <w:r>
              <w:rPr>
                <w:rFonts w:eastAsia="Calibri" w:cs="Times New Roman" w:ascii="Times New Roman" w:hAnsi="Times New Roman"/>
                <w:i/>
                <w:iCs/>
                <w:kern w:val="0"/>
                <w:sz w:val="20"/>
                <w:szCs w:val="20"/>
                <w:lang w:val="ru-RU" w:eastAsia="en-US" w:bidi="ar-SA"/>
              </w:rPr>
              <w:t xml:space="preserve"> </w:t>
            </w:r>
            <w:r>
              <w:rPr>
                <w:rFonts w:eastAsia="Calibri" w:cs="Times New Roman" w:ascii="Times New Roman" w:hAnsi="Times New Roman"/>
                <w:iCs/>
                <w:kern w:val="0"/>
                <w:sz w:val="20"/>
                <w:szCs w:val="20"/>
                <w:lang w:val="ru-RU" w:eastAsia="en-US" w:bidi="ar-SA"/>
              </w:rPr>
              <w:t>нежилые помещения для дежурного аварийного персонала, помещения для пребывания работающих по вахтовому методу, здания управления, конструкторские бюро, здания административного назначения, научно-исследовательские лабора</w:t>
              <w:softHyphen/>
              <w:t>тории, поликлиники, спортив</w:t>
              <w:softHyphen/>
              <w:t>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w:t>
              <w:softHyphen/>
              <w:t>оружения для подготовки технической воды, канализационные на</w:t>
              <w:softHyphen/>
              <w:t>сосные станции, сооружения оборотного водоснабжения, АЗС, СТО.</w:t>
            </w:r>
          </w:p>
        </w:tc>
        <w:tc>
          <w:tcPr>
            <w:tcW w:w="2703" w:type="dxa"/>
            <w:tcBorders/>
          </w:tcPr>
          <w:p>
            <w:pPr>
              <w:pStyle w:val="Normal"/>
              <w:widowControl w:val="false"/>
              <w:suppressAutoHyphens w:val="true"/>
              <w:spacing w:lineRule="auto" w:line="240" w:before="0" w:after="0"/>
              <w:ind w:left="0" w:right="0" w:firstLine="142"/>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СанПиН 2.2.1/2.1.1.1200-03</w:t>
            </w:r>
          </w:p>
        </w:tc>
      </w:tr>
      <w:tr>
        <w:trPr>
          <w:trHeight w:val="1793" w:hRule="atLeast"/>
        </w:trPr>
        <w:tc>
          <w:tcPr>
            <w:tcW w:w="2251" w:type="dxa"/>
            <w:vMerge w:val="restart"/>
            <w:tcBorders/>
          </w:tcPr>
          <w:p>
            <w:pPr>
              <w:pStyle w:val="Normal"/>
              <w:widowControl w:val="false"/>
              <w:suppressAutoHyphens w:val="true"/>
              <w:spacing w:lineRule="auto" w:line="240" w:before="0" w:after="0"/>
              <w:jc w:val="left"/>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Санитарно-защитная зона биотермической ямы</w:t>
            </w:r>
          </w:p>
        </w:tc>
        <w:tc>
          <w:tcPr>
            <w:tcW w:w="4967" w:type="dxa"/>
            <w:tcBorders/>
          </w:tcPr>
          <w:p>
            <w:pPr>
              <w:pStyle w:val="Normal"/>
              <w:widowControl w:val="false"/>
              <w:suppressAutoHyphens w:val="true"/>
              <w:spacing w:lineRule="auto" w:line="240" w:before="0" w:after="0"/>
              <w:ind w:left="0" w:right="0" w:firstLine="142"/>
              <w:jc w:val="both"/>
              <w:rPr>
                <w:rFonts w:ascii="Times New Roman" w:hAnsi="Times New Roman" w:cs="Times New Roman"/>
                <w:caps/>
                <w:sz w:val="20"/>
                <w:szCs w:val="20"/>
                <w:highlight w:val="yellow"/>
              </w:rPr>
            </w:pPr>
            <w:r>
              <w:rPr>
                <w:rFonts w:eastAsia="Calibri" w:cs="Times New Roman" w:ascii="Times New Roman" w:hAnsi="Times New Roman"/>
                <w:kern w:val="0"/>
                <w:sz w:val="20"/>
                <w:szCs w:val="22"/>
                <w:lang w:val="ru-RU" w:eastAsia="en-US" w:bidi="ar-SA"/>
              </w:rPr>
              <w:t>На территории скотомогильника и отдельно стоящей биотермической ямы запрещается пасти скот, косить траву, перемещать землю и гуммированный остаток за пределы скотомогильника и отдельно стоящей биотермической ямы.</w:t>
            </w:r>
          </w:p>
        </w:tc>
        <w:tc>
          <w:tcPr>
            <w:tcW w:w="2703" w:type="dxa"/>
            <w:tcBorders/>
          </w:tcPr>
          <w:p>
            <w:pPr>
              <w:pStyle w:val="Normal"/>
              <w:widowControl w:val="false"/>
              <w:suppressAutoHyphens w:val="true"/>
              <w:spacing w:lineRule="auto" w:line="240" w:before="0" w:after="0"/>
              <w:jc w:val="both"/>
              <w:rPr>
                <w:rFonts w:ascii="Times New Roman" w:hAnsi="Times New Roman" w:cs="Times New Roman"/>
                <w:bCs/>
                <w:sz w:val="20"/>
                <w:szCs w:val="20"/>
                <w:highlight w:val="yellow"/>
              </w:rPr>
            </w:pPr>
            <w:r>
              <w:rPr>
                <w:rFonts w:eastAsia="Calibri" w:cs="Times New Roman" w:ascii="Times New Roman" w:hAnsi="Times New Roman"/>
                <w:kern w:val="0"/>
                <w:sz w:val="20"/>
                <w:szCs w:val="22"/>
                <w:lang w:val="ru-RU" w:eastAsia="en-US" w:bidi="ar-SA"/>
              </w:rPr>
              <w:t>Ветеринарные правила перемещения, хранения, переработки и утилизации биологических отходов, утв. Приказом Минсельхоза России от 26.10.2020 № 626 (Зарегистрировано в Минюсте России 29.10.2020 № 60657)</w:t>
            </w:r>
          </w:p>
        </w:tc>
      </w:tr>
      <w:tr>
        <w:trPr>
          <w:trHeight w:val="1066" w:hRule="atLeast"/>
        </w:trPr>
        <w:tc>
          <w:tcPr>
            <w:tcW w:w="2251" w:type="dxa"/>
            <w:vMerge w:val="continue"/>
            <w:tcBorders/>
          </w:tcPr>
          <w:p>
            <w:pPr>
              <w:pStyle w:val="Normal"/>
              <w:widowControl w:val="false"/>
              <w:suppressAutoHyphens w:val="true"/>
              <w:spacing w:lineRule="auto" w:line="240" w:before="0" w:after="0"/>
              <w:jc w:val="left"/>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r>
          </w:p>
        </w:tc>
        <w:tc>
          <w:tcPr>
            <w:tcW w:w="4967" w:type="dxa"/>
            <w:tcBorders/>
          </w:tcPr>
          <w:p>
            <w:pPr>
              <w:pStyle w:val="ConsPlusNormal"/>
              <w:widowControl w:val="false"/>
              <w:spacing w:before="0" w:after="0"/>
              <w:ind w:left="0" w:right="0" w:firstLine="142"/>
              <w:contextualSpacing/>
              <w:jc w:val="both"/>
              <w:rPr>
                <w:rFonts w:ascii="Times New Roman" w:hAnsi="Times New Roman" w:cs="Times New Roman"/>
                <w:caps/>
                <w:sz w:val="20"/>
              </w:rPr>
            </w:pPr>
            <w:r>
              <w:rPr>
                <w:rFonts w:cs="Times New Roman" w:ascii="Times New Roman" w:hAnsi="Times New Roman"/>
                <w:kern w:val="0"/>
                <w:sz w:val="20"/>
                <w:lang w:val="ru-RU" w:bidi="ar-SA"/>
              </w:rPr>
              <w:t>За минимальные зооветеринарные следует принимать расстояния:</w:t>
            </w:r>
          </w:p>
          <w:p>
            <w:pPr>
              <w:pStyle w:val="ConsPlusNormal"/>
              <w:widowControl w:val="false"/>
              <w:spacing w:before="0" w:after="0"/>
              <w:ind w:left="0" w:right="0" w:firstLine="142"/>
              <w:contextualSpacing/>
              <w:jc w:val="both"/>
              <w:rPr>
                <w:rFonts w:ascii="Times New Roman" w:hAnsi="Times New Roman" w:cs="Times New Roman"/>
                <w:caps/>
                <w:sz w:val="20"/>
              </w:rPr>
            </w:pPr>
            <w:r>
              <w:rPr>
                <w:rFonts w:cs="Times New Roman" w:ascii="Times New Roman" w:hAnsi="Times New Roman"/>
                <w:kern w:val="0"/>
                <w:sz w:val="20"/>
                <w:lang w:val="ru-RU" w:bidi="ar-SA"/>
              </w:rPr>
              <w:t>- от биотермических ям до животноводческих комплексов и ферм - 1000 м.</w:t>
            </w:r>
          </w:p>
        </w:tc>
        <w:tc>
          <w:tcPr>
            <w:tcW w:w="2703" w:type="dxa"/>
            <w:tcBorders/>
          </w:tcPr>
          <w:p>
            <w:pPr>
              <w:pStyle w:val="Normal"/>
              <w:widowControl w:val="false"/>
              <w:suppressAutoHyphens w:val="true"/>
              <w:spacing w:lineRule="auto" w:line="240" w:before="0" w:after="0"/>
              <w:jc w:val="both"/>
              <w:rPr>
                <w:rFonts w:ascii="Times New Roman" w:hAnsi="Times New Roman" w:cs="Times New Roman"/>
                <w:sz w:val="20"/>
              </w:rPr>
            </w:pPr>
            <w:r>
              <w:rPr>
                <w:rFonts w:eastAsia="Calibri" w:cs="Times New Roman" w:ascii="Times New Roman" w:hAnsi="Times New Roman"/>
                <w:kern w:val="0"/>
                <w:sz w:val="20"/>
                <w:szCs w:val="22"/>
                <w:lang w:val="ru-RU" w:eastAsia="en-US" w:bidi="ar-SA"/>
              </w:rPr>
              <w:t>РД-АПК 3.10.07.05-17. Ветеринарно-санитарные требования при проектировании, строительстве, реконструкции и эксплуатации животноводческих помещений, утв. и введены в действие Минсельхозом России 23.05.2017</w:t>
            </w:r>
          </w:p>
        </w:tc>
      </w:tr>
    </w:tbl>
    <w:p>
      <w:pPr>
        <w:pStyle w:val="Style35"/>
        <w:rPr>
          <w:lang w:val="ru-RU"/>
        </w:rPr>
      </w:pPr>
      <w:r>
        <w:rPr>
          <w:lang w:val="ru-RU"/>
        </w:rPr>
      </w:r>
      <w:bookmarkStart w:id="152" w:name="_Toc34205845"/>
      <w:bookmarkStart w:id="153" w:name="_Toc34205845"/>
    </w:p>
    <w:p>
      <w:pPr>
        <w:pStyle w:val="ListParagraph"/>
        <w:widowControl w:val="false"/>
        <w:numPr>
          <w:ilvl w:val="1"/>
          <w:numId w:val="42"/>
        </w:numPr>
        <w:suppressAutoHyphens w:val="true"/>
        <w:spacing w:lineRule="auto" w:line="240" w:before="0" w:after="160"/>
        <w:ind w:left="0" w:firstLine="709"/>
        <w:contextualSpacing w:val="false"/>
        <w:jc w:val="center"/>
        <w:outlineLvl w:val="1"/>
        <w:rPr>
          <w:rFonts w:ascii="Times New Roman" w:hAnsi="Times New Roman" w:eastAsia="" w:cs="Times New Roman" w:eastAsiaTheme="majorEastAsia"/>
          <w:b/>
          <w:sz w:val="28"/>
          <w:szCs w:val="28"/>
          <w:lang w:eastAsia="ru-RU"/>
        </w:rPr>
      </w:pPr>
      <w:bookmarkStart w:id="154" w:name="_Toc34205845"/>
      <w:bookmarkStart w:id="155" w:name="_Toc147740060"/>
      <w:r>
        <w:rPr>
          <w:rFonts w:eastAsia="" w:cs="Times New Roman" w:ascii="Times New Roman" w:hAnsi="Times New Roman" w:eastAsiaTheme="majorEastAsia"/>
          <w:b/>
          <w:sz w:val="28"/>
          <w:szCs w:val="28"/>
          <w:lang w:eastAsia="ru-RU"/>
        </w:rPr>
        <w:t>Придорожные полосы автомобильных дорог, санитарный разрыв и охранная зона железных дорог, приаэродромная территория</w:t>
      </w:r>
      <w:bookmarkEnd w:id="154"/>
      <w:r>
        <w:rPr>
          <w:rFonts w:eastAsia="" w:cs="Times New Roman" w:ascii="Times New Roman" w:hAnsi="Times New Roman" w:eastAsiaTheme="majorEastAsia"/>
          <w:b/>
          <w:sz w:val="28"/>
          <w:szCs w:val="28"/>
          <w:lang w:eastAsia="ru-RU"/>
        </w:rPr>
        <w:t>, минимальные расстояния от АЗС</w:t>
      </w:r>
      <w:bookmarkEnd w:id="155"/>
    </w:p>
    <w:p>
      <w:pPr>
        <w:pStyle w:val="Normal"/>
        <w:spacing w:lineRule="auto" w:line="240" w:before="0" w:after="0"/>
        <w:ind w:firstLine="851"/>
        <w:jc w:val="both"/>
        <w:rPr>
          <w:rFonts w:ascii="Times New Roman" w:hAnsi="Times New Roman" w:eastAsia="Times New Roman" w:cs="Times New Roman"/>
          <w:sz w:val="28"/>
          <w:szCs w:val="28"/>
          <w:lang w:eastAsia="ru-RU"/>
        </w:rPr>
      </w:pPr>
      <w:r>
        <w:rPr>
          <w:rFonts w:cs="Times New Roman" w:ascii="Times New Roman" w:hAnsi="Times New Roman"/>
          <w:i/>
          <w:sz w:val="28"/>
          <w:szCs w:val="28"/>
        </w:rPr>
        <w:t>Придорожные полосы</w:t>
      </w:r>
      <w:r>
        <w:rPr>
          <w:rFonts w:eastAsia="Times New Roman" w:cs="Times New Roman" w:ascii="Times New Roman" w:hAnsi="Times New Roman"/>
          <w:sz w:val="28"/>
          <w:szCs w:val="28"/>
          <w:lang w:eastAsia="ru-RU"/>
        </w:rPr>
        <w:t>. По территории поселения проходят автомобильные дороги регионального значения III, IV, V категории:</w:t>
      </w:r>
      <w:r>
        <w:rPr/>
        <w:t xml:space="preserve"> </w:t>
      </w:r>
      <w:r>
        <w:rPr>
          <w:rFonts w:eastAsia="Times New Roman" w:cs="Times New Roman" w:ascii="Times New Roman" w:hAnsi="Times New Roman"/>
          <w:sz w:val="28"/>
          <w:szCs w:val="28"/>
          <w:lang w:eastAsia="ru-RU"/>
        </w:rPr>
        <w:t xml:space="preserve">Казань - Ульяновск - Камское Устье – Гребени; Казань - Ульяновск - Камское Устье (ЗОУИТ 16:15-6.1717); Янга-Болгар - Матюшино - Бакча-Сарай; Подъезд к д. Ватан; Вахитово – Ташевка; дороги местного значения.  </w:t>
      </w:r>
    </w:p>
    <w:p>
      <w:pPr>
        <w:pStyle w:val="Normal"/>
        <w:widowControl w:val="false"/>
        <w:tabs>
          <w:tab w:val="clear" w:pos="709"/>
          <w:tab w:val="left" w:pos="1770" w:leader="none"/>
        </w:tabs>
        <w:suppressAutoHyphens w:val="true"/>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На территории поселения планируется строительство скоростной автомобильной дороги федерального значения IБ категории: М-12 Москва-Казань. </w:t>
      </w:r>
    </w:p>
    <w:p>
      <w:pPr>
        <w:pStyle w:val="Normal"/>
        <w:widowControl w:val="false"/>
        <w:tabs>
          <w:tab w:val="clear" w:pos="709"/>
          <w:tab w:val="left" w:pos="1770" w:leader="none"/>
        </w:tabs>
        <w:suppressAutoHyphens w:val="true"/>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Также планируется строительство автомобильных дорог регионального значения: Казань - Ульяновск - Камское Устье – Гребени; Вахитово – Ташевка; Янга-Болгар - Матюшино - Бакча-Сарай. </w:t>
      </w:r>
    </w:p>
    <w:p>
      <w:pPr>
        <w:pStyle w:val="Normal"/>
        <w:widowControl w:val="false"/>
        <w:tabs>
          <w:tab w:val="clear" w:pos="709"/>
          <w:tab w:val="left" w:pos="1770" w:leader="none"/>
        </w:tabs>
        <w:suppressAutoHyphens w:val="true"/>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Согласно п.1 ст. </w:t>
      </w:r>
      <w:bookmarkStart w:id="156" w:name="_Hlk132623097"/>
      <w:r>
        <w:rPr>
          <w:rFonts w:eastAsia="Times New Roman" w:cs="Times New Roman" w:ascii="Times New Roman" w:hAnsi="Times New Roman"/>
          <w:sz w:val="28"/>
          <w:szCs w:val="28"/>
          <w:lang w:eastAsia="ru-RU"/>
        </w:rPr>
        <w:t>26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(далее – ФЗ от 08.11.2007 №257-ФЗ)</w:t>
      </w:r>
      <w:bookmarkEnd w:id="156"/>
      <w:r>
        <w:rPr>
          <w:rFonts w:eastAsia="Times New Roman" w:cs="Times New Roman" w:ascii="Times New Roman" w:hAnsi="Times New Roman"/>
          <w:sz w:val="28"/>
          <w:szCs w:val="28"/>
          <w:lang w:eastAsia="ru-RU"/>
        </w:rPr>
        <w:t>, для автомобильных дорог, за исключением автомобильных дорог, расположенных в границах населенных пунктов, устанавливаются придорожные полосы.</w:t>
      </w:r>
    </w:p>
    <w:p>
      <w:pPr>
        <w:pStyle w:val="Normal"/>
        <w:shd w:val="clear" w:color="auto" w:fill="FFFFFF" w:themeFill="background1"/>
        <w:spacing w:lineRule="auto" w:line="240" w:before="0" w:after="0"/>
        <w:ind w:firstLine="709"/>
        <w:contextualSpacing/>
        <w:jc w:val="both"/>
        <w:rPr>
          <w:rFonts w:ascii="Times New Roman" w:hAnsi="Times New Roman" w:eastAsia="" w:eastAsiaTheme="minorEastAsia"/>
          <w:sz w:val="28"/>
          <w:szCs w:val="28"/>
        </w:rPr>
      </w:pPr>
      <w:r>
        <w:rPr>
          <w:rFonts w:eastAsia="" w:ascii="Times New Roman" w:hAnsi="Times New Roman" w:eastAsiaTheme="minorEastAsia"/>
          <w:sz w:val="28"/>
          <w:szCs w:val="28"/>
        </w:rPr>
        <w:t xml:space="preserve">Согласно ст. 3 </w:t>
      </w:r>
      <w:r>
        <w:rPr>
          <w:rFonts w:eastAsia="Times New Roman" w:cs="Times New Roman" w:ascii="Times New Roman" w:hAnsi="Times New Roman"/>
          <w:sz w:val="28"/>
          <w:szCs w:val="28"/>
          <w:lang w:eastAsia="ru-RU"/>
        </w:rPr>
        <w:t>ФЗ от 08.11.2007 №257-ФЗ</w:t>
      </w:r>
      <w:r>
        <w:rPr>
          <w:rFonts w:cs="Times New Roman" w:ascii="Times New Roman" w:hAnsi="Times New Roman"/>
          <w:sz w:val="28"/>
          <w:szCs w:val="28"/>
          <w:lang w:eastAsia="ru-RU"/>
        </w:rPr>
        <w:t xml:space="preserve">, </w:t>
      </w:r>
      <w:r>
        <w:rPr>
          <w:rFonts w:eastAsia="" w:ascii="Times New Roman" w:hAnsi="Times New Roman" w:eastAsiaTheme="minorEastAsia"/>
          <w:sz w:val="28"/>
          <w:szCs w:val="28"/>
        </w:rPr>
        <w:t>придорожные полосы – это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w:t>
      </w:r>
    </w:p>
    <w:p>
      <w:pPr>
        <w:pStyle w:val="Normal"/>
        <w:shd w:val="clear" w:color="auto" w:fill="FFFFFF" w:themeFill="background1"/>
        <w:spacing w:lineRule="auto" w:line="240" w:before="0" w:after="0"/>
        <w:ind w:firstLine="709"/>
        <w:contextualSpacing/>
        <w:jc w:val="both"/>
        <w:rPr>
          <w:rFonts w:ascii="Times New Roman" w:hAnsi="Times New Roman" w:eastAsia="" w:eastAsiaTheme="minorEastAsia"/>
          <w:sz w:val="28"/>
          <w:szCs w:val="28"/>
        </w:rPr>
      </w:pPr>
      <w:r>
        <w:rPr>
          <w:rFonts w:eastAsia="" w:ascii="Times New Roman" w:hAnsi="Times New Roman" w:eastAsiaTheme="minorEastAsia"/>
          <w:sz w:val="28"/>
          <w:szCs w:val="28"/>
        </w:rPr>
        <w:t>В случае, если полоса отвода автомобильной дороги не поставлена на кадастровый учет, в целях обеспечения требований безопасности дорожного движения, на картах зон с особыми условиями использования территории придорожные полосы отложены с учетом требований Норм отвода земель для размещения автомобильных дорог и (или) объектов дорожного сервиса, утвержденных Постановлением Правительства РФ от 02.09.2009 №717 (далее - Нормы отвода земель для размещения автомобильных дорог) и СП 34.13330.2021. Свод правил. Автомобильные дороги. СНиП 2.05.02-85*, утвержденного Приказом Минстроя России от 09.02.2021 № 53/пр (далее - СП 34.13330.2021) (ширина проезжей части). Такие придорожные полосы обозначены как ориентировочные.</w:t>
      </w:r>
    </w:p>
    <w:p>
      <w:pPr>
        <w:pStyle w:val="Normal"/>
        <w:widowControl w:val="false"/>
        <w:tabs>
          <w:tab w:val="clear" w:pos="709"/>
          <w:tab w:val="left" w:pos="1770" w:leader="none"/>
        </w:tabs>
        <w:suppressAutoHyphens w:val="true"/>
        <w:spacing w:lineRule="auto" w:line="240" w:before="0" w:after="0"/>
        <w:ind w:firstLine="709"/>
        <w:jc w:val="both"/>
        <w:rPr>
          <w:rFonts w:ascii="Times New Roman" w:hAnsi="Times New Roman" w:cs="Times New Roman"/>
          <w:sz w:val="28"/>
          <w:szCs w:val="28"/>
          <w:lang w:eastAsia="ru-RU"/>
        </w:rPr>
      </w:pPr>
      <w:r>
        <w:rPr>
          <w:rFonts w:eastAsia="Times New Roman" w:cs="Times New Roman" w:ascii="Times New Roman" w:hAnsi="Times New Roman"/>
          <w:sz w:val="28"/>
          <w:szCs w:val="28"/>
          <w:lang w:eastAsia="ru-RU"/>
        </w:rPr>
        <w:t xml:space="preserve">Размер придорожных полос автомобильных дорог </w:t>
      </w:r>
      <w:r>
        <w:rPr>
          <w:rFonts w:cs="Times New Roman" w:ascii="Times New Roman" w:hAnsi="Times New Roman"/>
          <w:sz w:val="28"/>
          <w:szCs w:val="28"/>
          <w:lang w:eastAsia="ru-RU"/>
        </w:rPr>
        <w:t xml:space="preserve">определяется в соответствии с п.2 ст. 26 </w:t>
      </w:r>
      <w:bookmarkStart w:id="157" w:name="_Hlk132624631"/>
      <w:r>
        <w:rPr>
          <w:rFonts w:eastAsia="Times New Roman" w:cs="Times New Roman" w:ascii="Times New Roman" w:hAnsi="Times New Roman"/>
          <w:sz w:val="28"/>
          <w:szCs w:val="28"/>
          <w:lang w:eastAsia="ru-RU"/>
        </w:rPr>
        <w:t>ФЗ от 08.11.2007 №257-ФЗ</w:t>
      </w:r>
      <w:bookmarkEnd w:id="157"/>
      <w:r>
        <w:rPr>
          <w:rFonts w:cs="Times New Roman" w:ascii="Times New Roman" w:hAnsi="Times New Roman"/>
          <w:sz w:val="28"/>
          <w:szCs w:val="28"/>
          <w:lang w:eastAsia="ru-RU"/>
        </w:rPr>
        <w:t xml:space="preserve"> в зависимости от класса и (или) категории автомобильных дорог и составляет:</w:t>
      </w:r>
    </w:p>
    <w:p>
      <w:pPr>
        <w:pStyle w:val="ListParagraph"/>
        <w:numPr>
          <w:ilvl w:val="0"/>
          <w:numId w:val="44"/>
        </w:numPr>
        <w:spacing w:lineRule="auto" w:line="240" w:before="0" w:after="0"/>
        <w:ind w:left="0" w:firstLine="851"/>
        <w:contextualSpacing/>
        <w:jc w:val="both"/>
        <w:rPr>
          <w:rFonts w:ascii="Times New Roman" w:hAnsi="Times New Roman" w:cs="Times New Roman"/>
          <w:sz w:val="28"/>
          <w:szCs w:val="28"/>
        </w:rPr>
      </w:pPr>
      <w:r>
        <w:rPr>
          <w:rFonts w:cs="Times New Roman" w:ascii="Times New Roman" w:hAnsi="Times New Roman"/>
          <w:sz w:val="28"/>
          <w:szCs w:val="28"/>
        </w:rPr>
        <w:t>75 м - для автомобильных дорог первой и второй категорий;</w:t>
      </w:r>
    </w:p>
    <w:p>
      <w:pPr>
        <w:pStyle w:val="ListParagraph"/>
        <w:numPr>
          <w:ilvl w:val="0"/>
          <w:numId w:val="44"/>
        </w:numPr>
        <w:spacing w:lineRule="auto" w:line="240" w:before="280" w:after="0"/>
        <w:ind w:left="0" w:firstLine="851"/>
        <w:contextualSpacing/>
        <w:jc w:val="both"/>
        <w:rPr>
          <w:rFonts w:ascii="Times New Roman" w:hAnsi="Times New Roman" w:cs="Times New Roman"/>
          <w:sz w:val="28"/>
          <w:szCs w:val="28"/>
        </w:rPr>
      </w:pPr>
      <w:r>
        <w:rPr>
          <w:rFonts w:cs="Times New Roman" w:ascii="Times New Roman" w:hAnsi="Times New Roman"/>
          <w:sz w:val="28"/>
          <w:szCs w:val="28"/>
        </w:rPr>
        <w:t>50 м - для автомобильных дорог третьей и четвертой категорий;</w:t>
      </w:r>
    </w:p>
    <w:p>
      <w:pPr>
        <w:pStyle w:val="ListParagraph"/>
        <w:numPr>
          <w:ilvl w:val="0"/>
          <w:numId w:val="44"/>
        </w:numPr>
        <w:spacing w:lineRule="auto" w:line="240" w:before="280" w:after="0"/>
        <w:ind w:left="0" w:firstLine="851"/>
        <w:contextualSpacing/>
        <w:jc w:val="both"/>
        <w:rPr>
          <w:rFonts w:ascii="Times New Roman" w:hAnsi="Times New Roman" w:cs="Times New Roman"/>
          <w:sz w:val="28"/>
          <w:szCs w:val="28"/>
        </w:rPr>
      </w:pPr>
      <w:r>
        <w:rPr>
          <w:rFonts w:cs="Times New Roman" w:ascii="Times New Roman" w:hAnsi="Times New Roman"/>
          <w:sz w:val="28"/>
          <w:szCs w:val="28"/>
        </w:rPr>
        <w:t>25 м - для автомобильных дорог пятой категории;</w:t>
      </w:r>
    </w:p>
    <w:p>
      <w:pPr>
        <w:pStyle w:val="ListParagraph"/>
        <w:numPr>
          <w:ilvl w:val="0"/>
          <w:numId w:val="44"/>
        </w:numPr>
        <w:spacing w:lineRule="auto" w:line="240" w:before="280" w:after="0"/>
        <w:ind w:left="0" w:firstLine="851"/>
        <w:contextualSpacing/>
        <w:jc w:val="both"/>
        <w:rPr>
          <w:rFonts w:ascii="Times New Roman" w:hAnsi="Times New Roman" w:cs="Times New Roman"/>
          <w:sz w:val="28"/>
          <w:szCs w:val="28"/>
        </w:rPr>
      </w:pPr>
      <w:r>
        <w:rPr>
          <w:rFonts w:cs="Times New Roman" w:ascii="Times New Roman" w:hAnsi="Times New Roman"/>
          <w:sz w:val="28"/>
          <w:szCs w:val="28"/>
        </w:rPr>
        <w:t>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pPr>
        <w:pStyle w:val="ListParagraph"/>
        <w:numPr>
          <w:ilvl w:val="0"/>
          <w:numId w:val="44"/>
        </w:numPr>
        <w:spacing w:lineRule="auto" w:line="240" w:before="28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150 м - для участков автомобильных дорог, построенных для объездов городов с численностью населения свыше двухсот пятидесяти тысяч человек.</w:t>
      </w:r>
    </w:p>
    <w:p>
      <w:pPr>
        <w:pStyle w:val="Normal"/>
        <w:widowControl w:val="false"/>
        <w:tabs>
          <w:tab w:val="clear" w:pos="709"/>
          <w:tab w:val="left" w:pos="1770" w:leader="none"/>
        </w:tabs>
        <w:suppressAutoHyphens w:val="true"/>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Режим использования придорожных полос автомобильных дорог вне зависимости от значения дороги регулируется положениями ФЗ от 08.11.2007 №257-ФЗ.</w:t>
      </w:r>
    </w:p>
    <w:p>
      <w:pPr>
        <w:pStyle w:val="Normal"/>
        <w:widowControl w:val="false"/>
        <w:shd w:val="clear" w:color="auto" w:fill="FFFFFF" w:themeFill="background1"/>
        <w:tabs>
          <w:tab w:val="clear" w:pos="709"/>
          <w:tab w:val="left" w:pos="1770" w:leader="none"/>
        </w:tabs>
        <w:suppressAutoHyphens w:val="true"/>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Режим использования придорожных полос автомобильных дорог регионального значения регламентируется также </w:t>
      </w:r>
      <w:bookmarkStart w:id="158" w:name="_Hlk132630654"/>
      <w:r>
        <w:rPr>
          <w:rFonts w:eastAsia="Times New Roman" w:cs="Times New Roman" w:ascii="Times New Roman" w:hAnsi="Times New Roman"/>
          <w:sz w:val="28"/>
          <w:szCs w:val="28"/>
          <w:lang w:eastAsia="ru-RU"/>
        </w:rPr>
        <w:t>Правилами установления и использования полос отвода и придорожных полос автомобильных дорог общего пользования регионального или межмуниципального значения Республики Татарстан, утвержденными постановлением КМ РТ от 01.12.2008 № 841 (далее – Правила установления полос отвода и придорожных полос автомобильных дорог РТ).</w:t>
      </w:r>
      <w:bookmarkEnd w:id="158"/>
    </w:p>
    <w:p>
      <w:pPr>
        <w:pStyle w:val="Normal"/>
        <w:spacing w:lineRule="auto" w:line="240" w:before="0" w:after="0"/>
        <w:ind w:firstLine="709"/>
        <w:contextualSpacing/>
        <w:jc w:val="both"/>
        <w:rPr>
          <w:rFonts w:ascii="Times New Roman" w:hAnsi="Times New Roman" w:cs="Times New Roman"/>
          <w:sz w:val="28"/>
          <w:szCs w:val="28"/>
          <w:shd w:fill="FFFFFF" w:val="clear"/>
        </w:rPr>
      </w:pPr>
      <w:r>
        <w:rPr>
          <w:rFonts w:cs="Times New Roman" w:ascii="Times New Roman" w:hAnsi="Times New Roman"/>
          <w:sz w:val="28"/>
          <w:szCs w:val="28"/>
          <w:shd w:fill="FFFFFF" w:val="clear"/>
        </w:rPr>
        <w:t>Регламенты использования придорожный полос приведены в таблице 6.2.1.</w:t>
      </w:r>
    </w:p>
    <w:p>
      <w:pPr>
        <w:pStyle w:val="Normal"/>
        <w:spacing w:lineRule="auto" w:line="240" w:before="0" w:after="0"/>
        <w:ind w:firstLine="709"/>
        <w:contextualSpacing/>
        <w:jc w:val="both"/>
        <w:rPr>
          <w:rFonts w:ascii="Times New Roman" w:hAnsi="Times New Roman" w:cs="Times New Roman"/>
          <w:sz w:val="28"/>
          <w:szCs w:val="28"/>
          <w:shd w:fill="FFFFFF" w:val="clear"/>
        </w:rPr>
      </w:pPr>
      <w:r>
        <w:rPr>
          <w:rFonts w:cs="Times New Roman" w:ascii="Times New Roman" w:hAnsi="Times New Roman"/>
          <w:sz w:val="28"/>
          <w:szCs w:val="28"/>
          <w:shd w:fill="FFFFFF" w:val="clear"/>
        </w:rPr>
      </w:r>
    </w:p>
    <w:p>
      <w:pPr>
        <w:pStyle w:val="Normal"/>
        <w:spacing w:lineRule="auto" w:line="240" w:before="0" w:after="0"/>
        <w:ind w:firstLine="709"/>
        <w:contextualSpacing/>
        <w:jc w:val="right"/>
        <w:rPr>
          <w:rFonts w:ascii="Times New Roman" w:hAnsi="Times New Roman" w:cs="Times New Roman"/>
          <w:sz w:val="28"/>
          <w:szCs w:val="28"/>
          <w:shd w:fill="FFFFFF" w:val="clear"/>
        </w:rPr>
      </w:pPr>
      <w:r>
        <w:rPr>
          <w:rFonts w:cs="Times New Roman" w:ascii="Times New Roman" w:hAnsi="Times New Roman"/>
          <w:sz w:val="28"/>
          <w:szCs w:val="28"/>
          <w:shd w:fill="FFFFFF" w:val="clear"/>
        </w:rPr>
        <w:t>Таблица 6.2.1</w:t>
      </w:r>
    </w:p>
    <w:p>
      <w:pPr>
        <w:pStyle w:val="Normal"/>
        <w:spacing w:lineRule="auto" w:line="240" w:before="0" w:after="0"/>
        <w:ind w:firstLine="709"/>
        <w:contextualSpacing/>
        <w:jc w:val="center"/>
        <w:rPr>
          <w:rFonts w:ascii="Times New Roman" w:hAnsi="Times New Roman" w:cs="Times New Roman"/>
          <w:sz w:val="28"/>
          <w:szCs w:val="28"/>
          <w:shd w:fill="FFFFFF" w:val="clear"/>
        </w:rPr>
      </w:pPr>
      <w:r>
        <w:rPr>
          <w:rFonts w:cs="Times New Roman" w:ascii="Times New Roman" w:hAnsi="Times New Roman"/>
          <w:sz w:val="28"/>
          <w:szCs w:val="28"/>
          <w:shd w:fill="FFFFFF" w:val="clear"/>
        </w:rPr>
        <w:t>Регламенты использования придорожных полос, охранных зон железных дорог, приаэродромной территории</w:t>
      </w:r>
    </w:p>
    <w:p>
      <w:pPr>
        <w:pStyle w:val="Normal"/>
        <w:spacing w:lineRule="auto" w:line="240" w:before="0" w:after="0"/>
        <w:ind w:firstLine="709"/>
        <w:contextualSpacing/>
        <w:jc w:val="both"/>
        <w:rPr>
          <w:rFonts w:ascii="Times New Roman" w:hAnsi="Times New Roman" w:cs="Times New Roman"/>
          <w:sz w:val="28"/>
          <w:szCs w:val="28"/>
          <w:shd w:fill="FFFFFF" w:val="clear"/>
        </w:rPr>
      </w:pPr>
      <w:r>
        <w:rPr>
          <w:rFonts w:cs="Times New Roman" w:ascii="Times New Roman" w:hAnsi="Times New Roman"/>
          <w:sz w:val="28"/>
          <w:szCs w:val="28"/>
          <w:shd w:fill="FFFFFF" w:val="clear"/>
        </w:rPr>
      </w:r>
    </w:p>
    <w:tbl>
      <w:tblPr>
        <w:tblStyle w:val="af0"/>
        <w:tblpPr w:bottomFromText="0" w:horzAnchor="text" w:leftFromText="181" w:rightFromText="181" w:tblpX="0" w:tblpXSpec="center" w:tblpY="1" w:topFromText="0" w:vertAnchor="text"/>
        <w:tblW w:w="5000" w:type="pct"/>
        <w:jc w:val="center"/>
        <w:tblInd w:w="0" w:type="dxa"/>
        <w:tblLayout w:type="fixed"/>
        <w:tblCellMar>
          <w:top w:w="0" w:type="dxa"/>
          <w:left w:w="108" w:type="dxa"/>
          <w:bottom w:w="0" w:type="dxa"/>
          <w:right w:w="108" w:type="dxa"/>
        </w:tblCellMar>
        <w:tblLook w:noVBand="1" w:val="04a0" w:noHBand="0" w:lastColumn="0" w:firstColumn="1" w:lastRow="0" w:firstRow="1"/>
      </w:tblPr>
      <w:tblGrid>
        <w:gridCol w:w="1743"/>
        <w:gridCol w:w="5759"/>
        <w:gridCol w:w="2419"/>
      </w:tblGrid>
      <w:tr>
        <w:trPr>
          <w:cantSplit w:val="true"/>
        </w:trPr>
        <w:tc>
          <w:tcPr>
            <w:tcW w:w="1743"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Наименование зоны</w:t>
            </w:r>
          </w:p>
        </w:tc>
        <w:tc>
          <w:tcPr>
            <w:tcW w:w="5759"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Правовой режим использования зоны, обоснование</w:t>
            </w:r>
          </w:p>
        </w:tc>
        <w:tc>
          <w:tcPr>
            <w:tcW w:w="2419"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Соблюдение режима зон</w:t>
            </w:r>
          </w:p>
        </w:tc>
      </w:tr>
      <w:tr>
        <w:trPr>
          <w:trHeight w:val="1650" w:hRule="atLeast"/>
        </w:trPr>
        <w:tc>
          <w:tcPr>
            <w:tcW w:w="1743"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ru-RU" w:eastAsia="ru-RU" w:bidi="ar-SA"/>
              </w:rPr>
              <w:t>Придорожные полосы</w:t>
            </w:r>
          </w:p>
        </w:tc>
        <w:tc>
          <w:tcPr>
            <w:tcW w:w="5759" w:type="dxa"/>
            <w:tcBorders/>
          </w:tcPr>
          <w:p>
            <w:pPr>
              <w:pStyle w:val="Normal"/>
              <w:widowControl/>
              <w:spacing w:lineRule="auto" w:line="240" w:before="0" w:after="0"/>
              <w:ind w:left="208" w:right="0" w:firstLine="425"/>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Согласно ч.8 статьи 26</w:t>
            </w:r>
            <w:r>
              <w:rPr>
                <w:rFonts w:eastAsia="Calibri" w:cs="" w:ascii="Calibri" w:hAnsi="Calibri"/>
                <w:kern w:val="0"/>
                <w:sz w:val="22"/>
                <w:szCs w:val="22"/>
                <w:lang w:val="ru-RU" w:eastAsia="en-US" w:bidi="ar-SA"/>
              </w:rPr>
              <w:t xml:space="preserve"> </w:t>
            </w:r>
            <w:r>
              <w:rPr>
                <w:rFonts w:eastAsia="Calibri" w:cs="Times New Roman" w:ascii="Times New Roman" w:hAnsi="Times New Roman"/>
                <w:kern w:val="0"/>
                <w:sz w:val="20"/>
                <w:szCs w:val="20"/>
                <w:lang w:val="ru-RU" w:eastAsia="en-US" w:bidi="ar-SA"/>
              </w:rPr>
              <w:t>ФЗ от 08.11.2007 №257-ФЗ 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pPr>
              <w:pStyle w:val="Normal"/>
              <w:widowControl/>
              <w:spacing w:lineRule="auto" w:line="240" w:before="0" w:after="0"/>
              <w:ind w:left="208" w:right="0" w:firstLine="425"/>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Согласно Правилам установления и использования полос отвода и придорожных полос автомобильных дорог общего пользования регионального или межмуниципального значения Республики Татарстан, собственники, владельцы, пользователи и арендаторы земельных участков, расположенных в границах полос отвода и придорожных полос автомобильных дорог регионального значения, имеют право:</w:t>
            </w:r>
          </w:p>
          <w:p>
            <w:pPr>
              <w:pStyle w:val="Normal"/>
              <w:widowControl/>
              <w:spacing w:lineRule="auto" w:line="240" w:before="0" w:after="0"/>
              <w:ind w:left="208" w:right="0" w:firstLine="425"/>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а) осуществлять хозяйственную деятельность на указанных земельных участках с учетом ограничений, установленных настоящими Правилами и нормативными правовыми актами Российской Федерации;</w:t>
            </w:r>
          </w:p>
          <w:p>
            <w:pPr>
              <w:pStyle w:val="Normal"/>
              <w:widowControl/>
              <w:spacing w:lineRule="auto" w:line="240" w:before="0" w:after="0"/>
              <w:ind w:left="208" w:right="0" w:firstLine="425"/>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б) возводить на предоставленных им земельных участках объекты, разрешенные настоящими Правилами и нормативными правовыми актами Российской Федерации;</w:t>
            </w:r>
          </w:p>
          <w:p>
            <w:pPr>
              <w:pStyle w:val="Normal"/>
              <w:widowControl/>
              <w:spacing w:lineRule="auto" w:line="240" w:before="0" w:after="0"/>
              <w:ind w:left="208" w:right="0" w:firstLine="425"/>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в) получать информацию о проведении ремонта или реконструкции автомобильной дороги регионального значения.</w:t>
            </w:r>
          </w:p>
        </w:tc>
        <w:tc>
          <w:tcPr>
            <w:tcW w:w="2419" w:type="dxa"/>
            <w:tcBorders/>
            <w:vAlign w:val="center"/>
          </w:tcPr>
          <w:p>
            <w:pPr>
              <w:pStyle w:val="Style38"/>
              <w:widowControl/>
              <w:spacing w:before="0" w:after="0"/>
              <w:ind w:left="-81" w:right="0" w:hanging="0"/>
              <w:jc w:val="center"/>
              <w:rPr>
                <w:rFonts w:eastAsia="Calibri" w:eastAsiaTheme="minorHAnsi"/>
                <w:sz w:val="20"/>
                <w:lang w:eastAsia="en-US"/>
              </w:rPr>
            </w:pPr>
            <w:r>
              <w:rPr>
                <w:rFonts w:eastAsia="Calibri" w:eastAsiaTheme="minorHAnsi"/>
                <w:kern w:val="0"/>
                <w:sz w:val="20"/>
                <w:lang w:val="ru-RU" w:eastAsia="en-US" w:bidi="ar-SA"/>
              </w:rPr>
              <w:t xml:space="preserve">ФЗ от 08.11.2007 № 257-ФЗ, </w:t>
            </w:r>
          </w:p>
          <w:p>
            <w:pPr>
              <w:pStyle w:val="Style38"/>
              <w:widowControl/>
              <w:spacing w:before="0" w:after="0"/>
              <w:ind w:left="-81" w:right="0" w:hanging="0"/>
              <w:jc w:val="center"/>
              <w:rPr>
                <w:sz w:val="20"/>
                <w:lang w:eastAsia="en-US"/>
              </w:rPr>
            </w:pPr>
            <w:r>
              <w:rPr>
                <w:rFonts w:eastAsia="Calibri" w:eastAsiaTheme="minorHAnsi"/>
                <w:kern w:val="0"/>
                <w:sz w:val="20"/>
                <w:lang w:val="ru-RU" w:eastAsia="en-US" w:bidi="ar-SA"/>
              </w:rPr>
              <w:t>Правила установления полос отвода и придорожных полос автомобильных дорог РТ</w:t>
            </w:r>
          </w:p>
        </w:tc>
      </w:tr>
      <w:tr>
        <w:trPr>
          <w:trHeight w:val="1650" w:hRule="atLeast"/>
        </w:trPr>
        <w:tc>
          <w:tcPr>
            <w:tcW w:w="1743" w:type="dxa"/>
            <w:tcBorders/>
            <w:vAlign w:val="center"/>
          </w:tcPr>
          <w:p>
            <w:pPr>
              <w:pStyle w:val="Normal"/>
              <w:widowContro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Придорожные полосы</w:t>
            </w:r>
          </w:p>
        </w:tc>
        <w:tc>
          <w:tcPr>
            <w:tcW w:w="5759" w:type="dxa"/>
            <w:tcBorders/>
          </w:tcPr>
          <w:p>
            <w:pPr>
              <w:pStyle w:val="Normal"/>
              <w:widowControl/>
              <w:spacing w:lineRule="auto" w:line="240" w:before="0" w:after="0"/>
              <w:ind w:left="208" w:right="0" w:firstLine="425"/>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 xml:space="preserve">В пределах придорожных полос автомобильных дорог </w:t>
            </w:r>
            <w:r>
              <w:rPr>
                <w:rFonts w:eastAsia="Calibri" w:cs="Times New Roman" w:ascii="Times New Roman" w:hAnsi="Times New Roman"/>
                <w:b/>
                <w:kern w:val="0"/>
                <w:sz w:val="20"/>
                <w:szCs w:val="20"/>
                <w:lang w:val="ru-RU" w:eastAsia="en-US" w:bidi="ar-SA"/>
              </w:rPr>
              <w:t>регионального значения</w:t>
            </w:r>
            <w:r>
              <w:rPr>
                <w:rFonts w:eastAsia="Calibri" w:cs="Times New Roman" w:ascii="Times New Roman" w:hAnsi="Times New Roman"/>
                <w:kern w:val="0"/>
                <w:sz w:val="20"/>
                <w:szCs w:val="20"/>
                <w:lang w:val="ru-RU" w:eastAsia="en-US" w:bidi="ar-SA"/>
              </w:rPr>
              <w:t xml:space="preserve"> устанавливается особый режим использования земельных участков (частей земельных участков), который предусматривает, что в придорожных полосах автомобильных дорог общего пользования запрещается строительство капитальных сооружений, за исключением:</w:t>
            </w:r>
          </w:p>
          <w:p>
            <w:pPr>
              <w:pStyle w:val="Normal"/>
              <w:widowControl/>
              <w:spacing w:lineRule="auto" w:line="240" w:before="0" w:after="0"/>
              <w:ind w:left="208" w:right="0" w:firstLine="425"/>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 объектов, предназначенных для обслуживания таких автомобильных дорог, их строительства, реконструкции, капитального ремонта, ремонта и содержания;</w:t>
            </w:r>
          </w:p>
          <w:p>
            <w:pPr>
              <w:pStyle w:val="Normal"/>
              <w:widowControl/>
              <w:spacing w:lineRule="auto" w:line="240" w:before="0" w:after="0"/>
              <w:ind w:left="208" w:right="0" w:firstLine="425"/>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 объектов Государственной инспекции безопасности дорожного движения Министерства внутренних дел Российской Федерации;</w:t>
            </w:r>
          </w:p>
          <w:p>
            <w:pPr>
              <w:pStyle w:val="Normal"/>
              <w:widowControl/>
              <w:spacing w:lineRule="auto" w:line="240" w:before="0" w:after="0"/>
              <w:ind w:left="208" w:right="0" w:firstLine="425"/>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 объектов дорожного сервиса, рекламных конструкций, информационных щитов и указателей;</w:t>
            </w:r>
          </w:p>
          <w:p>
            <w:pPr>
              <w:pStyle w:val="Normal"/>
              <w:widowControl/>
              <w:spacing w:lineRule="auto" w:line="240" w:before="0" w:after="0"/>
              <w:ind w:left="208" w:right="0" w:firstLine="425"/>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 инженерных коммуникаций.</w:t>
            </w:r>
          </w:p>
        </w:tc>
        <w:tc>
          <w:tcPr>
            <w:tcW w:w="2419"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Федеральный закон от 08.11.2007 N 257-ФЗ (ред. от 24.07.2023)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r>
    </w:tbl>
    <w:p>
      <w:pPr>
        <w:pStyle w:val="Normal"/>
        <w:spacing w:lineRule="auto" w:line="240" w:before="0" w:after="0"/>
        <w:ind w:firstLine="709"/>
        <w:contextualSpacing/>
        <w:jc w:val="both"/>
        <w:rPr>
          <w:rFonts w:ascii="Times New Roman" w:hAnsi="Times New Roman" w:cs="Times New Roman"/>
          <w:sz w:val="28"/>
          <w:szCs w:val="28"/>
          <w:shd w:fill="FFFFFF" w:val="clear"/>
        </w:rPr>
      </w:pPr>
      <w:r>
        <w:rPr>
          <w:rFonts w:cs="Times New Roman" w:ascii="Times New Roman" w:hAnsi="Times New Roman"/>
          <w:sz w:val="28"/>
          <w:szCs w:val="28"/>
          <w:shd w:fill="FFFFFF" w:val="clear"/>
        </w:rPr>
      </w:r>
    </w:p>
    <w:p>
      <w:pPr>
        <w:pStyle w:val="2"/>
        <w:keepNext w:val="false"/>
        <w:keepLines w:val="false"/>
        <w:widowControl w:val="false"/>
        <w:numPr>
          <w:ilvl w:val="1"/>
          <w:numId w:val="42"/>
        </w:numPr>
        <w:suppressAutoHyphens w:val="true"/>
        <w:spacing w:lineRule="auto" w:line="240" w:before="0" w:after="160"/>
        <w:jc w:val="center"/>
        <w:rPr>
          <w:rFonts w:ascii="Times New Roman" w:hAnsi="Times New Roman" w:cs="Times New Roman"/>
          <w:b/>
          <w:color w:val="auto"/>
          <w:sz w:val="28"/>
          <w:szCs w:val="28"/>
          <w:lang w:eastAsia="ru-RU"/>
        </w:rPr>
      </w:pPr>
      <w:bookmarkStart w:id="159" w:name="_Toc147740061"/>
      <w:r>
        <w:rPr>
          <w:rFonts w:cs="Times New Roman" w:ascii="Times New Roman" w:hAnsi="Times New Roman"/>
          <w:b/>
          <w:color w:val="auto"/>
          <w:sz w:val="28"/>
          <w:szCs w:val="28"/>
          <w:lang w:eastAsia="ru-RU"/>
        </w:rPr>
        <w:t>Зоны минимальных расстояний до магистральных или промышленных трубопроводов (газопроводов, нефтепроводов и нефтепродуктопроводов, аммиакопроводов) и объектов добычи и подготовки углеводородного сырья</w:t>
      </w:r>
      <w:bookmarkEnd w:id="159"/>
    </w:p>
    <w:p>
      <w:pPr>
        <w:pStyle w:val="Normal"/>
        <w:spacing w:lineRule="auto" w:line="240" w:before="0" w:after="0"/>
        <w:ind w:firstLine="709"/>
        <w:contextualSpacing/>
        <w:jc w:val="both"/>
        <w:rPr>
          <w:rFonts w:ascii="Times New Roman" w:hAnsi="Times New Roman" w:eastAsia="Times New Roman" w:cs="Times New Roman"/>
          <w:sz w:val="28"/>
          <w:szCs w:val="28"/>
          <w:lang w:eastAsia="ru-RU"/>
        </w:rPr>
      </w:pPr>
      <w:r>
        <w:rPr>
          <w:rFonts w:eastAsia="" w:cs="Times New Roman" w:ascii="Times New Roman" w:hAnsi="Times New Roman" w:eastAsiaTheme="majorEastAsia"/>
          <w:sz w:val="28"/>
          <w:szCs w:val="28"/>
          <w:lang w:eastAsia="ru-RU"/>
        </w:rPr>
        <w:t>По территории поселения проходят магистральные, промысловые трубопроводы, а также распределительные газопроводы.</w:t>
      </w:r>
    </w:p>
    <w:p>
      <w:pPr>
        <w:pStyle w:val="Normal"/>
        <w:spacing w:lineRule="auto" w:line="240" w:before="0" w:after="0"/>
        <w:ind w:firstLine="709"/>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Размеры зон минимальных расстояний до объектов нефтедобычи </w:t>
      </w:r>
      <w:r>
        <w:rPr>
          <w:rFonts w:cs="Times New Roman" w:ascii="Times New Roman" w:hAnsi="Times New Roman"/>
          <w:sz w:val="28"/>
          <w:szCs w:val="28"/>
          <w:lang w:eastAsia="ru-RU"/>
        </w:rPr>
        <w:t>определяются</w:t>
      </w:r>
      <w:r>
        <w:rPr>
          <w:rFonts w:eastAsia="Times New Roman" w:cs="Times New Roman" w:ascii="Times New Roman" w:hAnsi="Times New Roman"/>
          <w:sz w:val="28"/>
          <w:szCs w:val="28"/>
          <w:lang w:eastAsia="ru-RU"/>
        </w:rPr>
        <w:t xml:space="preserve"> согласно Правилам безопасности в нефтяной и газовой промышленности, утвержденным приказом Ростехнадзора от 15.12.2020 № 534 (далее – Правила безопасности в нефтяной и газовой промышленности) (Таблица 6.3.1).</w:t>
      </w:r>
    </w:p>
    <w:p>
      <w:pPr>
        <w:pStyle w:val="Normal"/>
        <w:spacing w:lineRule="auto" w:line="240" w:before="0" w:after="0"/>
        <w:ind w:firstLine="709"/>
        <w:contextualSpacing/>
        <w:jc w:val="both"/>
        <w:rPr>
          <w:rFonts w:ascii="Times New Roman" w:hAnsi="Times New Roman" w:eastAsia="Times New Roman" w:cs="Times New Roman"/>
          <w:sz w:val="28"/>
          <w:szCs w:val="28"/>
          <w:highlight w:val="yellow"/>
          <w:lang w:eastAsia="ru-RU"/>
        </w:rPr>
      </w:pPr>
      <w:r>
        <w:rPr>
          <w:rFonts w:eastAsia="Times New Roman" w:cs="Times New Roman" w:ascii="Times New Roman" w:hAnsi="Times New Roman"/>
          <w:sz w:val="28"/>
          <w:szCs w:val="28"/>
          <w:highlight w:val="yellow"/>
          <w:lang w:eastAsia="ru-RU"/>
        </w:rPr>
      </w:r>
    </w:p>
    <w:p>
      <w:pPr>
        <w:pStyle w:val="Style38"/>
        <w:ind w:left="788" w:hanging="0"/>
        <w:jc w:val="right"/>
        <w:rPr>
          <w:szCs w:val="24"/>
        </w:rPr>
      </w:pPr>
      <w:r>
        <w:rPr>
          <w:szCs w:val="24"/>
        </w:rPr>
        <w:t>Таблица 6.3.1</w:t>
      </w:r>
    </w:p>
    <w:p>
      <w:pPr>
        <w:pStyle w:val="Style38"/>
        <w:suppressAutoHyphens w:val="true"/>
        <w:spacing w:before="0" w:after="120"/>
        <w:ind w:left="788" w:hanging="0"/>
        <w:jc w:val="center"/>
        <w:rPr>
          <w:szCs w:val="24"/>
        </w:rPr>
      </w:pPr>
      <w:r>
        <w:rPr>
          <w:szCs w:val="24"/>
        </w:rPr>
        <w:t xml:space="preserve">Зоны минимальных расстояний </w:t>
      </w:r>
      <w:r>
        <w:rPr>
          <w:szCs w:val="28"/>
        </w:rPr>
        <w:t>от оси подземных магистральных трубопроводов, ГРС</w:t>
      </w:r>
      <w:r>
        <w:rPr>
          <w:szCs w:val="24"/>
        </w:rPr>
        <w:t xml:space="preserve"> </w:t>
      </w:r>
    </w:p>
    <w:tbl>
      <w:tblPr>
        <w:tblStyle w:val="af0"/>
        <w:tblW w:w="5000" w:type="pct"/>
        <w:jc w:val="center"/>
        <w:tblInd w:w="0" w:type="dxa"/>
        <w:tblLayout w:type="fixed"/>
        <w:tblCellMar>
          <w:top w:w="0" w:type="dxa"/>
          <w:left w:w="108" w:type="dxa"/>
          <w:bottom w:w="0" w:type="dxa"/>
          <w:right w:w="108" w:type="dxa"/>
        </w:tblCellMar>
        <w:tblLook w:noVBand="1" w:val="04a0" w:noHBand="0" w:lastColumn="0" w:firstColumn="1" w:lastRow="0" w:firstRow="1"/>
      </w:tblPr>
      <w:tblGrid>
        <w:gridCol w:w="1837"/>
        <w:gridCol w:w="1279"/>
        <w:gridCol w:w="1277"/>
        <w:gridCol w:w="1279"/>
        <w:gridCol w:w="1278"/>
        <w:gridCol w:w="1419"/>
        <w:gridCol w:w="1551"/>
      </w:tblGrid>
      <w:tr>
        <w:trPr>
          <w:trHeight w:val="1528" w:hRule="atLeast"/>
        </w:trPr>
        <w:tc>
          <w:tcPr>
            <w:tcW w:w="1837"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Наименование объекта, принадлежность</w:t>
            </w:r>
          </w:p>
        </w:tc>
        <w:tc>
          <w:tcPr>
            <w:tcW w:w="1279"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Охранная зона в ЕГРН</w:t>
            </w:r>
          </w:p>
        </w:tc>
        <w:tc>
          <w:tcPr>
            <w:tcW w:w="1277"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Размер зоны МР 1 до границ населенных пунктов, пром. и с/х предприятий, карьеров, очистных сооружений и др.объектов, согласно п.1табл.4 (табл.5 для ГРС) СП 36.13330.2012, м</w:t>
            </w:r>
          </w:p>
        </w:tc>
        <w:tc>
          <w:tcPr>
            <w:tcW w:w="1279"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Размер зоны МР 2 до кладбищ, с/х ферм и летних лагерей и др.объектов, согласно п.2 табл.4 (табл.5 для ГРС) СП 36.13330.2012, м</w:t>
            </w:r>
          </w:p>
        </w:tc>
        <w:tc>
          <w:tcPr>
            <w:tcW w:w="1278"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 xml:space="preserve">Размер зоны МР 3 до устьев нефтяных, артезианских скважин, параллельных а/дорог </w:t>
            </w:r>
            <w:r>
              <w:rPr>
                <w:kern w:val="0"/>
                <w:sz w:val="20"/>
                <w:lang w:val="en-US" w:eastAsia="en-US" w:bidi="ar-SA"/>
              </w:rPr>
              <w:t>IV</w:t>
            </w:r>
            <w:r>
              <w:rPr>
                <w:kern w:val="0"/>
                <w:sz w:val="20"/>
                <w:lang w:val="ru-RU" w:eastAsia="en-US" w:bidi="ar-SA"/>
              </w:rPr>
              <w:t>-</w:t>
            </w:r>
            <w:r>
              <w:rPr>
                <w:kern w:val="0"/>
                <w:sz w:val="20"/>
                <w:lang w:val="en-US" w:eastAsia="en-US" w:bidi="ar-SA"/>
              </w:rPr>
              <w:t>V</w:t>
            </w:r>
            <w:r>
              <w:rPr>
                <w:kern w:val="0"/>
                <w:sz w:val="20"/>
                <w:lang w:val="ru-RU" w:eastAsia="en-US" w:bidi="ar-SA"/>
              </w:rPr>
              <w:t xml:space="preserve"> кат. и др.объектов согласно п.3 табл.4 (табл.5 для ГРС) СП 36.13330.2012, м</w:t>
            </w:r>
          </w:p>
        </w:tc>
        <w:tc>
          <w:tcPr>
            <w:tcW w:w="1419"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Обоснование</w:t>
            </w:r>
          </w:p>
          <w:p>
            <w:pPr>
              <w:pStyle w:val="Style38"/>
              <w:widowControl/>
              <w:spacing w:before="0" w:after="0"/>
              <w:ind w:left="0" w:right="0" w:hanging="0"/>
              <w:jc w:val="center"/>
              <w:rPr>
                <w:sz w:val="20"/>
                <w:lang w:eastAsia="en-US"/>
              </w:rPr>
            </w:pPr>
            <w:r>
              <w:rPr>
                <w:kern w:val="0"/>
                <w:sz w:val="20"/>
                <w:lang w:val="ru-RU" w:eastAsia="en-US" w:bidi="ar-SA"/>
              </w:rPr>
              <w:t>(нормативные документы)</w:t>
            </w:r>
          </w:p>
        </w:tc>
        <w:tc>
          <w:tcPr>
            <w:tcW w:w="1551"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Соблюдение режима зон МР 1,2,3 в границах рассматриваемой территории</w:t>
            </w:r>
          </w:p>
        </w:tc>
      </w:tr>
      <w:tr>
        <w:trPr>
          <w:trHeight w:val="1122" w:hRule="atLeast"/>
        </w:trPr>
        <w:tc>
          <w:tcPr>
            <w:tcW w:w="1837"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Магистральный нефтепродуктопровод Альметьевск-Н.Новгород на участке 230-329 км</w:t>
            </w:r>
          </w:p>
        </w:tc>
        <w:tc>
          <w:tcPr>
            <w:tcW w:w="1279"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16:15-6.449</w:t>
            </w:r>
          </w:p>
        </w:tc>
        <w:tc>
          <w:tcPr>
            <w:tcW w:w="1277"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150</w:t>
            </w:r>
          </w:p>
        </w:tc>
        <w:tc>
          <w:tcPr>
            <w:tcW w:w="1279" w:type="dxa"/>
            <w:tcBorders/>
            <w:vAlign w:val="center"/>
          </w:tcPr>
          <w:p>
            <w:pPr>
              <w:pStyle w:val="Normal"/>
              <w:keepLines/>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75</w:t>
            </w:r>
          </w:p>
        </w:tc>
        <w:tc>
          <w:tcPr>
            <w:tcW w:w="1278" w:type="dxa"/>
            <w:tcBorders/>
            <w:vAlign w:val="center"/>
          </w:tcPr>
          <w:p>
            <w:pPr>
              <w:pStyle w:val="Normal"/>
              <w:keepLines/>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30</w:t>
            </w:r>
          </w:p>
        </w:tc>
        <w:tc>
          <w:tcPr>
            <w:tcW w:w="1419" w:type="dxa"/>
            <w:tcBorders/>
            <w:vAlign w:val="center"/>
          </w:tcPr>
          <w:p>
            <w:pPr>
              <w:pStyle w:val="Normal"/>
              <w:keepLines/>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СП 36.13330.2012</w:t>
            </w:r>
          </w:p>
        </w:tc>
        <w:tc>
          <w:tcPr>
            <w:tcW w:w="1551"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 xml:space="preserve">Соблюдается </w:t>
            </w:r>
          </w:p>
        </w:tc>
      </w:tr>
      <w:tr>
        <w:trPr>
          <w:trHeight w:val="1122" w:hRule="atLeast"/>
        </w:trPr>
        <w:tc>
          <w:tcPr>
            <w:tcW w:w="1837"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Магистральный нефтепровод Альметьевск-Горький-2 уч.253-261 км, МН Альметьевск-Горький-3, уч.245-272 км, замена участка ППМН Альметьевск-Горький-3 через р.Свия</w:t>
            </w:r>
          </w:p>
        </w:tc>
        <w:tc>
          <w:tcPr>
            <w:tcW w:w="1279"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16:15-6.196</w:t>
            </w:r>
          </w:p>
        </w:tc>
        <w:tc>
          <w:tcPr>
            <w:tcW w:w="1277"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150</w:t>
            </w:r>
          </w:p>
        </w:tc>
        <w:tc>
          <w:tcPr>
            <w:tcW w:w="1279" w:type="dxa"/>
            <w:tcBorders/>
            <w:vAlign w:val="center"/>
          </w:tcPr>
          <w:p>
            <w:pPr>
              <w:pStyle w:val="Normal"/>
              <w:keepLines/>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75</w:t>
            </w:r>
          </w:p>
        </w:tc>
        <w:tc>
          <w:tcPr>
            <w:tcW w:w="1278" w:type="dxa"/>
            <w:tcBorders/>
            <w:vAlign w:val="center"/>
          </w:tcPr>
          <w:p>
            <w:pPr>
              <w:pStyle w:val="Normal"/>
              <w:keepLines/>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30</w:t>
            </w:r>
          </w:p>
        </w:tc>
        <w:tc>
          <w:tcPr>
            <w:tcW w:w="1419" w:type="dxa"/>
            <w:tcBorders/>
            <w:vAlign w:val="center"/>
          </w:tcPr>
          <w:p>
            <w:pPr>
              <w:pStyle w:val="Normal"/>
              <w:keepLines/>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СП 36.13330.2012</w:t>
            </w:r>
          </w:p>
        </w:tc>
        <w:tc>
          <w:tcPr>
            <w:tcW w:w="1551"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 xml:space="preserve">Соблюдается </w:t>
            </w:r>
          </w:p>
        </w:tc>
      </w:tr>
      <w:tr>
        <w:trPr>
          <w:trHeight w:val="1122" w:hRule="atLeast"/>
        </w:trPr>
        <w:tc>
          <w:tcPr>
            <w:tcW w:w="1837"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Магистральный газопровод Казань-Нижний Новгород ( на участках от 0,0 км до 28,0 км; от 28,0 км до 52,0 км; от 52,0 км</w:t>
            </w:r>
          </w:p>
        </w:tc>
        <w:tc>
          <w:tcPr>
            <w:tcW w:w="1279"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16:00-6.3819</w:t>
            </w:r>
          </w:p>
        </w:tc>
        <w:tc>
          <w:tcPr>
            <w:tcW w:w="1277" w:type="dxa"/>
            <w:tcBorders/>
            <w:vAlign w:val="center"/>
          </w:tcPr>
          <w:p>
            <w:pPr>
              <w:pStyle w:val="Style38"/>
              <w:widowControl/>
              <w:spacing w:before="0" w:after="0"/>
              <w:ind w:left="0" w:right="0" w:hanging="0"/>
              <w:jc w:val="center"/>
              <w:rPr>
                <w:sz w:val="20"/>
                <w:lang w:val="en-US" w:eastAsia="en-US"/>
              </w:rPr>
            </w:pPr>
            <w:r>
              <w:rPr>
                <w:kern w:val="0"/>
                <w:sz w:val="20"/>
                <w:lang w:val="en-US" w:eastAsia="en-US" w:bidi="ar-SA"/>
              </w:rPr>
              <w:t>150</w:t>
            </w:r>
          </w:p>
          <w:p>
            <w:pPr>
              <w:pStyle w:val="Style38"/>
              <w:widowControl/>
              <w:spacing w:before="0" w:after="0"/>
              <w:ind w:left="0" w:right="0" w:hanging="0"/>
              <w:jc w:val="center"/>
              <w:rPr>
                <w:sz w:val="20"/>
                <w:lang w:eastAsia="en-US"/>
              </w:rPr>
            </w:pPr>
            <w:r>
              <w:rPr>
                <w:kern w:val="0"/>
                <w:sz w:val="20"/>
                <w:lang w:val="ru-RU" w:eastAsia="en-US" w:bidi="ar-SA"/>
              </w:rPr>
            </w:r>
          </w:p>
          <w:p>
            <w:pPr>
              <w:pStyle w:val="Style38"/>
              <w:widowControl/>
              <w:spacing w:before="0" w:after="0"/>
              <w:ind w:left="0" w:right="0" w:hanging="0"/>
              <w:jc w:val="center"/>
              <w:rPr>
                <w:sz w:val="20"/>
                <w:lang w:eastAsia="en-US"/>
              </w:rPr>
            </w:pPr>
            <w:r>
              <w:rPr>
                <w:kern w:val="0"/>
                <w:sz w:val="20"/>
                <w:lang w:val="ru-RU" w:eastAsia="en-US" w:bidi="ar-SA"/>
              </w:rPr>
              <w:t xml:space="preserve">ЗОУИТ </w:t>
            </w:r>
          </w:p>
          <w:p>
            <w:pPr>
              <w:pStyle w:val="Style38"/>
              <w:widowControl/>
              <w:spacing w:before="0" w:after="0"/>
              <w:ind w:left="0" w:right="0" w:hanging="0"/>
              <w:jc w:val="center"/>
              <w:rPr>
                <w:sz w:val="20"/>
                <w:lang w:eastAsia="en-US"/>
              </w:rPr>
            </w:pPr>
            <w:r>
              <w:rPr>
                <w:kern w:val="0"/>
                <w:sz w:val="20"/>
                <w:lang w:val="ru-RU" w:eastAsia="en-US" w:bidi="ar-SA"/>
              </w:rPr>
              <w:t>16:00-6.4339</w:t>
            </w:r>
          </w:p>
        </w:tc>
        <w:tc>
          <w:tcPr>
            <w:tcW w:w="1279" w:type="dxa"/>
            <w:tcBorders/>
            <w:vAlign w:val="center"/>
          </w:tcPr>
          <w:p>
            <w:pPr>
              <w:pStyle w:val="Normal"/>
              <w:keepLines/>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75</w:t>
            </w:r>
          </w:p>
        </w:tc>
        <w:tc>
          <w:tcPr>
            <w:tcW w:w="1278" w:type="dxa"/>
            <w:tcBorders/>
            <w:vAlign w:val="center"/>
          </w:tcPr>
          <w:p>
            <w:pPr>
              <w:pStyle w:val="Normal"/>
              <w:keepLines/>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en-US" w:eastAsia="ru-RU" w:bidi="ar-SA"/>
              </w:rPr>
              <w:t>30</w:t>
            </w:r>
          </w:p>
        </w:tc>
        <w:tc>
          <w:tcPr>
            <w:tcW w:w="1419" w:type="dxa"/>
            <w:tcBorders/>
            <w:vAlign w:val="center"/>
          </w:tcPr>
          <w:p>
            <w:pPr>
              <w:pStyle w:val="Normal"/>
              <w:keepLines/>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СП 36.13330.2012</w:t>
            </w:r>
          </w:p>
        </w:tc>
        <w:tc>
          <w:tcPr>
            <w:tcW w:w="1551"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 xml:space="preserve">Соблюдается </w:t>
            </w:r>
          </w:p>
        </w:tc>
      </w:tr>
      <w:tr>
        <w:trPr>
          <w:trHeight w:val="1122" w:hRule="atLeast"/>
        </w:trPr>
        <w:tc>
          <w:tcPr>
            <w:tcW w:w="1837"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Газопровод-отвод и АГРС н.п. Октябрьский</w:t>
            </w:r>
          </w:p>
        </w:tc>
        <w:tc>
          <w:tcPr>
            <w:tcW w:w="1279"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16:15-6.1237</w:t>
            </w:r>
          </w:p>
        </w:tc>
        <w:tc>
          <w:tcPr>
            <w:tcW w:w="1277"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100</w:t>
            </w:r>
          </w:p>
          <w:p>
            <w:pPr>
              <w:pStyle w:val="Style38"/>
              <w:widowControl/>
              <w:spacing w:before="0" w:after="0"/>
              <w:ind w:left="0" w:right="0" w:hanging="0"/>
              <w:jc w:val="center"/>
              <w:rPr>
                <w:sz w:val="20"/>
                <w:lang w:eastAsia="en-US"/>
              </w:rPr>
            </w:pPr>
            <w:r>
              <w:rPr>
                <w:kern w:val="0"/>
                <w:sz w:val="20"/>
                <w:lang w:val="ru-RU" w:eastAsia="en-US" w:bidi="ar-SA"/>
              </w:rPr>
            </w:r>
          </w:p>
          <w:p>
            <w:pPr>
              <w:pStyle w:val="Style38"/>
              <w:widowControl/>
              <w:spacing w:before="0" w:after="0"/>
              <w:ind w:left="0" w:right="0" w:hanging="0"/>
              <w:jc w:val="center"/>
              <w:rPr>
                <w:sz w:val="20"/>
                <w:lang w:eastAsia="en-US"/>
              </w:rPr>
            </w:pPr>
            <w:r>
              <w:rPr>
                <w:kern w:val="0"/>
                <w:sz w:val="20"/>
                <w:lang w:val="ru-RU" w:eastAsia="en-US" w:bidi="ar-SA"/>
              </w:rPr>
              <w:t xml:space="preserve">ЗОУИТ </w:t>
            </w:r>
          </w:p>
          <w:p>
            <w:pPr>
              <w:pStyle w:val="Style38"/>
              <w:widowControl/>
              <w:spacing w:before="0" w:after="0"/>
              <w:ind w:left="0" w:right="0" w:hanging="0"/>
              <w:jc w:val="center"/>
              <w:rPr>
                <w:sz w:val="20"/>
                <w:lang w:eastAsia="en-US"/>
              </w:rPr>
            </w:pPr>
            <w:r>
              <w:rPr>
                <w:kern w:val="0"/>
                <w:sz w:val="20"/>
                <w:lang w:val="ru-RU" w:eastAsia="en-US" w:bidi="ar-SA"/>
              </w:rPr>
              <w:t>16:15-6.1652</w:t>
            </w:r>
          </w:p>
        </w:tc>
        <w:tc>
          <w:tcPr>
            <w:tcW w:w="1279" w:type="dxa"/>
            <w:tcBorders/>
            <w:vAlign w:val="center"/>
          </w:tcPr>
          <w:p>
            <w:pPr>
              <w:pStyle w:val="Normal"/>
              <w:keepLines/>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75</w:t>
            </w:r>
          </w:p>
        </w:tc>
        <w:tc>
          <w:tcPr>
            <w:tcW w:w="1278" w:type="dxa"/>
            <w:tcBorders/>
            <w:vAlign w:val="center"/>
          </w:tcPr>
          <w:p>
            <w:pPr>
              <w:pStyle w:val="Normal"/>
              <w:keepLines/>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30</w:t>
            </w:r>
          </w:p>
        </w:tc>
        <w:tc>
          <w:tcPr>
            <w:tcW w:w="1419" w:type="dxa"/>
            <w:tcBorders/>
            <w:vAlign w:val="center"/>
          </w:tcPr>
          <w:p>
            <w:pPr>
              <w:pStyle w:val="Normal"/>
              <w:keepLines/>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СП 36.13330.2012</w:t>
            </w:r>
          </w:p>
        </w:tc>
        <w:tc>
          <w:tcPr>
            <w:tcW w:w="1551"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 xml:space="preserve">Соблюдается </w:t>
            </w:r>
          </w:p>
        </w:tc>
      </w:tr>
    </w:tbl>
    <w:p>
      <w:pPr>
        <w:pStyle w:val="Style38"/>
        <w:ind w:firstLine="709"/>
        <w:rPr>
          <w:szCs w:val="28"/>
        </w:rPr>
      </w:pPr>
      <w:r>
        <w:rPr>
          <w:szCs w:val="28"/>
        </w:rPr>
      </w:r>
    </w:p>
    <w:p>
      <w:pPr>
        <w:pStyle w:val="Style38"/>
        <w:ind w:firstLine="709"/>
        <w:rPr/>
      </w:pPr>
      <w:r>
        <w:rPr>
          <w:szCs w:val="28"/>
        </w:rPr>
        <w:t xml:space="preserve">Размеры зон минимальных расстояний от оси подземных промысловых трубопроводов до зданий, сооружений и других инженерных сетей определяются по таблице 7 «СП 284.1325800.2016. Свод правил. Трубопроводы промысловые для нефти и газа. Правила проектирования и производства работ», утвержденного Приказом Минстроя России от 16.12.2016 № 978/пр (далее - СП 284.1325800.2016) </w:t>
      </w:r>
      <w:r>
        <w:rPr/>
        <w:t>в зависимости от рабочего давления, диаметра и содержания сероводорода (для газопроводов) и в зависимости от диаметра (для нефтепроводов).</w:t>
      </w:r>
    </w:p>
    <w:p>
      <w:pPr>
        <w:pStyle w:val="Style38"/>
        <w:ind w:firstLine="709"/>
        <w:rPr/>
      </w:pPr>
      <w:r>
        <w:rPr>
          <w:szCs w:val="24"/>
        </w:rPr>
        <w:t>Регламенты использования территорий, расположенных в границах зон минимальных расстояний, приведены в таблице 6.3.2.</w:t>
      </w:r>
      <w:r>
        <w:rPr/>
        <w:t xml:space="preserve"> </w:t>
      </w:r>
    </w:p>
    <w:p>
      <w:pPr>
        <w:pStyle w:val="Style38"/>
        <w:ind w:firstLine="709"/>
        <w:jc w:val="right"/>
        <w:rPr>
          <w:szCs w:val="24"/>
        </w:rPr>
      </w:pPr>
      <w:r>
        <w:rPr/>
      </w:r>
    </w:p>
    <w:p>
      <w:pPr>
        <w:pStyle w:val="Style38"/>
        <w:ind w:firstLine="709"/>
        <w:jc w:val="right"/>
        <w:rPr>
          <w:szCs w:val="24"/>
        </w:rPr>
      </w:pPr>
      <w:r>
        <w:rPr/>
      </w:r>
    </w:p>
    <w:p>
      <w:pPr>
        <w:pStyle w:val="Style38"/>
        <w:ind w:firstLine="709"/>
        <w:jc w:val="right"/>
        <w:rPr>
          <w:szCs w:val="24"/>
        </w:rPr>
      </w:pPr>
      <w:r>
        <w:rPr>
          <w:szCs w:val="24"/>
        </w:rPr>
        <w:t>Таблица 6.3.2</w:t>
      </w:r>
    </w:p>
    <w:p>
      <w:pPr>
        <w:pStyle w:val="Style38"/>
        <w:suppressAutoHyphens w:val="true"/>
        <w:spacing w:before="0" w:after="120"/>
        <w:ind w:left="788" w:hanging="0"/>
        <w:jc w:val="center"/>
        <w:rPr>
          <w:szCs w:val="24"/>
        </w:rPr>
      </w:pPr>
      <w:r>
        <w:rPr>
          <w:szCs w:val="24"/>
        </w:rPr>
        <w:t xml:space="preserve">Регламенты использования зон минимальных расстояний </w:t>
      </w:r>
    </w:p>
    <w:tbl>
      <w:tblPr>
        <w:tblStyle w:val="af0"/>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1741"/>
        <w:gridCol w:w="5761"/>
        <w:gridCol w:w="2419"/>
      </w:tblGrid>
      <w:tr>
        <w:trPr>
          <w:cantSplit w:val="true"/>
        </w:trPr>
        <w:tc>
          <w:tcPr>
            <w:tcW w:w="1741"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Наименование зоны</w:t>
            </w:r>
          </w:p>
        </w:tc>
        <w:tc>
          <w:tcPr>
            <w:tcW w:w="5761"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Правовой режим использования зоны</w:t>
            </w:r>
          </w:p>
        </w:tc>
        <w:tc>
          <w:tcPr>
            <w:tcW w:w="2419"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Обоснование</w:t>
            </w:r>
          </w:p>
          <w:p>
            <w:pPr>
              <w:pStyle w:val="Style38"/>
              <w:widowControl/>
              <w:spacing w:before="0" w:after="0"/>
              <w:ind w:left="0" w:right="0" w:hanging="0"/>
              <w:jc w:val="center"/>
              <w:rPr>
                <w:sz w:val="20"/>
                <w:lang w:eastAsia="en-US"/>
              </w:rPr>
            </w:pPr>
            <w:r>
              <w:rPr>
                <w:kern w:val="0"/>
                <w:sz w:val="20"/>
                <w:lang w:val="ru-RU" w:eastAsia="en-US" w:bidi="ar-SA"/>
              </w:rPr>
              <w:t>(нормативные документы)</w:t>
            </w:r>
          </w:p>
        </w:tc>
      </w:tr>
      <w:tr>
        <w:trPr>
          <w:cantSplit w:val="true"/>
        </w:trPr>
        <w:tc>
          <w:tcPr>
            <w:tcW w:w="1741" w:type="dxa"/>
            <w:vMerge w:val="restart"/>
            <w:tcBorders/>
            <w:vAlign w:val="center"/>
          </w:tcPr>
          <w:p>
            <w:pPr>
              <w:pStyle w:val="Normal"/>
              <w:widowControl/>
              <w:spacing w:lineRule="auto" w:line="240" w:before="0" w:after="0"/>
              <w:jc w:val="center"/>
              <w:rPr>
                <w:rFonts w:ascii="Times New Roman" w:hAnsi="Times New Roman" w:cs="Times New Roman"/>
                <w:sz w:val="20"/>
                <w:szCs w:val="20"/>
              </w:rPr>
            </w:pPr>
            <w:r>
              <w:rPr>
                <w:rFonts w:eastAsia="Times New Roman" w:cs="Times New Roman" w:ascii="Times New Roman" w:hAnsi="Times New Roman"/>
                <w:kern w:val="0"/>
                <w:sz w:val="20"/>
                <w:szCs w:val="20"/>
                <w:lang w:val="ru-RU" w:eastAsia="ru-RU" w:bidi="ar-SA"/>
              </w:rPr>
              <w:t>Зоны минимальных расстояний</w:t>
            </w:r>
          </w:p>
        </w:tc>
        <w:tc>
          <w:tcPr>
            <w:tcW w:w="5761" w:type="dxa"/>
            <w:tcBorders/>
          </w:tcPr>
          <w:p>
            <w:pPr>
              <w:pStyle w:val="ConsPlusNormal"/>
              <w:widowControl w:val="false"/>
              <w:spacing w:before="0" w:after="0"/>
              <w:jc w:val="both"/>
              <w:rPr>
                <w:rFonts w:ascii="Times New Roman" w:hAnsi="Times New Roman" w:cs="Times New Roman"/>
                <w:sz w:val="20"/>
                <w:lang w:eastAsia="en-US"/>
              </w:rPr>
            </w:pPr>
            <w:r>
              <w:rPr>
                <w:rFonts w:cs="Times New Roman" w:ascii="Times New Roman" w:hAnsi="Times New Roman"/>
                <w:b/>
                <w:kern w:val="0"/>
                <w:sz w:val="20"/>
                <w:lang w:val="ru-RU" w:eastAsia="en-US" w:bidi="ar-SA"/>
              </w:rPr>
              <w:t>В зоне МР 1 не допускается размещение</w:t>
            </w:r>
            <w:r>
              <w:rPr>
                <w:rFonts w:cs="Times New Roman" w:ascii="Times New Roman" w:hAnsi="Times New Roman"/>
                <w:kern w:val="0"/>
                <w:sz w:val="20"/>
                <w:lang w:val="ru-RU" w:eastAsia="en-US" w:bidi="ar-SA"/>
              </w:rPr>
              <w:t>:</w:t>
            </w:r>
          </w:p>
          <w:p>
            <w:pPr>
              <w:pStyle w:val="Normal"/>
              <w:keepLines/>
              <w:widowControl w:val="false"/>
              <w:spacing w:lineRule="auto" w:line="240" w:before="0" w:after="0"/>
              <w:jc w:val="both"/>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 населенных пунктов;</w:t>
            </w:r>
          </w:p>
          <w:p>
            <w:pPr>
              <w:pStyle w:val="Normal"/>
              <w:keepLines/>
              <w:widowControl w:val="false"/>
              <w:spacing w:lineRule="auto" w:line="240" w:before="0" w:after="0"/>
              <w:jc w:val="both"/>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 коллективных садов с дачными домиками;</w:t>
            </w:r>
          </w:p>
          <w:p>
            <w:pPr>
              <w:pStyle w:val="Normal"/>
              <w:keepLines/>
              <w:widowControl w:val="false"/>
              <w:spacing w:lineRule="auto" w:line="240" w:before="0" w:after="0"/>
              <w:jc w:val="both"/>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 отдельных промышленных и сельскохозяйственных предприятий;</w:t>
            </w:r>
          </w:p>
          <w:p>
            <w:pPr>
              <w:pStyle w:val="Normal"/>
              <w:keepLines/>
              <w:widowControl w:val="false"/>
              <w:spacing w:lineRule="auto" w:line="240" w:before="0" w:after="0"/>
              <w:jc w:val="both"/>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 птицефабрик, тепличных комбинатов и хозяйств;</w:t>
            </w:r>
          </w:p>
          <w:p>
            <w:pPr>
              <w:pStyle w:val="Normal"/>
              <w:keepLines/>
              <w:widowControl w:val="false"/>
              <w:spacing w:lineRule="auto" w:line="240" w:before="0" w:after="0"/>
              <w:jc w:val="both"/>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 молокозаводов;</w:t>
            </w:r>
          </w:p>
          <w:p>
            <w:pPr>
              <w:pStyle w:val="Normal"/>
              <w:keepLines/>
              <w:widowControl w:val="false"/>
              <w:spacing w:lineRule="auto" w:line="240" w:before="0" w:after="0"/>
              <w:jc w:val="both"/>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 карьеров разработки полезных ископаемых;</w:t>
            </w:r>
          </w:p>
          <w:p>
            <w:pPr>
              <w:pStyle w:val="Normal"/>
              <w:keepLines/>
              <w:widowControl w:val="false"/>
              <w:spacing w:lineRule="auto" w:line="240" w:before="0" w:after="0"/>
              <w:ind w:left="34" w:right="0" w:hanging="0"/>
              <w:jc w:val="both"/>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 гаражей и открытых стоянок для автомобилей индивидуальных владельцев на количество автомобилей более 20;</w:t>
            </w:r>
          </w:p>
          <w:p>
            <w:pPr>
              <w:pStyle w:val="Normal"/>
              <w:keepLines/>
              <w:widowControl w:val="false"/>
              <w:spacing w:lineRule="auto" w:line="240" w:before="0" w:after="0"/>
              <w:jc w:val="both"/>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 отдельно стоящих зданий с массовым скоплением людей (школ, больниц, детских садов, вокзалов и т.д.);</w:t>
            </w:r>
          </w:p>
          <w:p>
            <w:pPr>
              <w:pStyle w:val="Normal"/>
              <w:keepLines/>
              <w:widowControl w:val="false"/>
              <w:spacing w:lineRule="auto" w:line="240" w:before="0" w:after="0"/>
              <w:jc w:val="both"/>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 xml:space="preserve">- железнодорожных станций; аэропортов; речных портов и пристаней; гидро-, электростанций; гидротехнических сооружений речного транспорта </w:t>
            </w:r>
            <w:r>
              <w:rPr>
                <w:rFonts w:eastAsia="Times New Roman" w:cs="Times New Roman" w:ascii="Times New Roman" w:hAnsi="Times New Roman"/>
                <w:kern w:val="0"/>
                <w:sz w:val="20"/>
                <w:szCs w:val="20"/>
                <w:lang w:val="en-US" w:eastAsia="ru-RU" w:bidi="ar-SA"/>
              </w:rPr>
              <w:t>I</w:t>
            </w:r>
            <w:r>
              <w:rPr>
                <w:rFonts w:eastAsia="Times New Roman" w:cs="Times New Roman" w:ascii="Times New Roman" w:hAnsi="Times New Roman"/>
                <w:kern w:val="0"/>
                <w:sz w:val="20"/>
                <w:szCs w:val="20"/>
                <w:lang w:val="ru-RU" w:eastAsia="ru-RU" w:bidi="ar-SA"/>
              </w:rPr>
              <w:t>-</w:t>
            </w:r>
            <w:r>
              <w:rPr>
                <w:rFonts w:eastAsia="Times New Roman" w:cs="Times New Roman" w:ascii="Times New Roman" w:hAnsi="Times New Roman"/>
                <w:kern w:val="0"/>
                <w:sz w:val="20"/>
                <w:szCs w:val="20"/>
                <w:lang w:val="en-US" w:eastAsia="ru-RU" w:bidi="ar-SA"/>
              </w:rPr>
              <w:t>IV</w:t>
            </w:r>
            <w:r>
              <w:rPr>
                <w:rFonts w:eastAsia="Times New Roman" w:cs="Times New Roman" w:ascii="Times New Roman" w:hAnsi="Times New Roman"/>
                <w:kern w:val="0"/>
                <w:sz w:val="20"/>
                <w:szCs w:val="20"/>
                <w:lang w:val="ru-RU" w:eastAsia="ru-RU" w:bidi="ar-SA"/>
              </w:rPr>
              <w:t xml:space="preserve"> классов;</w:t>
            </w:r>
          </w:p>
          <w:p>
            <w:pPr>
              <w:pStyle w:val="Normal"/>
              <w:keepLines/>
              <w:widowControl w:val="false"/>
              <w:spacing w:lineRule="auto" w:line="240" w:before="0" w:after="0"/>
              <w:jc w:val="both"/>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 очистных сооружений и насосных станций водопроводных;</w:t>
            </w:r>
          </w:p>
          <w:p>
            <w:pPr>
              <w:pStyle w:val="Normal"/>
              <w:widowControl/>
              <w:spacing w:lineRule="auto" w:line="240" w:before="0" w:after="0"/>
              <w:jc w:val="both"/>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-складов легковоспламеняющихся и горючих жидкостей и газов с объемом хранения свыше 1000 м</w:t>
            </w:r>
            <w:r>
              <w:rPr>
                <w:rFonts w:eastAsia="Times New Roman" w:cs="Times New Roman" w:ascii="Times New Roman" w:hAnsi="Times New Roman"/>
                <w:kern w:val="0"/>
                <w:position w:val="-4"/>
                <w:sz w:val="20"/>
                <w:szCs w:val="20"/>
                <w:lang w:val="ru-RU" w:eastAsia="ru-RU" w:bidi="ar-SA"/>
              </w:rPr>
              <w:t>3</w:t>
            </w:r>
            <w:r>
              <w:rPr>
                <w:rFonts w:eastAsia="Times New Roman" w:cs="Times New Roman" w:ascii="Times New Roman" w:hAnsi="Times New Roman"/>
                <w:kern w:val="0"/>
                <w:sz w:val="20"/>
                <w:szCs w:val="20"/>
                <w:lang w:val="ru-RU" w:eastAsia="ru-RU" w:bidi="ar-SA"/>
              </w:rPr>
              <w:t>;</w:t>
            </w:r>
          </w:p>
          <w:p>
            <w:pPr>
              <w:pStyle w:val="Normal"/>
              <w:widowControl/>
              <w:spacing w:lineRule="auto" w:line="240" w:before="0" w:after="0"/>
              <w:jc w:val="both"/>
              <w:rPr>
                <w:rFonts w:ascii="Times New Roman" w:hAnsi="Times New Roman" w:cs="Times New Roman"/>
                <w:sz w:val="20"/>
                <w:szCs w:val="20"/>
              </w:rPr>
            </w:pPr>
            <w:r>
              <w:rPr>
                <w:rFonts w:eastAsia="Times New Roman" w:cs="Times New Roman" w:ascii="Times New Roman" w:hAnsi="Times New Roman"/>
                <w:kern w:val="0"/>
                <w:sz w:val="20"/>
                <w:szCs w:val="20"/>
                <w:lang w:val="ru-RU" w:eastAsia="ru-RU" w:bidi="ar-SA"/>
              </w:rPr>
              <w:t xml:space="preserve"> </w:t>
            </w:r>
            <w:r>
              <w:rPr>
                <w:rFonts w:eastAsia="Times New Roman" w:cs="Times New Roman" w:ascii="Times New Roman" w:hAnsi="Times New Roman"/>
                <w:kern w:val="0"/>
                <w:sz w:val="20"/>
                <w:szCs w:val="20"/>
                <w:lang w:val="ru-RU" w:eastAsia="ru-RU" w:bidi="ar-SA"/>
              </w:rPr>
              <w:t>- автозаправочных станций и пр.</w:t>
            </w:r>
          </w:p>
        </w:tc>
        <w:tc>
          <w:tcPr>
            <w:tcW w:w="2419" w:type="dxa"/>
            <w:vMerge w:val="restart"/>
            <w:tcBorders/>
            <w:vAlign w:val="center"/>
          </w:tcPr>
          <w:p>
            <w:pPr>
              <w:pStyle w:val="Normal"/>
              <w:keepLines/>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r>
          </w:p>
          <w:p>
            <w:pPr>
              <w:pStyle w:val="Normal"/>
              <w:keepLines/>
              <w:widowControl w:val="false"/>
              <w:spacing w:lineRule="auto" w:line="240" w:before="0" w:after="0"/>
              <w:ind w:left="-81" w:right="0" w:hanging="0"/>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СП 36.13330.2012,</w:t>
            </w:r>
          </w:p>
          <w:p>
            <w:pPr>
              <w:pStyle w:val="Style38"/>
              <w:widowControl/>
              <w:spacing w:before="0" w:after="0"/>
              <w:ind w:left="-81" w:right="0" w:hanging="0"/>
              <w:jc w:val="center"/>
              <w:rPr>
                <w:sz w:val="20"/>
                <w:lang w:eastAsia="en-US"/>
              </w:rPr>
            </w:pPr>
            <w:r>
              <w:rPr>
                <w:kern w:val="0"/>
                <w:sz w:val="20"/>
                <w:lang w:val="ru-RU" w:bidi="ar-SA"/>
              </w:rPr>
              <w:t>СП 284.1325800.2016</w:t>
            </w:r>
          </w:p>
        </w:tc>
      </w:tr>
      <w:tr>
        <w:trPr>
          <w:cantSplit w:val="true"/>
        </w:trPr>
        <w:tc>
          <w:tcPr>
            <w:tcW w:w="1741" w:type="dxa"/>
            <w:vMerge w:val="continue"/>
            <w:tcBorders/>
          </w:tcPr>
          <w:p>
            <w:pPr>
              <w:pStyle w:val="Normal"/>
              <w:widowContro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r>
          </w:p>
        </w:tc>
        <w:tc>
          <w:tcPr>
            <w:tcW w:w="5761" w:type="dxa"/>
            <w:tcBorders/>
          </w:tcPr>
          <w:p>
            <w:pPr>
              <w:pStyle w:val="ConsPlusNormal"/>
              <w:widowControl w:val="false"/>
              <w:spacing w:before="0" w:after="0"/>
              <w:jc w:val="both"/>
              <w:rPr>
                <w:rFonts w:ascii="Times New Roman" w:hAnsi="Times New Roman" w:cs="Times New Roman"/>
                <w:sz w:val="20"/>
                <w:lang w:eastAsia="en-US"/>
              </w:rPr>
            </w:pPr>
            <w:r>
              <w:rPr>
                <w:rFonts w:cs="Times New Roman" w:ascii="Times New Roman" w:hAnsi="Times New Roman"/>
                <w:b/>
                <w:kern w:val="0"/>
                <w:sz w:val="20"/>
                <w:lang w:val="ru-RU" w:eastAsia="en-US" w:bidi="ar-SA"/>
              </w:rPr>
              <w:t>В зоне МР 2 не допускается размещение</w:t>
            </w:r>
            <w:r>
              <w:rPr>
                <w:rFonts w:cs="Times New Roman" w:ascii="Times New Roman" w:hAnsi="Times New Roman"/>
                <w:kern w:val="0"/>
                <w:sz w:val="20"/>
                <w:lang w:val="ru-RU" w:eastAsia="en-US" w:bidi="ar-SA"/>
              </w:rPr>
              <w:t>:</w:t>
            </w:r>
          </w:p>
          <w:p>
            <w:pPr>
              <w:pStyle w:val="ConsPlusNormal"/>
              <w:widowControl w:val="false"/>
              <w:spacing w:before="0" w:after="0"/>
              <w:jc w:val="both"/>
              <w:rPr>
                <w:rFonts w:ascii="Times New Roman" w:hAnsi="Times New Roman" w:cs="Times New Roman"/>
                <w:sz w:val="20"/>
                <w:lang w:eastAsia="en-US"/>
              </w:rPr>
            </w:pPr>
            <w:r>
              <w:rPr>
                <w:rFonts w:cs="Times New Roman" w:ascii="Times New Roman" w:hAnsi="Times New Roman"/>
                <w:kern w:val="0"/>
                <w:sz w:val="20"/>
                <w:lang w:val="ru-RU" w:eastAsia="en-US" w:bidi="ar-SA"/>
              </w:rPr>
              <w:t xml:space="preserve"> </w:t>
            </w:r>
            <w:r>
              <w:rPr>
                <w:rFonts w:cs="Times New Roman" w:ascii="Times New Roman" w:hAnsi="Times New Roman"/>
                <w:kern w:val="0"/>
                <w:sz w:val="20"/>
                <w:lang w:val="ru-RU" w:eastAsia="en-US" w:bidi="ar-SA"/>
              </w:rPr>
              <w:t xml:space="preserve">- железных дорог общей сети (на перегонах) и автодорог кат. </w:t>
            </w:r>
            <w:r>
              <w:rPr>
                <w:rFonts w:cs="Times New Roman" w:ascii="Times New Roman" w:hAnsi="Times New Roman"/>
                <w:kern w:val="0"/>
                <w:sz w:val="20"/>
                <w:lang w:val="en-US" w:eastAsia="en-US" w:bidi="ar-SA"/>
              </w:rPr>
              <w:t>I</w:t>
            </w:r>
            <w:r>
              <w:rPr>
                <w:rFonts w:cs="Times New Roman" w:ascii="Times New Roman" w:hAnsi="Times New Roman"/>
                <w:kern w:val="0"/>
                <w:sz w:val="20"/>
                <w:lang w:val="ru-RU" w:eastAsia="en-US" w:bidi="ar-SA"/>
              </w:rPr>
              <w:t>-</w:t>
            </w:r>
            <w:r>
              <w:rPr>
                <w:rFonts w:cs="Times New Roman" w:ascii="Times New Roman" w:hAnsi="Times New Roman"/>
                <w:kern w:val="0"/>
                <w:sz w:val="20"/>
                <w:lang w:val="en-US" w:eastAsia="en-US" w:bidi="ar-SA"/>
              </w:rPr>
              <w:t>III</w:t>
            </w:r>
            <w:r>
              <w:rPr>
                <w:rFonts w:cs="Times New Roman" w:ascii="Times New Roman" w:hAnsi="Times New Roman"/>
                <w:kern w:val="0"/>
                <w:sz w:val="20"/>
                <w:lang w:val="ru-RU" w:eastAsia="en-US" w:bidi="ar-SA"/>
              </w:rPr>
              <w:t>, параллельно которым прокладывается трубопровод;</w:t>
            </w:r>
          </w:p>
          <w:p>
            <w:pPr>
              <w:pStyle w:val="ConsPlusNormal"/>
              <w:widowControl w:val="false"/>
              <w:spacing w:before="0" w:after="0"/>
              <w:jc w:val="both"/>
              <w:rPr>
                <w:rFonts w:ascii="Times New Roman" w:hAnsi="Times New Roman" w:cs="Times New Roman"/>
                <w:sz w:val="20"/>
                <w:lang w:eastAsia="en-US"/>
              </w:rPr>
            </w:pPr>
            <w:r>
              <w:rPr>
                <w:rFonts w:cs="Times New Roman" w:ascii="Times New Roman" w:hAnsi="Times New Roman"/>
                <w:kern w:val="0"/>
                <w:sz w:val="20"/>
                <w:lang w:val="ru-RU" w:eastAsia="en-US" w:bidi="ar-SA"/>
              </w:rPr>
              <w:t xml:space="preserve">- отдельно стоящих: 1-2 этажных жилых зданий; садовых домиков; дач; домов линейных обходчиков; </w:t>
            </w:r>
          </w:p>
          <w:p>
            <w:pPr>
              <w:pStyle w:val="ConsPlusNormal"/>
              <w:widowControl w:val="false"/>
              <w:spacing w:before="0" w:after="0"/>
              <w:jc w:val="both"/>
              <w:rPr>
                <w:rFonts w:ascii="Times New Roman" w:hAnsi="Times New Roman" w:cs="Times New Roman"/>
                <w:sz w:val="20"/>
                <w:lang w:eastAsia="en-US"/>
              </w:rPr>
            </w:pPr>
            <w:r>
              <w:rPr>
                <w:rFonts w:cs="Times New Roman" w:ascii="Times New Roman" w:hAnsi="Times New Roman"/>
                <w:kern w:val="0"/>
                <w:sz w:val="20"/>
                <w:lang w:val="ru-RU" w:eastAsia="en-US" w:bidi="ar-SA"/>
              </w:rPr>
              <w:t>- кладбищ;</w:t>
            </w:r>
          </w:p>
          <w:p>
            <w:pPr>
              <w:pStyle w:val="ConsPlusNormal"/>
              <w:widowControl w:val="false"/>
              <w:spacing w:before="0" w:after="0"/>
              <w:jc w:val="both"/>
              <w:rPr>
                <w:rFonts w:ascii="Times New Roman" w:hAnsi="Times New Roman" w:cs="Times New Roman"/>
                <w:sz w:val="20"/>
                <w:lang w:eastAsia="en-US"/>
              </w:rPr>
            </w:pPr>
            <w:r>
              <w:rPr>
                <w:rFonts w:cs="Times New Roman" w:ascii="Times New Roman" w:hAnsi="Times New Roman"/>
                <w:kern w:val="0"/>
                <w:sz w:val="20"/>
                <w:lang w:val="ru-RU" w:eastAsia="en-US" w:bidi="ar-SA"/>
              </w:rPr>
              <w:t>- с/х ферм и огороженных участков для организованного выпаса скота;</w:t>
            </w:r>
          </w:p>
          <w:p>
            <w:pPr>
              <w:pStyle w:val="ConsPlusNormal"/>
              <w:widowControl w:val="false"/>
              <w:spacing w:before="0" w:after="0"/>
              <w:jc w:val="both"/>
              <w:rPr>
                <w:rFonts w:ascii="Times New Roman" w:hAnsi="Times New Roman" w:cs="Times New Roman"/>
                <w:sz w:val="20"/>
                <w:lang w:eastAsia="en-US"/>
              </w:rPr>
            </w:pPr>
            <w:r>
              <w:rPr>
                <w:rFonts w:cs="Times New Roman" w:ascii="Times New Roman" w:hAnsi="Times New Roman"/>
                <w:kern w:val="0"/>
                <w:sz w:val="20"/>
                <w:lang w:val="ru-RU" w:eastAsia="en-US" w:bidi="ar-SA"/>
              </w:rPr>
              <w:t xml:space="preserve">- полевых станов. </w:t>
            </w:r>
          </w:p>
        </w:tc>
        <w:tc>
          <w:tcPr>
            <w:tcW w:w="2419" w:type="dxa"/>
            <w:vMerge w:val="continue"/>
            <w:tcBorders/>
          </w:tcPr>
          <w:p>
            <w:pPr>
              <w:pStyle w:val="Normal"/>
              <w:keepLines/>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r>
          </w:p>
        </w:tc>
      </w:tr>
      <w:tr>
        <w:trPr>
          <w:trHeight w:val="77" w:hRule="atLeast"/>
          <w:cantSplit w:val="true"/>
        </w:trPr>
        <w:tc>
          <w:tcPr>
            <w:tcW w:w="1741" w:type="dxa"/>
            <w:vMerge w:val="continue"/>
            <w:tcBorders/>
          </w:tcPr>
          <w:p>
            <w:pPr>
              <w:pStyle w:val="Normal"/>
              <w:widowControl/>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r>
          </w:p>
        </w:tc>
        <w:tc>
          <w:tcPr>
            <w:tcW w:w="5761" w:type="dxa"/>
            <w:tcBorders/>
          </w:tcPr>
          <w:p>
            <w:pPr>
              <w:pStyle w:val="ConsPlusNormal"/>
              <w:widowControl w:val="false"/>
              <w:spacing w:before="0" w:after="0"/>
              <w:jc w:val="both"/>
              <w:rPr>
                <w:rFonts w:ascii="Times New Roman" w:hAnsi="Times New Roman" w:cs="Times New Roman"/>
                <w:sz w:val="20"/>
                <w:lang w:eastAsia="en-US"/>
              </w:rPr>
            </w:pPr>
            <w:r>
              <w:rPr>
                <w:rFonts w:cs="Times New Roman" w:ascii="Times New Roman" w:hAnsi="Times New Roman"/>
                <w:b/>
                <w:kern w:val="0"/>
                <w:sz w:val="20"/>
                <w:lang w:val="ru-RU" w:eastAsia="en-US" w:bidi="ar-SA"/>
              </w:rPr>
              <w:t>В зоне МР 3 не допускается размещение</w:t>
            </w:r>
            <w:r>
              <w:rPr>
                <w:rFonts w:cs="Times New Roman" w:ascii="Times New Roman" w:hAnsi="Times New Roman"/>
                <w:kern w:val="0"/>
                <w:sz w:val="20"/>
                <w:lang w:val="ru-RU" w:eastAsia="en-US" w:bidi="ar-SA"/>
              </w:rPr>
              <w:t>:</w:t>
            </w:r>
          </w:p>
          <w:p>
            <w:pPr>
              <w:pStyle w:val="ConsPlusNormal"/>
              <w:widowControl w:val="false"/>
              <w:spacing w:before="0" w:after="0"/>
              <w:jc w:val="both"/>
              <w:rPr>
                <w:rFonts w:ascii="Times New Roman" w:hAnsi="Times New Roman" w:cs="Times New Roman"/>
                <w:sz w:val="20"/>
                <w:lang w:eastAsia="en-US"/>
              </w:rPr>
            </w:pPr>
            <w:r>
              <w:rPr>
                <w:rFonts w:cs="Times New Roman" w:ascii="Times New Roman" w:hAnsi="Times New Roman"/>
                <w:kern w:val="0"/>
                <w:sz w:val="20"/>
                <w:lang w:val="ru-RU" w:eastAsia="en-US" w:bidi="ar-SA"/>
              </w:rPr>
              <w:t>- отдельно стоящих нежилых и подсобных строений;</w:t>
            </w:r>
          </w:p>
          <w:p>
            <w:pPr>
              <w:pStyle w:val="ConsPlusNormal"/>
              <w:widowControl w:val="false"/>
              <w:spacing w:before="0" w:after="0"/>
              <w:jc w:val="both"/>
              <w:rPr>
                <w:rFonts w:ascii="Times New Roman" w:hAnsi="Times New Roman" w:cs="Times New Roman"/>
                <w:sz w:val="20"/>
                <w:lang w:eastAsia="en-US"/>
              </w:rPr>
            </w:pPr>
            <w:r>
              <w:rPr>
                <w:rFonts w:cs="Times New Roman" w:ascii="Times New Roman" w:hAnsi="Times New Roman"/>
                <w:kern w:val="0"/>
                <w:sz w:val="20"/>
                <w:lang w:val="ru-RU" w:eastAsia="en-US" w:bidi="ar-SA"/>
              </w:rPr>
              <w:t>- устьев бурящихся и эксплуатируемых нефтяных, газовых и артезианских скважин;</w:t>
            </w:r>
          </w:p>
          <w:p>
            <w:pPr>
              <w:pStyle w:val="Normal"/>
              <w:keepLines/>
              <w:widowControl w:val="false"/>
              <w:spacing w:lineRule="auto" w:line="240" w:before="0" w:after="0"/>
              <w:ind w:left="34" w:right="0" w:hanging="0"/>
              <w:jc w:val="both"/>
              <w:rPr>
                <w:rFonts w:ascii="Times New Roman" w:hAnsi="Times New Roman" w:eastAsia="Times New Roman" w:cs="Times New Roman"/>
                <w:sz w:val="20"/>
                <w:szCs w:val="20"/>
                <w:lang w:eastAsia="ru-RU"/>
              </w:rPr>
            </w:pPr>
            <w:r>
              <w:rPr>
                <w:rFonts w:eastAsia="Calibri" w:cs="Times New Roman" w:ascii="Times New Roman" w:hAnsi="Times New Roman"/>
                <w:kern w:val="0"/>
                <w:sz w:val="20"/>
                <w:szCs w:val="22"/>
                <w:lang w:val="ru-RU" w:eastAsia="en-US" w:bidi="ar-SA"/>
              </w:rPr>
              <w:t xml:space="preserve">- </w:t>
            </w:r>
            <w:r>
              <w:rPr>
                <w:rFonts w:eastAsia="Times New Roman" w:cs="Times New Roman" w:ascii="Times New Roman" w:hAnsi="Times New Roman"/>
                <w:kern w:val="0"/>
                <w:sz w:val="20"/>
                <w:szCs w:val="20"/>
                <w:lang w:val="ru-RU" w:eastAsia="ru-RU" w:bidi="ar-SA"/>
              </w:rPr>
              <w:t>гаражей и открытых стоянок для автомобилей индивидуальных владельцев на 20 автомобилей и менее;</w:t>
            </w:r>
          </w:p>
          <w:p>
            <w:pPr>
              <w:pStyle w:val="Normal"/>
              <w:keepLines/>
              <w:widowControl w:val="false"/>
              <w:spacing w:lineRule="auto" w:line="240" w:before="0" w:after="0"/>
              <w:ind w:left="34" w:right="0" w:hanging="0"/>
              <w:jc w:val="both"/>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 канализационных сооружений;</w:t>
            </w:r>
          </w:p>
          <w:p>
            <w:pPr>
              <w:pStyle w:val="Normal"/>
              <w:keepLines/>
              <w:widowControl w:val="false"/>
              <w:spacing w:lineRule="auto" w:line="240" w:before="0" w:after="0"/>
              <w:ind w:left="34" w:right="0" w:hanging="0"/>
              <w:jc w:val="both"/>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 железных дорог промышленных предприятий;</w:t>
            </w:r>
          </w:p>
          <w:p>
            <w:pPr>
              <w:pStyle w:val="Normal"/>
              <w:keepLines/>
              <w:widowControl w:val="false"/>
              <w:spacing w:lineRule="auto" w:line="240" w:before="0" w:after="0"/>
              <w:ind w:left="34" w:right="0" w:hanging="0"/>
              <w:jc w:val="both"/>
              <w:rPr>
                <w:rFonts w:ascii="Times New Roman" w:hAnsi="Times New Roman" w:cs="Times New Roman"/>
                <w:b/>
                <w:sz w:val="20"/>
              </w:rPr>
            </w:pPr>
            <w:r>
              <w:rPr>
                <w:rFonts w:eastAsia="Times New Roman" w:cs="Times New Roman" w:ascii="Times New Roman" w:hAnsi="Times New Roman"/>
                <w:kern w:val="0"/>
                <w:sz w:val="20"/>
                <w:szCs w:val="20"/>
                <w:lang w:val="ru-RU" w:eastAsia="ru-RU" w:bidi="ar-SA"/>
              </w:rPr>
              <w:t xml:space="preserve">- </w:t>
            </w:r>
            <w:r>
              <w:rPr>
                <w:rFonts w:eastAsia="Calibri" w:cs="Times New Roman" w:ascii="Times New Roman" w:hAnsi="Times New Roman"/>
                <w:kern w:val="0"/>
                <w:sz w:val="20"/>
                <w:szCs w:val="22"/>
                <w:lang w:val="ru-RU" w:eastAsia="en-US" w:bidi="ar-SA"/>
              </w:rPr>
              <w:t xml:space="preserve">автодорог кат. </w:t>
            </w:r>
            <w:r>
              <w:rPr>
                <w:rFonts w:eastAsia="Calibri" w:cs="Times New Roman" w:ascii="Times New Roman" w:hAnsi="Times New Roman"/>
                <w:kern w:val="0"/>
                <w:sz w:val="20"/>
                <w:szCs w:val="22"/>
                <w:lang w:val="en-US" w:eastAsia="en-US" w:bidi="ar-SA"/>
              </w:rPr>
              <w:t>IV</w:t>
            </w:r>
            <w:r>
              <w:rPr>
                <w:rFonts w:eastAsia="Calibri" w:cs="Times New Roman" w:ascii="Times New Roman" w:hAnsi="Times New Roman"/>
                <w:kern w:val="0"/>
                <w:sz w:val="20"/>
                <w:szCs w:val="22"/>
                <w:lang w:val="ru-RU" w:eastAsia="en-US" w:bidi="ar-SA"/>
              </w:rPr>
              <w:t>-</w:t>
            </w:r>
            <w:r>
              <w:rPr>
                <w:rFonts w:eastAsia="Calibri" w:cs="Times New Roman" w:ascii="Times New Roman" w:hAnsi="Times New Roman"/>
                <w:kern w:val="0"/>
                <w:sz w:val="20"/>
                <w:szCs w:val="22"/>
                <w:lang w:val="en-US" w:eastAsia="en-US" w:bidi="ar-SA"/>
              </w:rPr>
              <w:t>V</w:t>
            </w:r>
            <w:r>
              <w:rPr>
                <w:rFonts w:eastAsia="Calibri" w:cs="Times New Roman" w:ascii="Times New Roman" w:hAnsi="Times New Roman"/>
                <w:kern w:val="0"/>
                <w:sz w:val="20"/>
                <w:szCs w:val="22"/>
                <w:lang w:val="ru-RU" w:eastAsia="en-US" w:bidi="ar-SA"/>
              </w:rPr>
              <w:t>, параллельно которым прокладывается трубопровод.</w:t>
            </w:r>
          </w:p>
        </w:tc>
        <w:tc>
          <w:tcPr>
            <w:tcW w:w="2419" w:type="dxa"/>
            <w:vMerge w:val="continue"/>
            <w:tcBorders/>
          </w:tcPr>
          <w:p>
            <w:pPr>
              <w:pStyle w:val="Normal"/>
              <w:keepLines/>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r>
          </w:p>
        </w:tc>
      </w:tr>
    </w:tbl>
    <w:p>
      <w:pPr>
        <w:pStyle w:val="Style38"/>
        <w:spacing w:before="0" w:after="120"/>
        <w:ind w:firstLine="709"/>
        <w:contextualSpacing/>
        <w:jc w:val="center"/>
        <w:rPr>
          <w:szCs w:val="24"/>
        </w:rPr>
      </w:pPr>
      <w:r>
        <w:rPr>
          <w:szCs w:val="24"/>
        </w:rPr>
      </w:r>
    </w:p>
    <w:p>
      <w:pPr>
        <w:pStyle w:val="Normal"/>
        <w:widowControl w:val="false"/>
        <w:suppressAutoHyphens w:val="true"/>
        <w:spacing w:lineRule="auto" w:line="240" w:before="0" w:after="0"/>
        <w:ind w:firstLine="709"/>
        <w:jc w:val="both"/>
        <w:rPr>
          <w:rFonts w:ascii="Times New Roman" w:hAnsi="Times New Roman" w:cs="Times New Roman"/>
          <w:sz w:val="28"/>
          <w:szCs w:val="28"/>
          <w:lang w:eastAsia="x-none"/>
        </w:rPr>
      </w:pPr>
      <w:r>
        <w:rPr>
          <w:rFonts w:cs="Times New Roman" w:ascii="Times New Roman" w:hAnsi="Times New Roman"/>
          <w:sz w:val="28"/>
          <w:szCs w:val="28"/>
        </w:rPr>
        <w:t xml:space="preserve">В населенные пункты газ подается через газопровод высокого давления </w:t>
      </w:r>
      <w:r>
        <w:rPr>
          <w:rFonts w:cs="Times New Roman" w:ascii="Times New Roman" w:hAnsi="Times New Roman"/>
          <w:sz w:val="28"/>
          <w:szCs w:val="28"/>
          <w:lang w:val="en-US"/>
        </w:rPr>
        <w:t>II</w:t>
      </w:r>
      <w:r>
        <w:rPr>
          <w:rFonts w:cs="Times New Roman" w:ascii="Times New Roman" w:hAnsi="Times New Roman"/>
          <w:sz w:val="28"/>
          <w:szCs w:val="28"/>
        </w:rPr>
        <w:t xml:space="preserve"> категории до газораспределительных пунктов (ГРП). Далее по сетям среднего и низкого давления непосредственно к потребителю. </w:t>
      </w:r>
    </w:p>
    <w:p>
      <w:pPr>
        <w:pStyle w:val="Style38"/>
        <w:spacing w:before="0" w:after="0"/>
        <w:ind w:firstLine="709"/>
        <w:contextualSpacing/>
        <w:rPr>
          <w:szCs w:val="24"/>
        </w:rPr>
      </w:pPr>
      <w:r>
        <w:rPr>
          <w:szCs w:val="24"/>
        </w:rPr>
        <w:t>Зоны минимальных расстояний от распределительных газопроводов устанавливаются в соответствии с приложением «</w:t>
      </w:r>
      <w:r>
        <w:rPr>
          <w:szCs w:val="28"/>
        </w:rPr>
        <w:t>СП 62.13330.2011*. Свод правил. Газораспределительные системы. Актуализированная редакция СНиП 42-01-2002», утвержденного Приказом Минрегиона России от 27.12.2010 № 780 (далее - СП 62.13330.2011)</w:t>
      </w:r>
      <w:r>
        <w:rPr>
          <w:szCs w:val="24"/>
        </w:rPr>
        <w:t>, до ГРП – в соответствии с таблицей 5 СП 62.13330.2011 и составляют до фундаментов зданий и сооружений:</w:t>
      </w:r>
    </w:p>
    <w:p>
      <w:pPr>
        <w:pStyle w:val="Style38"/>
        <w:numPr>
          <w:ilvl w:val="0"/>
          <w:numId w:val="45"/>
        </w:numPr>
        <w:spacing w:before="0" w:after="0"/>
        <w:ind w:left="720" w:hanging="11"/>
        <w:contextualSpacing/>
        <w:rPr>
          <w:szCs w:val="24"/>
        </w:rPr>
      </w:pPr>
      <w:r>
        <w:rPr>
          <w:szCs w:val="24"/>
        </w:rPr>
        <w:t>10 м - для ГРП с давлением газа на вводе до 0,6 включительно;</w:t>
      </w:r>
    </w:p>
    <w:p>
      <w:pPr>
        <w:pStyle w:val="Style38"/>
        <w:numPr>
          <w:ilvl w:val="0"/>
          <w:numId w:val="45"/>
        </w:numPr>
        <w:spacing w:before="0" w:after="0"/>
        <w:ind w:left="720" w:hanging="11"/>
        <w:contextualSpacing/>
        <w:rPr>
          <w:szCs w:val="24"/>
        </w:rPr>
      </w:pPr>
      <w:r>
        <w:rPr>
          <w:szCs w:val="24"/>
        </w:rPr>
        <w:t>15 м - для ГРП с давлением газа на вводе св. 0,6 до 1,2 включительно;</w:t>
      </w:r>
    </w:p>
    <w:p>
      <w:pPr>
        <w:pStyle w:val="Style38"/>
        <w:numPr>
          <w:ilvl w:val="0"/>
          <w:numId w:val="45"/>
        </w:numPr>
        <w:spacing w:before="0" w:after="0"/>
        <w:ind w:left="720" w:hanging="11"/>
        <w:contextualSpacing/>
        <w:rPr>
          <w:szCs w:val="24"/>
        </w:rPr>
      </w:pPr>
      <w:r>
        <w:rPr>
          <w:szCs w:val="24"/>
        </w:rPr>
        <w:t xml:space="preserve">10 м от оси - для газопроводов высокого давления </w:t>
      </w:r>
      <w:r>
        <w:rPr>
          <w:szCs w:val="24"/>
          <w:lang w:val="en-US"/>
        </w:rPr>
        <w:t>I</w:t>
      </w:r>
      <w:r>
        <w:rPr>
          <w:szCs w:val="24"/>
        </w:rPr>
        <w:t xml:space="preserve"> категории (давлением св.0,6 до 1,2 включ.);</w:t>
      </w:r>
    </w:p>
    <w:p>
      <w:pPr>
        <w:pStyle w:val="Style38"/>
        <w:numPr>
          <w:ilvl w:val="0"/>
          <w:numId w:val="45"/>
        </w:numPr>
        <w:spacing w:before="0" w:after="0"/>
        <w:ind w:left="720" w:hanging="11"/>
        <w:contextualSpacing/>
        <w:rPr>
          <w:szCs w:val="24"/>
        </w:rPr>
      </w:pPr>
      <w:r>
        <w:rPr>
          <w:szCs w:val="24"/>
        </w:rPr>
        <w:t xml:space="preserve">7 м от оси - для газопроводов высокого давления </w:t>
      </w:r>
      <w:r>
        <w:rPr>
          <w:szCs w:val="24"/>
          <w:lang w:val="en-US"/>
        </w:rPr>
        <w:t>II</w:t>
      </w:r>
      <w:r>
        <w:rPr>
          <w:szCs w:val="24"/>
        </w:rPr>
        <w:t xml:space="preserve"> категории (давлением св.0,3 до 0,6 включ.);</w:t>
      </w:r>
    </w:p>
    <w:p>
      <w:pPr>
        <w:pStyle w:val="Style38"/>
        <w:numPr>
          <w:ilvl w:val="0"/>
          <w:numId w:val="45"/>
        </w:numPr>
        <w:spacing w:before="0" w:after="0"/>
        <w:ind w:left="720" w:hanging="11"/>
        <w:contextualSpacing/>
        <w:rPr>
          <w:szCs w:val="28"/>
        </w:rPr>
      </w:pPr>
      <w:r>
        <w:rPr>
          <w:szCs w:val="24"/>
        </w:rPr>
        <w:t>4 м от оси - для газопроводов среднего давления (давлением св.0,005 до 0,3 включ.).</w:t>
      </w:r>
    </w:p>
    <w:p>
      <w:pPr>
        <w:pStyle w:val="Style38"/>
        <w:spacing w:before="0" w:after="120"/>
        <w:ind w:hanging="0"/>
        <w:contextualSpacing/>
        <w:rPr>
          <w:b/>
          <w:szCs w:val="24"/>
        </w:rPr>
      </w:pPr>
      <w:r>
        <w:rPr>
          <w:b/>
          <w:szCs w:val="24"/>
        </w:rPr>
      </w:r>
    </w:p>
    <w:p>
      <w:pPr>
        <w:pStyle w:val="2"/>
        <w:keepNext w:val="false"/>
        <w:keepLines w:val="false"/>
        <w:widowControl w:val="false"/>
        <w:numPr>
          <w:ilvl w:val="1"/>
          <w:numId w:val="42"/>
        </w:numPr>
        <w:suppressAutoHyphens w:val="true"/>
        <w:spacing w:lineRule="auto" w:line="240" w:before="0" w:after="160"/>
        <w:ind w:left="0" w:firstLine="709"/>
        <w:jc w:val="center"/>
        <w:rPr>
          <w:rFonts w:ascii="Times New Roman" w:hAnsi="Times New Roman" w:cs="Times New Roman"/>
          <w:b/>
          <w:color w:val="auto"/>
          <w:sz w:val="28"/>
          <w:szCs w:val="28"/>
          <w:lang w:eastAsia="ru-RU"/>
        </w:rPr>
      </w:pPr>
      <w:bookmarkStart w:id="160" w:name="_Toc147740062"/>
      <w:bookmarkStart w:id="161" w:name="_Toc45204815"/>
      <w:r>
        <w:rPr>
          <w:rFonts w:cs="Times New Roman" w:ascii="Times New Roman" w:hAnsi="Times New Roman"/>
          <w:b/>
          <w:color w:val="auto"/>
          <w:sz w:val="28"/>
          <w:szCs w:val="28"/>
          <w:lang w:eastAsia="ru-RU"/>
        </w:rPr>
        <w:t>Охранные зоны трубопроводов (газопроводов, нефтепроводов и нефтепродуктопроводов, аммиакопроводов)</w:t>
      </w:r>
      <w:bookmarkEnd w:id="160"/>
      <w:bookmarkEnd w:id="161"/>
    </w:p>
    <w:p>
      <w:pPr>
        <w:pStyle w:val="Normal"/>
        <w:spacing w:lineRule="auto" w:line="240" w:before="0" w:after="0"/>
        <w:ind w:firstLine="709"/>
        <w:contextualSpacing/>
        <w:jc w:val="both"/>
        <w:rPr>
          <w:rFonts w:ascii="Times New Roman" w:hAnsi="Times New Roman" w:eastAsia="Times New Roman" w:cs="Times New Roman"/>
          <w:sz w:val="28"/>
          <w:szCs w:val="28"/>
          <w:lang w:eastAsia="ru-RU"/>
        </w:rPr>
      </w:pPr>
      <w:r>
        <w:rPr/>
        <w:t xml:space="preserve"> </w:t>
      </w:r>
      <w:r>
        <w:rPr>
          <w:rFonts w:eastAsia="Times New Roman" w:cs="Times New Roman" w:ascii="Times New Roman" w:hAnsi="Times New Roman"/>
          <w:sz w:val="28"/>
          <w:szCs w:val="28"/>
          <w:lang w:eastAsia="ru-RU"/>
        </w:rPr>
        <w:t>По территории поселения проходят магистральные и промысловые трубопроводы, распределительные газопроводы.</w:t>
      </w:r>
    </w:p>
    <w:p>
      <w:pPr>
        <w:pStyle w:val="Normal"/>
        <w:spacing w:lineRule="auto" w:line="240" w:before="0" w:after="0"/>
        <w:ind w:firstLine="709"/>
        <w:contextualSpacing/>
        <w:jc w:val="both"/>
        <w:rPr>
          <w:rFonts w:ascii="Times New Roman" w:hAnsi="Times New Roman" w:eastAsia="Times New Roman" w:cs="Times New Roman"/>
          <w:sz w:val="28"/>
          <w:szCs w:val="28"/>
          <w:lang w:eastAsia="ru-RU"/>
        </w:rPr>
      </w:pPr>
      <w:bookmarkStart w:id="162" w:name="_Hlk132633935"/>
      <w:r>
        <w:rPr>
          <w:rFonts w:eastAsia="Times New Roman" w:cs="Times New Roman" w:ascii="Times New Roman" w:hAnsi="Times New Roman"/>
          <w:sz w:val="28"/>
          <w:szCs w:val="28"/>
          <w:lang w:eastAsia="ru-RU"/>
        </w:rPr>
        <w:t xml:space="preserve">Размер охранных зон магистральных трубопроводов до момента вступления в силу Положения об охранных зонах трубопроводов </w:t>
      </w:r>
      <w:r>
        <w:rPr>
          <w:rFonts w:cs="Times New Roman" w:ascii="Times New Roman" w:hAnsi="Times New Roman"/>
          <w:sz w:val="28"/>
          <w:szCs w:val="28"/>
          <w:lang w:eastAsia="ru-RU"/>
        </w:rPr>
        <w:t>принимается согласно Правилам охраны магистральных трубопроводов, утв. постановлением Госгортехнадзора России №9 от 24.04.1992</w:t>
      </w:r>
      <w:r>
        <w:rPr>
          <w:rStyle w:val="Style8"/>
          <w:rFonts w:cs="Times New Roman" w:ascii="Times New Roman" w:hAnsi="Times New Roman"/>
          <w:sz w:val="28"/>
          <w:szCs w:val="28"/>
          <w:lang w:eastAsia="ru-RU"/>
        </w:rPr>
        <w:footnoteReference w:id="2"/>
      </w:r>
      <w:r>
        <w:rPr>
          <w:rFonts w:cs="Times New Roman" w:ascii="Times New Roman" w:hAnsi="Times New Roman"/>
          <w:sz w:val="28"/>
          <w:szCs w:val="28"/>
          <w:lang w:eastAsia="ru-RU"/>
        </w:rPr>
        <w:t>.</w:t>
      </w:r>
      <w:bookmarkEnd w:id="162"/>
    </w:p>
    <w:p>
      <w:pPr>
        <w:pStyle w:val="Normal"/>
        <w:spacing w:lineRule="auto" w:line="240" w:before="0" w:after="0"/>
        <w:ind w:firstLine="709"/>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 xml:space="preserve">Охранные зоны промысловых нефтепроводов и газопроводов приравниваются к охранным зонам магистральных трубопроводов, согласно п.7.3 СП 284.1325800.2016. </w:t>
      </w:r>
    </w:p>
    <w:p>
      <w:pPr>
        <w:pStyle w:val="Normal"/>
        <w:spacing w:lineRule="auto" w:line="240" w:before="0" w:after="0"/>
        <w:ind w:firstLine="709"/>
        <w:contextualSpacing/>
        <w:jc w:val="both"/>
        <w:rPr>
          <w:rFonts w:ascii="Times New Roman" w:hAnsi="Times New Roman" w:cs="Times New Roman"/>
          <w:sz w:val="28"/>
          <w:szCs w:val="28"/>
        </w:rPr>
      </w:pPr>
      <w:bookmarkStart w:id="163" w:name="_Hlk132633969"/>
      <w:r>
        <w:rPr>
          <w:rFonts w:cs="Times New Roman" w:ascii="Times New Roman" w:hAnsi="Times New Roman"/>
          <w:sz w:val="28"/>
          <w:szCs w:val="28"/>
          <w:lang w:eastAsia="ru-RU"/>
        </w:rPr>
        <w:t xml:space="preserve">Охранные зоны магистральных газопроводов </w:t>
      </w:r>
      <w:bookmarkStart w:id="164" w:name="_Hlk133926822"/>
      <w:r>
        <w:rPr>
          <w:rFonts w:cs="Times New Roman" w:ascii="Times New Roman" w:hAnsi="Times New Roman"/>
          <w:sz w:val="28"/>
          <w:szCs w:val="28"/>
          <w:lang w:eastAsia="ru-RU"/>
        </w:rPr>
        <w:t xml:space="preserve">устанавливаются </w:t>
      </w:r>
      <w:r>
        <w:rPr>
          <w:rFonts w:cs="Times New Roman" w:ascii="Times New Roman" w:hAnsi="Times New Roman"/>
          <w:sz w:val="28"/>
          <w:szCs w:val="28"/>
        </w:rPr>
        <w:t>Правилами охраны магистральных газопроводов, утвержденными постановлением Правительства РФ от 08.09.2017 № 1083</w:t>
      </w:r>
      <w:bookmarkEnd w:id="164"/>
      <w:r>
        <w:rPr>
          <w:rFonts w:cs="Times New Roman" w:ascii="Times New Roman" w:hAnsi="Times New Roman"/>
          <w:sz w:val="28"/>
          <w:szCs w:val="28"/>
        </w:rPr>
        <w:t xml:space="preserve"> (далее - Правила охраны магистральных газопроводов). </w:t>
      </w:r>
      <w:bookmarkEnd w:id="163"/>
      <w:r>
        <w:rPr>
          <w:rFonts w:eastAsia="Times New Roman" w:cs="Times New Roman" w:ascii="Times New Roman" w:hAnsi="Times New Roman"/>
          <w:sz w:val="28"/>
          <w:szCs w:val="28"/>
          <w:lang w:eastAsia="ru-RU"/>
        </w:rPr>
        <w:t>Границы охранных зон трубопроводов на картографических материалах приведены согласно единому государственному реестру недвижимости, данным эксплуатирующих организаций. Границы охранных зон следует также уточнять у эксплуатирующих организаций на стадии проектной документации.</w:t>
      </w:r>
    </w:p>
    <w:p>
      <w:pPr>
        <w:pStyle w:val="Normal"/>
        <w:widowControl w:val="false"/>
        <w:suppressAutoHyphens w:val="tru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Охранные зоны распределительных газопроводов устанавливаются согласно Правилам охраны газораспределительных сетей, утвержденным постановлением Правительства Российской Федерации от 20.11.2000 №878 (далее – Правила охраны газораспределительных сетей), в зависимости от условий прохождения трассы. </w:t>
      </w:r>
    </w:p>
    <w:p>
      <w:pPr>
        <w:pStyle w:val="Normal"/>
        <w:widowControl w:val="false"/>
        <w:suppressAutoHyphens w:val="true"/>
        <w:spacing w:lineRule="auto" w:line="240" w:before="0" w:after="0"/>
        <w:ind w:firstLine="709"/>
        <w:jc w:val="both"/>
        <w:rPr>
          <w:rFonts w:ascii="Times New Roman" w:hAnsi="Times New Roman" w:cs="Times New Roman"/>
          <w:sz w:val="28"/>
          <w:szCs w:val="32"/>
        </w:rPr>
      </w:pPr>
      <w:r>
        <w:rPr>
          <w:rFonts w:cs="Times New Roman" w:ascii="Times New Roman" w:hAnsi="Times New Roman"/>
          <w:sz w:val="28"/>
          <w:szCs w:val="32"/>
        </w:rPr>
        <w:t>Данные об охранных зонах трубопроводов и информация о соблюдении режима охранной зоны приведены в таблице 6.4.1. Регламенты использования охранных зон приведены в таблице 6.4.2.</w:t>
      </w:r>
    </w:p>
    <w:p>
      <w:pPr>
        <w:pStyle w:val="Style38"/>
        <w:suppressAutoHyphens w:val="true"/>
        <w:spacing w:before="0" w:after="120"/>
        <w:ind w:firstLine="709"/>
        <w:contextualSpacing/>
        <w:jc w:val="right"/>
        <w:rPr>
          <w:szCs w:val="24"/>
        </w:rPr>
      </w:pPr>
      <w:r>
        <w:rPr>
          <w:szCs w:val="24"/>
        </w:rPr>
      </w:r>
    </w:p>
    <w:p>
      <w:pPr>
        <w:pStyle w:val="Style38"/>
        <w:suppressAutoHyphens w:val="true"/>
        <w:spacing w:before="0" w:after="120"/>
        <w:ind w:firstLine="709"/>
        <w:contextualSpacing/>
        <w:jc w:val="right"/>
        <w:rPr>
          <w:szCs w:val="24"/>
        </w:rPr>
      </w:pPr>
      <w:r>
        <w:rPr>
          <w:szCs w:val="24"/>
        </w:rPr>
        <w:t>Таблица 6.4.1</w:t>
      </w:r>
    </w:p>
    <w:p>
      <w:pPr>
        <w:pStyle w:val="Style38"/>
        <w:suppressAutoHyphens w:val="true"/>
        <w:spacing w:before="0" w:after="120"/>
        <w:ind w:firstLine="709"/>
        <w:jc w:val="center"/>
        <w:rPr>
          <w:szCs w:val="24"/>
        </w:rPr>
      </w:pPr>
      <w:r>
        <w:rPr>
          <w:szCs w:val="24"/>
        </w:rPr>
        <w:t xml:space="preserve">Охранные зоны трубопроводов и сооружений, входящих в их состав </w:t>
      </w:r>
    </w:p>
    <w:tbl>
      <w:tblPr>
        <w:tblStyle w:val="af0"/>
        <w:tblW w:w="5000" w:type="pct"/>
        <w:jc w:val="center"/>
        <w:tblInd w:w="0" w:type="dxa"/>
        <w:tblLayout w:type="fixed"/>
        <w:tblCellMar>
          <w:top w:w="0" w:type="dxa"/>
          <w:left w:w="108" w:type="dxa"/>
          <w:bottom w:w="0" w:type="dxa"/>
          <w:right w:w="108" w:type="dxa"/>
        </w:tblCellMar>
        <w:tblLook w:noVBand="1" w:val="04a0" w:noHBand="0" w:lastColumn="0" w:firstColumn="1" w:lastRow="0" w:firstRow="1"/>
      </w:tblPr>
      <w:tblGrid>
        <w:gridCol w:w="2124"/>
        <w:gridCol w:w="1953"/>
        <w:gridCol w:w="2018"/>
        <w:gridCol w:w="2129"/>
        <w:gridCol w:w="1697"/>
      </w:tblGrid>
      <w:tr>
        <w:trPr>
          <w:tblHeader w:val="true"/>
        </w:trPr>
        <w:tc>
          <w:tcPr>
            <w:tcW w:w="2124"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Наименование объекта</w:t>
            </w:r>
          </w:p>
        </w:tc>
        <w:tc>
          <w:tcPr>
            <w:tcW w:w="1953"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Размер охранной зоны, м</w:t>
            </w:r>
          </w:p>
        </w:tc>
        <w:tc>
          <w:tcPr>
            <w:tcW w:w="2018"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Сведения в ЕГРН об охранной зоне</w:t>
            </w:r>
          </w:p>
        </w:tc>
        <w:tc>
          <w:tcPr>
            <w:tcW w:w="2129"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Обоснование</w:t>
            </w:r>
          </w:p>
          <w:p>
            <w:pPr>
              <w:pStyle w:val="Style38"/>
              <w:widowControl/>
              <w:spacing w:before="0" w:after="0"/>
              <w:ind w:left="0" w:right="0" w:hanging="0"/>
              <w:jc w:val="center"/>
              <w:rPr>
                <w:sz w:val="20"/>
                <w:lang w:eastAsia="en-US"/>
              </w:rPr>
            </w:pPr>
            <w:r>
              <w:rPr>
                <w:kern w:val="0"/>
                <w:sz w:val="20"/>
                <w:lang w:val="ru-RU" w:eastAsia="en-US" w:bidi="ar-SA"/>
              </w:rPr>
              <w:t>(нормативные документы)</w:t>
            </w:r>
          </w:p>
        </w:tc>
        <w:tc>
          <w:tcPr>
            <w:tcW w:w="1697"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Соблюдение режима охранной зоны</w:t>
            </w:r>
          </w:p>
        </w:tc>
      </w:tr>
      <w:tr>
        <w:trPr>
          <w:trHeight w:val="135" w:hRule="atLeast"/>
        </w:trPr>
        <w:tc>
          <w:tcPr>
            <w:tcW w:w="2124" w:type="dxa"/>
            <w:tcBorders/>
            <w:vAlign w:val="center"/>
          </w:tcPr>
          <w:p>
            <w:pPr>
              <w:pStyle w:val="Style38"/>
              <w:widowControl/>
              <w:spacing w:before="0" w:after="0"/>
              <w:ind w:left="0" w:right="0" w:hanging="0"/>
              <w:jc w:val="center"/>
              <w:rPr>
                <w:sz w:val="20"/>
              </w:rPr>
            </w:pPr>
            <w:r>
              <w:rPr>
                <w:kern w:val="0"/>
                <w:sz w:val="20"/>
                <w:lang w:val="ru-RU" w:bidi="ar-SA"/>
              </w:rPr>
              <w:t>Магистральные трубопроводы, газопроводы, ГРС, сооружения, входящие в состав трубопроводов</w:t>
            </w:r>
          </w:p>
        </w:tc>
        <w:tc>
          <w:tcPr>
            <w:tcW w:w="1953"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25м (нефть, природный газ, нефтепродукты)</w:t>
            </w:r>
          </w:p>
          <w:p>
            <w:pPr>
              <w:pStyle w:val="Style38"/>
              <w:widowControl/>
              <w:spacing w:before="0" w:after="0"/>
              <w:ind w:left="0" w:right="0" w:hanging="0"/>
              <w:rPr>
                <w:sz w:val="20"/>
                <w:lang w:eastAsia="en-US"/>
              </w:rPr>
            </w:pPr>
            <w:r>
              <w:rPr>
                <w:kern w:val="0"/>
                <w:sz w:val="20"/>
                <w:lang w:val="ru-RU" w:eastAsia="en-US" w:bidi="ar-SA"/>
              </w:rPr>
            </w:r>
          </w:p>
          <w:p>
            <w:pPr>
              <w:pStyle w:val="Style38"/>
              <w:widowControl/>
              <w:spacing w:before="0" w:after="0"/>
              <w:ind w:left="0" w:right="0" w:hanging="0"/>
              <w:jc w:val="center"/>
              <w:rPr>
                <w:sz w:val="20"/>
                <w:lang w:eastAsia="en-US"/>
              </w:rPr>
            </w:pPr>
            <w:r>
              <w:rPr>
                <w:kern w:val="0"/>
                <w:sz w:val="20"/>
                <w:lang w:val="ru-RU" w:eastAsia="en-US" w:bidi="ar-SA"/>
              </w:rPr>
              <w:t>100 м (СУГ)</w:t>
            </w:r>
          </w:p>
          <w:p>
            <w:pPr>
              <w:pStyle w:val="Style38"/>
              <w:widowControl/>
              <w:spacing w:before="0" w:after="0"/>
              <w:ind w:left="0" w:right="0" w:hanging="0"/>
              <w:jc w:val="center"/>
              <w:rPr>
                <w:sz w:val="20"/>
                <w:lang w:eastAsia="en-US"/>
              </w:rPr>
            </w:pPr>
            <w:r>
              <w:rPr>
                <w:kern w:val="0"/>
                <w:sz w:val="20"/>
                <w:lang w:val="ru-RU" w:eastAsia="en-US" w:bidi="ar-SA"/>
              </w:rPr>
            </w:r>
          </w:p>
          <w:p>
            <w:pPr>
              <w:pStyle w:val="Style38"/>
              <w:widowControl/>
              <w:spacing w:before="0" w:after="0"/>
              <w:ind w:left="0" w:right="0" w:hanging="0"/>
              <w:jc w:val="center"/>
              <w:rPr>
                <w:sz w:val="20"/>
                <w:lang w:eastAsia="en-US"/>
              </w:rPr>
            </w:pPr>
            <w:r>
              <w:rPr>
                <w:kern w:val="0"/>
                <w:sz w:val="20"/>
                <w:lang w:val="ru-RU" w:eastAsia="en-US" w:bidi="ar-SA"/>
              </w:rPr>
              <w:t>100 м (вдоль подводных переходов)</w:t>
            </w:r>
          </w:p>
          <w:p>
            <w:pPr>
              <w:pStyle w:val="Style38"/>
              <w:widowControl/>
              <w:spacing w:before="0" w:after="0"/>
              <w:ind w:left="0" w:right="0" w:hanging="0"/>
              <w:jc w:val="center"/>
              <w:rPr>
                <w:sz w:val="20"/>
                <w:lang w:eastAsia="en-US"/>
              </w:rPr>
            </w:pPr>
            <w:r>
              <w:rPr>
                <w:kern w:val="0"/>
                <w:sz w:val="20"/>
                <w:lang w:val="ru-RU" w:eastAsia="en-US" w:bidi="ar-SA"/>
              </w:rPr>
            </w:r>
          </w:p>
          <w:p>
            <w:pPr>
              <w:pStyle w:val="Style38"/>
              <w:widowControl/>
              <w:spacing w:before="0" w:after="0"/>
              <w:ind w:left="0" w:right="0" w:hanging="0"/>
              <w:jc w:val="center"/>
              <w:rPr>
                <w:sz w:val="14"/>
                <w:lang w:eastAsia="en-US"/>
              </w:rPr>
            </w:pPr>
            <w:r>
              <w:rPr>
                <w:kern w:val="0"/>
                <w:sz w:val="20"/>
                <w:lang w:val="ru-RU" w:eastAsia="en-US" w:bidi="ar-SA"/>
              </w:rPr>
              <w:t>50 м</w:t>
            </w:r>
            <w:r>
              <w:rPr>
                <w:kern w:val="0"/>
                <w:sz w:val="14"/>
                <w:lang w:val="ru-RU" w:eastAsia="en-US" w:bidi="ar-SA"/>
              </w:rPr>
              <w:t xml:space="preserve"> (</w:t>
            </w:r>
            <w:r>
              <w:rPr>
                <w:kern w:val="0"/>
                <w:sz w:val="20"/>
                <w:lang w:val="ru-RU" w:bidi="ar-SA"/>
              </w:rPr>
              <w:t>вокруг емкостей для хранения и разгазирования конденсата, земляных амбаров для аварийного выпуска продукции)</w:t>
            </w:r>
          </w:p>
          <w:p>
            <w:pPr>
              <w:pStyle w:val="Style38"/>
              <w:widowControl/>
              <w:spacing w:before="0" w:after="0"/>
              <w:ind w:left="0" w:right="0" w:hanging="0"/>
              <w:jc w:val="center"/>
              <w:rPr>
                <w:sz w:val="20"/>
                <w:lang w:eastAsia="en-US"/>
              </w:rPr>
            </w:pPr>
            <w:r>
              <w:rPr>
                <w:kern w:val="0"/>
                <w:sz w:val="20"/>
                <w:lang w:val="ru-RU" w:eastAsia="en-US" w:bidi="ar-SA"/>
              </w:rPr>
            </w:r>
          </w:p>
          <w:p>
            <w:pPr>
              <w:pStyle w:val="Style38"/>
              <w:widowControl/>
              <w:spacing w:before="0" w:after="0"/>
              <w:ind w:left="0" w:right="0" w:hanging="0"/>
              <w:jc w:val="center"/>
              <w:rPr>
                <w:sz w:val="20"/>
                <w:lang w:eastAsia="en-US"/>
              </w:rPr>
            </w:pPr>
            <w:r>
              <w:rPr>
                <w:kern w:val="0"/>
                <w:sz w:val="20"/>
                <w:lang w:val="ru-RU" w:eastAsia="en-US" w:bidi="ar-SA"/>
              </w:rPr>
              <w:t>100 м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w:t>
            </w:r>
          </w:p>
        </w:tc>
        <w:tc>
          <w:tcPr>
            <w:tcW w:w="2018" w:type="dxa"/>
            <w:tcBorders/>
            <w:vAlign w:val="center"/>
          </w:tcPr>
          <w:p>
            <w:pPr>
              <w:pStyle w:val="Normal"/>
              <w:widowControl/>
              <w:spacing w:lineRule="auto" w:line="240" w:before="0" w:after="0"/>
              <w:jc w:val="center"/>
              <w:rPr>
                <w:rFonts w:ascii="Times New Roman" w:hAnsi="Times New Roman" w:cs="Times New Roman"/>
              </w:rPr>
            </w:pPr>
            <w:r>
              <w:rPr>
                <w:rFonts w:eastAsia="Calibri" w:cs="Times New Roman" w:ascii="Times New Roman" w:hAnsi="Times New Roman"/>
                <w:kern w:val="0"/>
                <w:sz w:val="20"/>
                <w:szCs w:val="22"/>
                <w:lang w:val="ru-RU" w:eastAsia="en-US" w:bidi="ar-SA"/>
              </w:rPr>
              <w:t>16:00-6.3819</w:t>
            </w:r>
          </w:p>
          <w:p>
            <w:pPr>
              <w:pStyle w:val="Style38"/>
              <w:widowControl/>
              <w:spacing w:before="0" w:after="0"/>
              <w:ind w:left="0" w:right="0" w:hanging="0"/>
              <w:jc w:val="center"/>
              <w:rPr>
                <w:sz w:val="20"/>
                <w:lang w:eastAsia="en-US"/>
              </w:rPr>
            </w:pPr>
            <w:r>
              <w:rPr>
                <w:kern w:val="0"/>
                <w:sz w:val="20"/>
                <w:lang w:val="ru-RU" w:eastAsia="en-US" w:bidi="ar-SA"/>
              </w:rPr>
              <w:t>16:15-6.1237</w:t>
            </w:r>
          </w:p>
          <w:p>
            <w:pPr>
              <w:pStyle w:val="Style38"/>
              <w:widowControl/>
              <w:spacing w:before="0" w:after="0"/>
              <w:ind w:left="0" w:right="0" w:hanging="0"/>
              <w:jc w:val="center"/>
              <w:rPr>
                <w:sz w:val="20"/>
                <w:lang w:eastAsia="en-US"/>
              </w:rPr>
            </w:pPr>
            <w:r>
              <w:rPr>
                <w:kern w:val="0"/>
                <w:sz w:val="20"/>
                <w:lang w:val="ru-RU" w:eastAsia="en-US" w:bidi="ar-SA"/>
              </w:rPr>
              <w:t>16:15-6.449</w:t>
            </w:r>
          </w:p>
          <w:p>
            <w:pPr>
              <w:pStyle w:val="Style38"/>
              <w:widowControl/>
              <w:spacing w:before="0" w:after="0"/>
              <w:ind w:left="0" w:right="0" w:hanging="0"/>
              <w:jc w:val="center"/>
              <w:rPr>
                <w:sz w:val="20"/>
                <w:lang w:eastAsia="en-US"/>
              </w:rPr>
            </w:pPr>
            <w:r>
              <w:rPr>
                <w:kern w:val="0"/>
                <w:sz w:val="20"/>
                <w:lang w:val="ru-RU" w:eastAsia="en-US" w:bidi="ar-SA"/>
              </w:rPr>
              <w:t>16:15-6.196</w:t>
            </w:r>
          </w:p>
        </w:tc>
        <w:tc>
          <w:tcPr>
            <w:tcW w:w="2129" w:type="dxa"/>
            <w:tcBorders/>
            <w:vAlign w:val="center"/>
          </w:tcPr>
          <w:p>
            <w:pPr>
              <w:pStyle w:val="Style38"/>
              <w:widowControl/>
              <w:spacing w:before="0" w:after="0"/>
              <w:ind w:left="0" w:right="0" w:hanging="23"/>
              <w:jc w:val="center"/>
              <w:rPr>
                <w:sz w:val="20"/>
                <w:lang w:eastAsia="en-US"/>
              </w:rPr>
            </w:pPr>
            <w:r>
              <w:rPr>
                <w:kern w:val="0"/>
                <w:sz w:val="20"/>
                <w:lang w:val="ru-RU" w:eastAsia="en-US" w:bidi="ar-SA"/>
              </w:rPr>
              <w:t>п.4.1 Правила охраны магистральных трубопроводов,</w:t>
            </w:r>
          </w:p>
          <w:p>
            <w:pPr>
              <w:pStyle w:val="Style38"/>
              <w:widowControl/>
              <w:spacing w:before="0" w:after="0"/>
              <w:ind w:left="0" w:right="0" w:hanging="23"/>
              <w:jc w:val="center"/>
              <w:rPr>
                <w:sz w:val="20"/>
                <w:lang w:eastAsia="en-US"/>
              </w:rPr>
            </w:pPr>
            <w:r>
              <w:rPr>
                <w:kern w:val="0"/>
                <w:sz w:val="20"/>
                <w:lang w:val="ru-RU" w:eastAsia="en-US" w:bidi="ar-SA"/>
              </w:rPr>
              <w:t xml:space="preserve">утвержденные Минтопэнерго РФ 29.04.1992, Постановлением Госгортехнадзора РФ от 22.04.1992 № 9 </w:t>
            </w:r>
          </w:p>
          <w:p>
            <w:pPr>
              <w:pStyle w:val="Style38"/>
              <w:widowControl/>
              <w:spacing w:before="0" w:after="0"/>
              <w:ind w:left="0" w:right="0" w:hanging="23"/>
              <w:jc w:val="center"/>
              <w:rPr>
                <w:sz w:val="20"/>
                <w:lang w:eastAsia="en-US"/>
              </w:rPr>
            </w:pPr>
            <w:r>
              <w:rPr>
                <w:kern w:val="0"/>
                <w:sz w:val="20"/>
                <w:lang w:val="ru-RU" w:eastAsia="en-US" w:bidi="ar-SA"/>
              </w:rPr>
            </w:r>
          </w:p>
          <w:p>
            <w:pPr>
              <w:pStyle w:val="Style38"/>
              <w:widowControl/>
              <w:spacing w:before="0" w:after="0"/>
              <w:ind w:left="0" w:right="0" w:hanging="23"/>
              <w:jc w:val="center"/>
              <w:rPr>
                <w:sz w:val="20"/>
                <w:lang w:eastAsia="en-US"/>
              </w:rPr>
            </w:pPr>
            <w:r>
              <w:rPr>
                <w:kern w:val="0"/>
                <w:sz w:val="20"/>
                <w:lang w:val="ru-RU" w:eastAsia="en-US" w:bidi="ar-SA"/>
              </w:rPr>
              <w:t>Правила охраны магистральных газопроводов, утвержденные  Постановлением Правительства РФ от 08.09.2017 № 1083</w:t>
            </w:r>
          </w:p>
          <w:p>
            <w:pPr>
              <w:pStyle w:val="Style38"/>
              <w:widowControl/>
              <w:spacing w:before="0" w:after="0"/>
              <w:ind w:left="0" w:right="0" w:hanging="23"/>
              <w:jc w:val="center"/>
              <w:rPr>
                <w:sz w:val="20"/>
                <w:lang w:eastAsia="en-US"/>
              </w:rPr>
            </w:pPr>
            <w:r>
              <w:rPr>
                <w:kern w:val="0"/>
                <w:sz w:val="20"/>
                <w:lang w:val="ru-RU" w:eastAsia="en-US" w:bidi="ar-SA"/>
              </w:rPr>
            </w:r>
          </w:p>
        </w:tc>
        <w:tc>
          <w:tcPr>
            <w:tcW w:w="1697" w:type="dxa"/>
            <w:tcBorders/>
          </w:tcPr>
          <w:p>
            <w:pPr>
              <w:pStyle w:val="Style38"/>
              <w:widowControl/>
              <w:spacing w:before="0" w:after="0"/>
              <w:ind w:left="0" w:right="0" w:hanging="0"/>
              <w:jc w:val="center"/>
              <w:rPr>
                <w:sz w:val="20"/>
                <w:lang w:eastAsia="en-US"/>
              </w:rPr>
            </w:pPr>
            <w:r>
              <w:rPr>
                <w:kern w:val="0"/>
                <w:sz w:val="20"/>
                <w:lang w:val="ru-RU" w:eastAsia="en-US" w:bidi="ar-SA"/>
              </w:rPr>
            </w:r>
          </w:p>
        </w:tc>
      </w:tr>
      <w:tr>
        <w:trPr>
          <w:trHeight w:val="135" w:hRule="atLeast"/>
        </w:trPr>
        <w:tc>
          <w:tcPr>
            <w:tcW w:w="2124"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Газораспределительные сети, ГРП</w:t>
            </w:r>
          </w:p>
        </w:tc>
        <w:tc>
          <w:tcPr>
            <w:tcW w:w="1953"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а) вдоль трасс наружных газопроводов – 2 м от оси в каждую сторону</w:t>
            </w:r>
          </w:p>
          <w:p>
            <w:pPr>
              <w:pStyle w:val="Style38"/>
              <w:widowControl/>
              <w:spacing w:before="0" w:after="0"/>
              <w:ind w:left="0" w:right="0" w:hanging="0"/>
              <w:jc w:val="center"/>
              <w:rPr>
                <w:sz w:val="20"/>
                <w:lang w:eastAsia="en-US"/>
              </w:rPr>
            </w:pPr>
            <w:r>
              <w:rPr>
                <w:kern w:val="0"/>
                <w:sz w:val="20"/>
                <w:lang w:val="ru-RU" w:eastAsia="en-US" w:bidi="ar-SA"/>
              </w:rPr>
              <w:t>б) вдоль трасс подземных газопроводов из полиэтиленовых труб при использовании медного провода для обозначения трассы газопровода - 3 метра от газопровода со стороны провода и 2 метра- с противоположной стороны;</w:t>
            </w:r>
          </w:p>
          <w:p>
            <w:pPr>
              <w:pStyle w:val="Style38"/>
              <w:widowControl/>
              <w:spacing w:before="0" w:after="0"/>
              <w:ind w:left="0" w:right="0" w:hanging="0"/>
              <w:jc w:val="center"/>
              <w:rPr>
                <w:sz w:val="20"/>
                <w:lang w:eastAsia="en-US"/>
              </w:rPr>
            </w:pPr>
            <w:r>
              <w:rPr>
                <w:kern w:val="0"/>
                <w:sz w:val="20"/>
                <w:lang w:val="ru-RU" w:eastAsia="en-US" w:bidi="ar-SA"/>
              </w:rPr>
              <w:t>в) вокруг отдельно стоящих ГРП – 10 м. Для ГРП, пристроенных к зданиям, охранная зона не регламентируется;</w:t>
            </w:r>
          </w:p>
          <w:p>
            <w:pPr>
              <w:pStyle w:val="Style38"/>
              <w:widowControl/>
              <w:spacing w:before="0" w:after="0"/>
              <w:ind w:left="0" w:right="0" w:hanging="0"/>
              <w:jc w:val="center"/>
              <w:rPr>
                <w:sz w:val="20"/>
                <w:lang w:eastAsia="en-US"/>
              </w:rPr>
            </w:pPr>
            <w:r>
              <w:rPr>
                <w:kern w:val="0"/>
                <w:sz w:val="20"/>
                <w:lang w:val="ru-RU" w:eastAsia="en-US" w:bidi="ar-SA"/>
              </w:rPr>
              <w:t>г) вдоль подводных переходов газопроводов через судоходные и сплавные реки, озера, водохранилища, каналы - 100 м от оси в каждую сторону;</w:t>
            </w:r>
          </w:p>
          <w:p>
            <w:pPr>
              <w:pStyle w:val="Style38"/>
              <w:widowControl/>
              <w:spacing w:before="0" w:after="0"/>
              <w:ind w:left="0" w:right="0" w:hanging="0"/>
              <w:jc w:val="center"/>
              <w:rPr>
                <w:sz w:val="20"/>
                <w:lang w:eastAsia="en-US"/>
              </w:rPr>
            </w:pPr>
            <w:r>
              <w:rPr>
                <w:kern w:val="0"/>
                <w:sz w:val="20"/>
                <w:lang w:val="ru-RU" w:eastAsia="en-US" w:bidi="ar-SA"/>
              </w:rPr>
              <w:t>д) вдоль трасс межпоселковых газопроводов, проходящих по лесам и древесно-кустарниковой растительности, - в виде просек по 3 метра с каждой стороны. Для надземных участков газопроводов расстояние от деревьев до трубопровода должно быть не менее высоты деревьев.</w:t>
            </w:r>
          </w:p>
        </w:tc>
        <w:tc>
          <w:tcPr>
            <w:tcW w:w="2018"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16:15-6.661</w:t>
            </w:r>
          </w:p>
          <w:p>
            <w:pPr>
              <w:pStyle w:val="Style38"/>
              <w:widowControl/>
              <w:spacing w:before="0" w:after="0"/>
              <w:ind w:left="0" w:right="0" w:hanging="0"/>
              <w:jc w:val="center"/>
              <w:rPr>
                <w:sz w:val="20"/>
                <w:lang w:eastAsia="en-US"/>
              </w:rPr>
            </w:pPr>
            <w:r>
              <w:rPr>
                <w:kern w:val="0"/>
                <w:sz w:val="20"/>
                <w:lang w:val="ru-RU" w:eastAsia="en-US" w:bidi="ar-SA"/>
              </w:rPr>
              <w:t>16:15-6.830</w:t>
            </w:r>
          </w:p>
          <w:p>
            <w:pPr>
              <w:pStyle w:val="Style38"/>
              <w:widowControl/>
              <w:spacing w:before="0" w:after="0"/>
              <w:ind w:left="0" w:right="0" w:hanging="0"/>
              <w:jc w:val="center"/>
              <w:rPr>
                <w:sz w:val="20"/>
                <w:lang w:eastAsia="en-US"/>
              </w:rPr>
            </w:pPr>
            <w:r>
              <w:rPr>
                <w:kern w:val="0"/>
                <w:sz w:val="20"/>
                <w:lang w:val="ru-RU" w:eastAsia="en-US" w:bidi="ar-SA"/>
              </w:rPr>
              <w:t>16:15-6.523</w:t>
            </w:r>
          </w:p>
          <w:p>
            <w:pPr>
              <w:pStyle w:val="Style38"/>
              <w:widowControl/>
              <w:spacing w:before="0" w:after="0"/>
              <w:ind w:left="0" w:right="0" w:hanging="0"/>
              <w:jc w:val="center"/>
              <w:rPr>
                <w:sz w:val="20"/>
                <w:lang w:eastAsia="en-US"/>
              </w:rPr>
            </w:pPr>
            <w:r>
              <w:rPr>
                <w:kern w:val="0"/>
                <w:sz w:val="20"/>
                <w:lang w:val="ru-RU" w:eastAsia="en-US" w:bidi="ar-SA"/>
              </w:rPr>
              <w:t>16:15-6.242</w:t>
            </w:r>
          </w:p>
          <w:p>
            <w:pPr>
              <w:pStyle w:val="Style38"/>
              <w:widowControl/>
              <w:spacing w:before="0" w:after="0"/>
              <w:ind w:left="0" w:right="0" w:hanging="0"/>
              <w:jc w:val="center"/>
              <w:rPr>
                <w:sz w:val="20"/>
                <w:highlight w:val="yellow"/>
                <w:lang w:eastAsia="en-US"/>
              </w:rPr>
            </w:pPr>
            <w:r>
              <w:rPr>
                <w:kern w:val="0"/>
                <w:sz w:val="20"/>
                <w:lang w:val="ru-RU" w:eastAsia="en-US" w:bidi="ar-SA"/>
              </w:rPr>
              <w:t>16:15-6.545</w:t>
            </w:r>
          </w:p>
        </w:tc>
        <w:tc>
          <w:tcPr>
            <w:tcW w:w="2129"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Правила охраны газораспределительных сетей, утвержденные постановлением Правительства Российской Федерации от 20.11.2000 №878</w:t>
            </w:r>
          </w:p>
        </w:tc>
        <w:tc>
          <w:tcPr>
            <w:tcW w:w="1697"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Соблюдается</w:t>
            </w:r>
          </w:p>
        </w:tc>
      </w:tr>
    </w:tbl>
    <w:p>
      <w:pPr>
        <w:pStyle w:val="Style38"/>
        <w:ind w:firstLine="709"/>
        <w:jc w:val="right"/>
        <w:rPr>
          <w:sz w:val="24"/>
          <w:szCs w:val="24"/>
        </w:rPr>
      </w:pPr>
      <w:r>
        <w:rPr>
          <w:sz w:val="24"/>
          <w:szCs w:val="24"/>
        </w:rPr>
      </w:r>
    </w:p>
    <w:p>
      <w:pPr>
        <w:pStyle w:val="Style38"/>
        <w:ind w:firstLine="709"/>
        <w:jc w:val="right"/>
        <w:rPr>
          <w:szCs w:val="24"/>
        </w:rPr>
      </w:pPr>
      <w:r>
        <w:rPr>
          <w:szCs w:val="24"/>
        </w:rPr>
        <w:t>Таблица 6.4.2</w:t>
      </w:r>
    </w:p>
    <w:p>
      <w:pPr>
        <w:pStyle w:val="Style38"/>
        <w:spacing w:before="0" w:after="120"/>
        <w:ind w:firstLine="709"/>
        <w:contextualSpacing/>
        <w:jc w:val="center"/>
        <w:rPr>
          <w:szCs w:val="24"/>
        </w:rPr>
      </w:pPr>
      <w:r>
        <w:rPr>
          <w:szCs w:val="24"/>
        </w:rPr>
        <w:t xml:space="preserve">Регламенты использования </w:t>
      </w:r>
      <w:r>
        <w:rPr>
          <w:szCs w:val="28"/>
        </w:rPr>
        <w:t>охранных зон</w:t>
      </w:r>
    </w:p>
    <w:tbl>
      <w:tblPr>
        <w:tblStyle w:val="af0"/>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2251"/>
        <w:gridCol w:w="4967"/>
        <w:gridCol w:w="2703"/>
      </w:tblGrid>
      <w:tr>
        <w:trPr/>
        <w:tc>
          <w:tcPr>
            <w:tcW w:w="2251"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Наименование зоны</w:t>
            </w:r>
          </w:p>
        </w:tc>
        <w:tc>
          <w:tcPr>
            <w:tcW w:w="4967"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Правовой режим использования зоны</w:t>
            </w:r>
          </w:p>
        </w:tc>
        <w:tc>
          <w:tcPr>
            <w:tcW w:w="2703"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Обоснование</w:t>
            </w:r>
          </w:p>
          <w:p>
            <w:pPr>
              <w:pStyle w:val="Style38"/>
              <w:widowControl/>
              <w:spacing w:before="0" w:after="0"/>
              <w:ind w:left="0" w:right="0" w:hanging="0"/>
              <w:jc w:val="center"/>
              <w:rPr>
                <w:sz w:val="20"/>
                <w:lang w:eastAsia="en-US"/>
              </w:rPr>
            </w:pPr>
            <w:r>
              <w:rPr>
                <w:kern w:val="0"/>
                <w:sz w:val="20"/>
                <w:lang w:val="ru-RU" w:eastAsia="en-US" w:bidi="ar-SA"/>
              </w:rPr>
              <w:t>(нормативные документы)</w:t>
            </w:r>
          </w:p>
        </w:tc>
      </w:tr>
      <w:tr>
        <w:trPr/>
        <w:tc>
          <w:tcPr>
            <w:tcW w:w="2251"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Охранные зоны магистральных трубопроводов, промысловых трубопроводов для нефти и газа</w:t>
            </w:r>
          </w:p>
        </w:tc>
        <w:tc>
          <w:tcPr>
            <w:tcW w:w="4967" w:type="dxa"/>
            <w:tcBorders/>
            <w:vAlign w:val="center"/>
          </w:tcPr>
          <w:p>
            <w:pPr>
              <w:pStyle w:val="ConsPlusNormal"/>
              <w:widowControl w:val="false"/>
              <w:spacing w:before="0" w:after="0"/>
              <w:jc w:val="center"/>
              <w:rPr>
                <w:rFonts w:ascii="Times New Roman" w:hAnsi="Times New Roman" w:cs="Times New Roman"/>
                <w:sz w:val="20"/>
                <w:lang w:eastAsia="en-US"/>
              </w:rPr>
            </w:pPr>
            <w:r>
              <w:rPr>
                <w:rFonts w:cs="Times New Roman" w:ascii="Times New Roman" w:hAnsi="Times New Roman"/>
                <w:kern w:val="0"/>
                <w:sz w:val="20"/>
                <w:lang w:val="ru-RU" w:eastAsia="en-US" w:bidi="ar-SA"/>
              </w:rPr>
              <w:t>В охранных зонах запрещается:</w:t>
            </w:r>
          </w:p>
          <w:p>
            <w:pPr>
              <w:pStyle w:val="ConsPlusNormal"/>
              <w:widowControl w:val="false"/>
              <w:spacing w:before="0" w:after="0"/>
              <w:jc w:val="center"/>
              <w:rPr>
                <w:rFonts w:ascii="Times New Roman" w:hAnsi="Times New Roman" w:cs="Times New Roman"/>
                <w:sz w:val="20"/>
                <w:lang w:eastAsia="en-US"/>
              </w:rPr>
            </w:pPr>
            <w:r>
              <w:rPr>
                <w:rFonts w:cs="Times New Roman" w:ascii="Times New Roman" w:hAnsi="Times New Roman"/>
                <w:kern w:val="0"/>
                <w:sz w:val="20"/>
                <w:lang w:val="ru-RU" w:eastAsia="en-US" w:bidi="ar-SA"/>
              </w:rPr>
              <w:t>а) 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pPr>
              <w:pStyle w:val="ConsPlusNormal"/>
              <w:widowControl w:val="false"/>
              <w:spacing w:before="0" w:after="0"/>
              <w:jc w:val="center"/>
              <w:rPr>
                <w:rFonts w:ascii="Times New Roman" w:hAnsi="Times New Roman" w:cs="Times New Roman"/>
                <w:sz w:val="20"/>
                <w:lang w:eastAsia="en-US"/>
              </w:rPr>
            </w:pPr>
            <w:r>
              <w:rPr>
                <w:rFonts w:cs="Times New Roman" w:ascii="Times New Roman" w:hAnsi="Times New Roman"/>
                <w:kern w:val="0"/>
                <w:sz w:val="20"/>
                <w:lang w:val="ru-RU" w:eastAsia="en-US" w:bidi="ar-SA"/>
              </w:rPr>
              <w:t>б) 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pPr>
              <w:pStyle w:val="ConsPlusNormal"/>
              <w:widowControl w:val="false"/>
              <w:spacing w:before="0" w:after="0"/>
              <w:jc w:val="center"/>
              <w:rPr>
                <w:rFonts w:ascii="Times New Roman" w:hAnsi="Times New Roman" w:cs="Times New Roman"/>
                <w:sz w:val="20"/>
                <w:lang w:eastAsia="en-US"/>
              </w:rPr>
            </w:pPr>
            <w:r>
              <w:rPr>
                <w:rFonts w:cs="Times New Roman" w:ascii="Times New Roman" w:hAnsi="Times New Roman"/>
                <w:kern w:val="0"/>
                <w:sz w:val="20"/>
                <w:lang w:val="ru-RU" w:eastAsia="en-US" w:bidi="ar-SA"/>
              </w:rPr>
              <w:t>в) устраивать свалки, осуществлять сброс и слив едких и коррозионно-агрессивных веществ и горюче-смазочных материалов;</w:t>
            </w:r>
          </w:p>
          <w:p>
            <w:pPr>
              <w:pStyle w:val="ConsPlusNormal"/>
              <w:widowControl w:val="false"/>
              <w:spacing w:before="0" w:after="0"/>
              <w:jc w:val="center"/>
              <w:rPr>
                <w:rFonts w:ascii="Times New Roman" w:hAnsi="Times New Roman" w:cs="Times New Roman"/>
                <w:sz w:val="20"/>
                <w:lang w:eastAsia="en-US"/>
              </w:rPr>
            </w:pPr>
            <w:r>
              <w:rPr>
                <w:rFonts w:cs="Times New Roman" w:ascii="Times New Roman" w:hAnsi="Times New Roman"/>
                <w:kern w:val="0"/>
                <w:sz w:val="20"/>
                <w:lang w:val="ru-RU" w:eastAsia="en-US" w:bidi="ar-SA"/>
              </w:rPr>
              <w:t>г) складировать любые материалы, в том числе горюче-смазочные, или размещать хранилища любых материалов;</w:t>
            </w:r>
          </w:p>
          <w:p>
            <w:pPr>
              <w:pStyle w:val="ConsPlusNormal"/>
              <w:widowControl w:val="false"/>
              <w:spacing w:before="0" w:after="0"/>
              <w:jc w:val="center"/>
              <w:rPr>
                <w:rFonts w:ascii="Times New Roman" w:hAnsi="Times New Roman" w:cs="Times New Roman"/>
                <w:sz w:val="20"/>
                <w:lang w:eastAsia="en-US"/>
              </w:rPr>
            </w:pPr>
            <w:r>
              <w:rPr>
                <w:rFonts w:cs="Times New Roman" w:ascii="Times New Roman" w:hAnsi="Times New Roman"/>
                <w:kern w:val="0"/>
                <w:sz w:val="20"/>
                <w:lang w:val="ru-RU" w:eastAsia="en-US" w:bidi="ar-SA"/>
              </w:rPr>
              <w:t>д)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pPr>
              <w:pStyle w:val="ConsPlusNormal"/>
              <w:widowControl w:val="false"/>
              <w:spacing w:before="0" w:after="0"/>
              <w:jc w:val="center"/>
              <w:rPr>
                <w:rFonts w:ascii="Times New Roman" w:hAnsi="Times New Roman" w:cs="Times New Roman"/>
                <w:sz w:val="20"/>
                <w:lang w:eastAsia="en-US"/>
              </w:rPr>
            </w:pPr>
            <w:r>
              <w:rPr>
                <w:rFonts w:cs="Times New Roman" w:ascii="Times New Roman" w:hAnsi="Times New Roman"/>
                <w:kern w:val="0"/>
                <w:sz w:val="20"/>
                <w:lang w:val="ru-RU" w:eastAsia="en-US" w:bidi="ar-SA"/>
              </w:rPr>
              <w:t>е) 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якорь-цепью;</w:t>
            </w:r>
          </w:p>
          <w:p>
            <w:pPr>
              <w:pStyle w:val="ConsPlusNormal"/>
              <w:widowControl w:val="false"/>
              <w:spacing w:before="0" w:after="0"/>
              <w:jc w:val="center"/>
              <w:rPr>
                <w:rFonts w:ascii="Times New Roman" w:hAnsi="Times New Roman" w:cs="Times New Roman"/>
                <w:sz w:val="20"/>
                <w:lang w:eastAsia="en-US"/>
              </w:rPr>
            </w:pPr>
            <w:r>
              <w:rPr>
                <w:rFonts w:cs="Times New Roman" w:ascii="Times New Roman" w:hAnsi="Times New Roman"/>
                <w:kern w:val="0"/>
                <w:sz w:val="20"/>
                <w:lang w:val="ru-RU" w:eastAsia="en-US" w:bidi="ar-SA"/>
              </w:rPr>
              <w:t>ж) 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pPr>
              <w:pStyle w:val="ConsPlusNormal"/>
              <w:widowControl w:val="false"/>
              <w:spacing w:before="0" w:after="0"/>
              <w:jc w:val="center"/>
              <w:rPr>
                <w:rFonts w:ascii="Times New Roman" w:hAnsi="Times New Roman" w:cs="Times New Roman"/>
                <w:sz w:val="20"/>
                <w:lang w:eastAsia="en-US"/>
              </w:rPr>
            </w:pPr>
            <w:r>
              <w:rPr>
                <w:rFonts w:cs="Times New Roman" w:ascii="Times New Roman" w:hAnsi="Times New Roman"/>
                <w:kern w:val="0"/>
                <w:sz w:val="20"/>
                <w:lang w:val="ru-RU" w:eastAsia="en-US" w:bidi="ar-SA"/>
              </w:rPr>
              <w:t>з) проводить работы с использованием ударно-импульсных устройств и вспомогательных механизмов, сбрасывать грузы;</w:t>
            </w:r>
          </w:p>
          <w:p>
            <w:pPr>
              <w:pStyle w:val="ConsPlusNormal"/>
              <w:widowControl w:val="false"/>
              <w:spacing w:before="0" w:after="0"/>
              <w:jc w:val="center"/>
              <w:rPr>
                <w:rFonts w:ascii="Times New Roman" w:hAnsi="Times New Roman" w:cs="Times New Roman"/>
                <w:sz w:val="20"/>
                <w:lang w:eastAsia="en-US"/>
              </w:rPr>
            </w:pPr>
            <w:r>
              <w:rPr>
                <w:rFonts w:cs="Times New Roman" w:ascii="Times New Roman" w:hAnsi="Times New Roman"/>
                <w:kern w:val="0"/>
                <w:sz w:val="20"/>
                <w:lang w:val="ru-RU" w:eastAsia="en-US" w:bidi="ar-SA"/>
              </w:rPr>
              <w:t>и) осуществлять рекреационную деятельность, кроме деятельности, предусмотренной подпунктом «ж» пункта 6 настоящих Правил, разводить костры и размещать источники огня;</w:t>
            </w:r>
          </w:p>
          <w:p>
            <w:pPr>
              <w:pStyle w:val="ConsPlusNormal"/>
              <w:widowControl w:val="false"/>
              <w:spacing w:before="0" w:after="0"/>
              <w:jc w:val="center"/>
              <w:rPr>
                <w:rFonts w:ascii="Times New Roman" w:hAnsi="Times New Roman" w:cs="Times New Roman"/>
                <w:sz w:val="20"/>
                <w:lang w:eastAsia="en-US"/>
              </w:rPr>
            </w:pPr>
            <w:r>
              <w:rPr>
                <w:rFonts w:cs="Times New Roman" w:ascii="Times New Roman" w:hAnsi="Times New Roman"/>
                <w:kern w:val="0"/>
                <w:sz w:val="20"/>
                <w:lang w:val="ru-RU" w:eastAsia="en-US" w:bidi="ar-SA"/>
              </w:rPr>
              <w:t>к) огораживать и перегораживать охранные зоны;</w:t>
            </w:r>
          </w:p>
          <w:p>
            <w:pPr>
              <w:pStyle w:val="ConsPlusNormal"/>
              <w:widowControl w:val="false"/>
              <w:spacing w:before="0" w:after="0"/>
              <w:jc w:val="center"/>
              <w:rPr>
                <w:rFonts w:ascii="Times New Roman" w:hAnsi="Times New Roman" w:cs="Times New Roman"/>
                <w:sz w:val="20"/>
                <w:lang w:eastAsia="en-US"/>
              </w:rPr>
            </w:pPr>
            <w:r>
              <w:rPr>
                <w:rFonts w:cs="Times New Roman" w:ascii="Times New Roman" w:hAnsi="Times New Roman"/>
                <w:kern w:val="0"/>
                <w:sz w:val="20"/>
                <w:lang w:val="ru-RU" w:eastAsia="en-US" w:bidi="ar-SA"/>
              </w:rPr>
              <w:t>л) размещать какие-либо здания, строения, сооружения, не относящиеся к объектам, указанным в пункте 2 настоящих Правил, за исключением объектов, указанных в подпунктах «д» - «к» и «м» пункта 6 настоящих Правил;</w:t>
            </w:r>
          </w:p>
          <w:p>
            <w:pPr>
              <w:pStyle w:val="ConsPlusNormal"/>
              <w:widowControl w:val="false"/>
              <w:spacing w:before="0" w:after="0"/>
              <w:jc w:val="center"/>
              <w:rPr>
                <w:rFonts w:ascii="Times New Roman" w:hAnsi="Times New Roman" w:cs="Times New Roman"/>
                <w:sz w:val="20"/>
                <w:lang w:eastAsia="en-US"/>
              </w:rPr>
            </w:pPr>
            <w:r>
              <w:rPr>
                <w:rFonts w:cs="Times New Roman" w:ascii="Times New Roman" w:hAnsi="Times New Roman"/>
                <w:kern w:val="0"/>
                <w:sz w:val="20"/>
                <w:lang w:val="ru-RU" w:eastAsia="en-US" w:bidi="ar-SA"/>
              </w:rPr>
              <w:t>м) осуществлять несанкционированное подключение (присоединение) к магистральному газопроводу.</w:t>
            </w:r>
          </w:p>
        </w:tc>
        <w:tc>
          <w:tcPr>
            <w:tcW w:w="2703"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.Постановление Правительства  РФ от 08.09.2017 № 1083</w:t>
            </w:r>
          </w:p>
        </w:tc>
      </w:tr>
      <w:tr>
        <w:trPr/>
        <w:tc>
          <w:tcPr>
            <w:tcW w:w="2251"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Охранные зоны газораспределительных сетей</w:t>
            </w:r>
          </w:p>
        </w:tc>
        <w:tc>
          <w:tcPr>
            <w:tcW w:w="4967" w:type="dxa"/>
            <w:tcBorders/>
            <w:vAlign w:val="center"/>
          </w:tcPr>
          <w:p>
            <w:pPr>
              <w:pStyle w:val="ConsPlusNormal"/>
              <w:widowControl w:val="false"/>
              <w:spacing w:before="0" w:after="0"/>
              <w:jc w:val="center"/>
              <w:rPr>
                <w:rFonts w:ascii="Times New Roman" w:hAnsi="Times New Roman" w:cs="Times New Roman"/>
                <w:sz w:val="20"/>
                <w:lang w:eastAsia="en-US"/>
              </w:rPr>
            </w:pPr>
            <w:r>
              <w:rPr>
                <w:rFonts w:cs="Times New Roman" w:ascii="Times New Roman" w:hAnsi="Times New Roman"/>
                <w:kern w:val="0"/>
                <w:sz w:val="20"/>
                <w:lang w:val="ru-RU" w:eastAsia="en-US" w:bidi="ar-SA"/>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которыми запрещается:</w:t>
            </w:r>
          </w:p>
          <w:p>
            <w:pPr>
              <w:pStyle w:val="ConsPlusNormal"/>
              <w:widowControl w:val="false"/>
              <w:spacing w:before="0" w:after="0"/>
              <w:jc w:val="center"/>
              <w:rPr>
                <w:rFonts w:ascii="Times New Roman" w:hAnsi="Times New Roman" w:cs="Times New Roman"/>
                <w:sz w:val="20"/>
                <w:lang w:eastAsia="en-US"/>
              </w:rPr>
            </w:pPr>
            <w:r>
              <w:rPr>
                <w:rFonts w:cs="Times New Roman" w:ascii="Times New Roman" w:hAnsi="Times New Roman"/>
                <w:kern w:val="0"/>
                <w:sz w:val="20"/>
                <w:lang w:val="ru-RU" w:eastAsia="en-US" w:bidi="ar-SA"/>
              </w:rPr>
              <w:t>а) строить объекты жилищно-гражданского и производственного назначения;</w:t>
            </w:r>
          </w:p>
          <w:p>
            <w:pPr>
              <w:pStyle w:val="ConsPlusNormal"/>
              <w:widowControl w:val="false"/>
              <w:spacing w:before="0" w:after="0"/>
              <w:jc w:val="center"/>
              <w:rPr>
                <w:rFonts w:ascii="Times New Roman" w:hAnsi="Times New Roman" w:cs="Times New Roman"/>
                <w:sz w:val="20"/>
                <w:lang w:eastAsia="en-US"/>
              </w:rPr>
            </w:pPr>
            <w:r>
              <w:rPr>
                <w:rFonts w:cs="Times New Roman" w:ascii="Times New Roman" w:hAnsi="Times New Roman"/>
                <w:kern w:val="0"/>
                <w:sz w:val="20"/>
                <w:lang w:val="ru-RU" w:eastAsia="en-US" w:bidi="ar-SA"/>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pPr>
              <w:pStyle w:val="ConsPlusNormal"/>
              <w:widowControl w:val="false"/>
              <w:spacing w:before="0" w:after="0"/>
              <w:jc w:val="center"/>
              <w:rPr>
                <w:rFonts w:ascii="Times New Roman" w:hAnsi="Times New Roman" w:cs="Times New Roman"/>
                <w:sz w:val="20"/>
                <w:lang w:eastAsia="en-US"/>
              </w:rPr>
            </w:pPr>
            <w:r>
              <w:rPr>
                <w:rFonts w:cs="Times New Roman" w:ascii="Times New Roman" w:hAnsi="Times New Roman"/>
                <w:kern w:val="0"/>
                <w:sz w:val="20"/>
                <w:lang w:val="ru-RU" w:eastAsia="en-US" w:bidi="ar-SA"/>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pPr>
              <w:pStyle w:val="ConsPlusNormal"/>
              <w:widowControl w:val="false"/>
              <w:spacing w:before="0" w:after="0"/>
              <w:jc w:val="center"/>
              <w:rPr>
                <w:rFonts w:ascii="Times New Roman" w:hAnsi="Times New Roman" w:cs="Times New Roman"/>
                <w:sz w:val="20"/>
                <w:lang w:eastAsia="en-US"/>
              </w:rPr>
            </w:pPr>
            <w:r>
              <w:rPr>
                <w:rFonts w:cs="Times New Roman" w:ascii="Times New Roman" w:hAnsi="Times New Roman"/>
                <w:kern w:val="0"/>
                <w:sz w:val="20"/>
                <w:lang w:val="ru-RU" w:eastAsia="en-US" w:bidi="ar-SA"/>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pPr>
              <w:pStyle w:val="ConsPlusNormal"/>
              <w:widowControl w:val="false"/>
              <w:spacing w:before="0" w:after="0"/>
              <w:jc w:val="center"/>
              <w:rPr>
                <w:rFonts w:ascii="Times New Roman" w:hAnsi="Times New Roman" w:cs="Times New Roman"/>
                <w:sz w:val="20"/>
                <w:lang w:eastAsia="en-US"/>
              </w:rPr>
            </w:pPr>
            <w:r>
              <w:rPr>
                <w:rFonts w:cs="Times New Roman" w:ascii="Times New Roman" w:hAnsi="Times New Roman"/>
                <w:kern w:val="0"/>
                <w:sz w:val="20"/>
                <w:lang w:val="ru-RU" w:eastAsia="en-US" w:bidi="ar-SA"/>
              </w:rPr>
              <w:t>д) устраивать свалки и склады, разливать растворы кислот, солей, щелочей и других химически активных веществ;</w:t>
            </w:r>
          </w:p>
          <w:p>
            <w:pPr>
              <w:pStyle w:val="ConsPlusNormal"/>
              <w:widowControl w:val="false"/>
              <w:spacing w:before="0" w:after="0"/>
              <w:jc w:val="center"/>
              <w:rPr>
                <w:rFonts w:ascii="Times New Roman" w:hAnsi="Times New Roman" w:cs="Times New Roman"/>
                <w:sz w:val="20"/>
                <w:lang w:eastAsia="en-US"/>
              </w:rPr>
            </w:pPr>
            <w:r>
              <w:rPr>
                <w:rFonts w:cs="Times New Roman" w:ascii="Times New Roman" w:hAnsi="Times New Roman"/>
                <w:kern w:val="0"/>
                <w:sz w:val="20"/>
                <w:lang w:val="ru-RU" w:eastAsia="en-US" w:bidi="ar-SA"/>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pPr>
              <w:pStyle w:val="ConsPlusNormal"/>
              <w:widowControl w:val="false"/>
              <w:spacing w:before="0" w:after="0"/>
              <w:jc w:val="center"/>
              <w:rPr>
                <w:rFonts w:ascii="Times New Roman" w:hAnsi="Times New Roman" w:cs="Times New Roman"/>
                <w:sz w:val="20"/>
                <w:lang w:eastAsia="en-US"/>
              </w:rPr>
            </w:pPr>
            <w:r>
              <w:rPr>
                <w:rFonts w:cs="Times New Roman" w:ascii="Times New Roman" w:hAnsi="Times New Roman"/>
                <w:kern w:val="0"/>
                <w:sz w:val="20"/>
                <w:lang w:val="ru-RU" w:eastAsia="en-US" w:bidi="ar-SA"/>
              </w:rPr>
              <w:t>ж) разводить огонь и размещать источники огня;</w:t>
            </w:r>
          </w:p>
          <w:p>
            <w:pPr>
              <w:pStyle w:val="ConsPlusNormal"/>
              <w:widowControl w:val="false"/>
              <w:spacing w:before="0" w:after="0"/>
              <w:jc w:val="center"/>
              <w:rPr>
                <w:rFonts w:ascii="Times New Roman" w:hAnsi="Times New Roman" w:cs="Times New Roman"/>
                <w:sz w:val="20"/>
                <w:lang w:eastAsia="en-US"/>
              </w:rPr>
            </w:pPr>
            <w:r>
              <w:rPr>
                <w:rFonts w:cs="Times New Roman" w:ascii="Times New Roman" w:hAnsi="Times New Roman"/>
                <w:kern w:val="0"/>
                <w:sz w:val="20"/>
                <w:lang w:val="ru-RU" w:eastAsia="en-US" w:bidi="ar-SA"/>
              </w:rPr>
              <w:t>з) рыть погреба, копать и обрабатывать почву сельскохозяйственными и мелиоративными орудиями и механизмами на глубину более 0,3 метра;</w:t>
            </w:r>
          </w:p>
          <w:p>
            <w:pPr>
              <w:pStyle w:val="ConsPlusNormal"/>
              <w:widowControl w:val="false"/>
              <w:spacing w:before="0" w:after="0"/>
              <w:jc w:val="center"/>
              <w:rPr>
                <w:rFonts w:ascii="Times New Roman" w:hAnsi="Times New Roman" w:cs="Times New Roman"/>
                <w:sz w:val="20"/>
                <w:lang w:eastAsia="en-US"/>
              </w:rPr>
            </w:pPr>
            <w:r>
              <w:rPr>
                <w:rFonts w:cs="Times New Roman" w:ascii="Times New Roman" w:hAnsi="Times New Roman"/>
                <w:kern w:val="0"/>
                <w:sz w:val="20"/>
                <w:lang w:val="ru-RU" w:eastAsia="en-US" w:bidi="ar-SA"/>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pPr>
              <w:pStyle w:val="ConsPlusNormal"/>
              <w:widowControl w:val="false"/>
              <w:spacing w:before="0" w:after="0"/>
              <w:jc w:val="center"/>
              <w:rPr>
                <w:rFonts w:ascii="Times New Roman" w:hAnsi="Times New Roman" w:cs="Times New Roman"/>
                <w:sz w:val="20"/>
                <w:lang w:eastAsia="en-US"/>
              </w:rPr>
            </w:pPr>
            <w:r>
              <w:rPr>
                <w:rFonts w:cs="Times New Roman" w:ascii="Times New Roman" w:hAnsi="Times New Roman"/>
                <w:kern w:val="0"/>
                <w:sz w:val="20"/>
                <w:lang w:val="ru-RU" w:eastAsia="en-US" w:bidi="ar-SA"/>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pPr>
              <w:pStyle w:val="ConsPlusNormal"/>
              <w:widowControl w:val="false"/>
              <w:spacing w:before="0" w:after="0"/>
              <w:jc w:val="center"/>
              <w:rPr>
                <w:rFonts w:ascii="Times New Roman" w:hAnsi="Times New Roman" w:cs="Times New Roman"/>
                <w:sz w:val="20"/>
                <w:lang w:eastAsia="en-US"/>
              </w:rPr>
            </w:pPr>
            <w:r>
              <w:rPr>
                <w:rFonts w:cs="Times New Roman" w:ascii="Times New Roman" w:hAnsi="Times New Roman"/>
                <w:kern w:val="0"/>
                <w:sz w:val="20"/>
                <w:lang w:val="ru-RU" w:eastAsia="en-US" w:bidi="ar-SA"/>
              </w:rPr>
              <w:t>л) самовольно подключаться к газораспределительным сетям.</w:t>
            </w:r>
          </w:p>
          <w:p>
            <w:pPr>
              <w:pStyle w:val="ConsPlusNormal"/>
              <w:widowControl w:val="false"/>
              <w:spacing w:before="0" w:after="0"/>
              <w:jc w:val="center"/>
              <w:rPr>
                <w:rFonts w:ascii="Times New Roman" w:hAnsi="Times New Roman" w:cs="Times New Roman"/>
                <w:sz w:val="20"/>
                <w:lang w:eastAsia="en-US"/>
              </w:rPr>
            </w:pPr>
            <w:r>
              <w:rPr>
                <w:rFonts w:cs="Times New Roman" w:ascii="Times New Roman" w:hAnsi="Times New Roman"/>
                <w:kern w:val="0"/>
                <w:sz w:val="20"/>
                <w:lang w:val="ru-RU" w:eastAsia="en-US" w:bidi="ar-SA"/>
              </w:rPr>
              <w:t>Хозяйственная деятельность в охранных зонах газораспределительных сетей, при которой производится нарушение поверхности земельного участка и обработка почвы на глубину более 0,3 м, осуществляется на основании письменного разрешения эксплуатационной организации газораспределительных сетей.</w:t>
            </w:r>
          </w:p>
        </w:tc>
        <w:tc>
          <w:tcPr>
            <w:tcW w:w="2703" w:type="dxa"/>
            <w:tcBorders/>
            <w:vAlign w:val="center"/>
          </w:tcPr>
          <w:p>
            <w:pPr>
              <w:pStyle w:val="Style38"/>
              <w:widowControl/>
              <w:spacing w:before="0" w:after="0"/>
              <w:ind w:left="0" w:right="0" w:hanging="0"/>
              <w:jc w:val="center"/>
              <w:rPr>
                <w:sz w:val="20"/>
                <w:lang w:eastAsia="en-US"/>
              </w:rPr>
            </w:pPr>
            <w:r>
              <w:rPr>
                <w:kern w:val="0"/>
                <w:sz w:val="20"/>
                <w:lang w:val="ru-RU" w:eastAsia="en-US" w:bidi="ar-SA"/>
              </w:rPr>
              <w:t>Постановление Правительства Российской Федерации от 20.11.2000. №878</w:t>
            </w:r>
          </w:p>
        </w:tc>
      </w:tr>
    </w:tbl>
    <w:p>
      <w:pPr>
        <w:pStyle w:val="Normal"/>
        <w:widowControl w:val="false"/>
        <w:suppressAutoHyphens w:val="true"/>
        <w:spacing w:lineRule="auto" w:line="240" w:before="0" w:after="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2"/>
        <w:keepNext w:val="false"/>
        <w:keepLines w:val="false"/>
        <w:widowControl w:val="false"/>
        <w:numPr>
          <w:ilvl w:val="1"/>
          <w:numId w:val="42"/>
        </w:numPr>
        <w:suppressAutoHyphens w:val="true"/>
        <w:spacing w:lineRule="auto" w:line="240" w:before="0" w:after="160"/>
        <w:ind w:left="0" w:firstLine="709"/>
        <w:jc w:val="center"/>
        <w:rPr>
          <w:rFonts w:ascii="Times New Roman" w:hAnsi="Times New Roman" w:cs="Times New Roman"/>
          <w:b/>
          <w:color w:val="auto"/>
          <w:sz w:val="28"/>
          <w:szCs w:val="28"/>
          <w:lang w:eastAsia="ru-RU"/>
        </w:rPr>
      </w:pPr>
      <w:bookmarkStart w:id="165" w:name="_Toc147740063"/>
      <w:r>
        <w:rPr>
          <w:rFonts w:cs="Times New Roman" w:ascii="Times New Roman" w:hAnsi="Times New Roman"/>
          <w:b/>
          <w:color w:val="auto"/>
          <w:sz w:val="28"/>
          <w:szCs w:val="28"/>
          <w:lang w:eastAsia="ru-RU"/>
        </w:rPr>
        <w:t>Охранные зоны воздушных линий электропередач напряжением 6кВ и более</w:t>
      </w:r>
      <w:bookmarkEnd w:id="165"/>
    </w:p>
    <w:p>
      <w:pPr>
        <w:pStyle w:val="Normal"/>
        <w:spacing w:lineRule="auto" w:line="240" w:before="0" w:after="0"/>
        <w:ind w:firstLine="709"/>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 xml:space="preserve">Электроснабжение населенных пунктов поселения, производственных площадок осуществляется посредством линии электропередач ВЛ 35 кВ, ВЛ 35 кВ Макулово-Матюшино, ВЛ 10 кВ №5 Матюшино-Керамика, ВЛ 10 кВ №4 Матюшино-Я.Болгары, ВКЛ 10 кВ ПС Матюшино-Гребни, ВКЛ 10 кВ №7 Матюшино-Ключищи, ВКЛ 10 кВ Куралова-Шеланга. </w:t>
      </w:r>
    </w:p>
    <w:p>
      <w:pPr>
        <w:pStyle w:val="Normal"/>
        <w:spacing w:lineRule="auto" w:line="240" w:before="0" w:after="0"/>
        <w:ind w:firstLine="709"/>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 xml:space="preserve">Размер охранных зон линий электропередач определяется в соответствии с </w:t>
      </w:r>
      <w:r>
        <w:rPr>
          <w:rFonts w:eastAsia="Times New Roman" w:cs="Times New Roman" w:ascii="Times New Roman" w:hAnsi="Times New Roman"/>
          <w:sz w:val="28"/>
          <w:szCs w:val="28"/>
          <w:lang w:eastAsia="ru-RU"/>
        </w:rPr>
        <w:t>Порядком установления охранных зон объектов электросетевого хозяйства и особых условий использования участков, расположенных в границах таких зон, утвержденным Постановлением Правительства РФ от 24.02.2009 №160 (далее – Порядок установления охранных зон объектов электросетевого хозяйства)</w:t>
      </w:r>
      <w:r>
        <w:rPr>
          <w:rFonts w:cs="Times New Roman" w:ascii="Times New Roman" w:hAnsi="Times New Roman"/>
          <w:sz w:val="28"/>
          <w:szCs w:val="28"/>
          <w:lang w:eastAsia="ru-RU"/>
        </w:rPr>
        <w:t>, зависит от проектного номинального класса напряжения и устанавливается от крайних проводов:</w:t>
      </w:r>
    </w:p>
    <w:p>
      <w:pPr>
        <w:pStyle w:val="Normal"/>
        <w:spacing w:lineRule="auto" w:line="240" w:before="0" w:after="0"/>
        <w:ind w:firstLine="709"/>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 xml:space="preserve">- для ВЛ 1-20 кВ в размере 10 м (5 м - для линий с самонесущими или изолированными проводами, размещенных в границах населенных пунктов); </w:t>
      </w:r>
    </w:p>
    <w:p>
      <w:pPr>
        <w:pStyle w:val="Normal"/>
        <w:spacing w:lineRule="auto" w:line="240" w:before="0" w:after="0"/>
        <w:ind w:firstLine="709"/>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 xml:space="preserve">- для ВЛ 35 кВ в размере 15 м; </w:t>
      </w:r>
    </w:p>
    <w:p>
      <w:pPr>
        <w:pStyle w:val="Normal"/>
        <w:spacing w:lineRule="auto" w:line="240" w:before="0" w:after="0"/>
        <w:ind w:firstLine="709"/>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 для ВЛ 110 кВ в размере 20 м;</w:t>
      </w:r>
    </w:p>
    <w:p>
      <w:pPr>
        <w:pStyle w:val="Normal"/>
        <w:spacing w:lineRule="auto" w:line="240" w:before="0" w:after="0"/>
        <w:ind w:firstLine="709"/>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 для ВЛ 150, 220 кВ в размере 25 м;</w:t>
      </w:r>
    </w:p>
    <w:p>
      <w:pPr>
        <w:pStyle w:val="Normal"/>
        <w:spacing w:lineRule="auto" w:line="240" w:before="0" w:after="0"/>
        <w:ind w:firstLine="709"/>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 для ВЛ 300, 500, +/-400 кВ в размере 30 м;</w:t>
      </w:r>
    </w:p>
    <w:p>
      <w:pPr>
        <w:pStyle w:val="Normal"/>
        <w:spacing w:lineRule="auto" w:line="240" w:before="0" w:after="0"/>
        <w:ind w:firstLine="709"/>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 для ВЛ 750, +/-750 в размере 40 м;</w:t>
      </w:r>
    </w:p>
    <w:p>
      <w:pPr>
        <w:pStyle w:val="Normal"/>
        <w:spacing w:lineRule="auto" w:line="240" w:before="0" w:after="0"/>
        <w:ind w:firstLine="709"/>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 для ВЛ 1150 кВ в размере 55 м;</w:t>
      </w:r>
    </w:p>
    <w:p>
      <w:pPr>
        <w:pStyle w:val="Normal"/>
        <w:spacing w:lineRule="auto" w:line="240" w:before="0" w:after="0"/>
        <w:ind w:firstLine="709"/>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 для подземных кабельных линий в размере 1 м,</w:t>
      </w:r>
    </w:p>
    <w:p>
      <w:pPr>
        <w:pStyle w:val="Normal"/>
        <w:spacing w:lineRule="auto" w:line="240" w:before="0" w:after="0"/>
        <w:ind w:firstLine="709"/>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а также вокруг подстанций на расстоянии применительно к высшему классу напряжения подстанций.</w:t>
      </w:r>
    </w:p>
    <w:p>
      <w:pPr>
        <w:pStyle w:val="Normal"/>
        <w:spacing w:lineRule="auto" w:line="240" w:before="0" w:after="0"/>
        <w:ind w:firstLine="709"/>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Информация по охранным зонам и регламенты использования охранных зон воздушных линии электропередач представлены в таблицах 6.5.1 и 6.5.2.</w:t>
      </w:r>
    </w:p>
    <w:p>
      <w:pPr>
        <w:pStyle w:val="Normal"/>
        <w:spacing w:lineRule="auto" w:line="240" w:before="0" w:after="0"/>
        <w:ind w:firstLine="709"/>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r>
    </w:p>
    <w:p>
      <w:pPr>
        <w:pStyle w:val="Normal"/>
        <w:spacing w:lineRule="auto" w:line="240" w:before="0" w:after="0"/>
        <w:ind w:firstLine="709"/>
        <w:contextualSpacing/>
        <w:jc w:val="right"/>
        <w:rPr>
          <w:rFonts w:ascii="Times New Roman" w:hAnsi="Times New Roman" w:cs="Times New Roman"/>
          <w:sz w:val="28"/>
          <w:szCs w:val="28"/>
          <w:lang w:eastAsia="ru-RU"/>
        </w:rPr>
      </w:pPr>
      <w:r>
        <w:rPr>
          <w:rFonts w:cs="Times New Roman" w:ascii="Times New Roman" w:hAnsi="Times New Roman"/>
          <w:sz w:val="28"/>
          <w:szCs w:val="28"/>
          <w:lang w:eastAsia="ru-RU"/>
        </w:rPr>
        <w:t>Таблица 6.5.1</w:t>
      </w:r>
    </w:p>
    <w:p>
      <w:pPr>
        <w:pStyle w:val="Normal"/>
        <w:spacing w:lineRule="auto" w:line="240" w:before="0" w:after="0"/>
        <w:contextualSpacing/>
        <w:jc w:val="center"/>
        <w:rPr>
          <w:rFonts w:ascii="Times New Roman" w:hAnsi="Times New Roman" w:cs="Times New Roman"/>
          <w:sz w:val="28"/>
          <w:szCs w:val="28"/>
          <w:lang w:eastAsia="ru-RU"/>
        </w:rPr>
      </w:pPr>
      <w:r>
        <w:rPr>
          <w:rFonts w:cs="Times New Roman" w:ascii="Times New Roman" w:hAnsi="Times New Roman"/>
          <w:spacing w:val="2"/>
          <w:sz w:val="28"/>
          <w:szCs w:val="28"/>
          <w:shd w:fill="FFFFFF" w:val="clear"/>
        </w:rPr>
        <w:t>Охранные зоны воздушных линий электропередач</w:t>
      </w:r>
    </w:p>
    <w:tbl>
      <w:tblPr>
        <w:tblStyle w:val="af0"/>
        <w:tblW w:w="5000" w:type="pct"/>
        <w:jc w:val="center"/>
        <w:tblInd w:w="0" w:type="dxa"/>
        <w:tblLayout w:type="fixed"/>
        <w:tblCellMar>
          <w:top w:w="0" w:type="dxa"/>
          <w:left w:w="108" w:type="dxa"/>
          <w:bottom w:w="0" w:type="dxa"/>
          <w:right w:w="108" w:type="dxa"/>
        </w:tblCellMar>
        <w:tblLook w:noVBand="1" w:val="04a0" w:noHBand="0" w:lastColumn="0" w:firstColumn="1" w:lastRow="0" w:firstRow="1"/>
      </w:tblPr>
      <w:tblGrid>
        <w:gridCol w:w="2281"/>
        <w:gridCol w:w="1354"/>
        <w:gridCol w:w="1847"/>
        <w:gridCol w:w="2000"/>
        <w:gridCol w:w="2439"/>
      </w:tblGrid>
      <w:tr>
        <w:trPr/>
        <w:tc>
          <w:tcPr>
            <w:tcW w:w="2281" w:type="dxa"/>
            <w:tcBorders/>
            <w:vAlign w:val="center"/>
          </w:tcPr>
          <w:p>
            <w:pPr>
              <w:pStyle w:val="Style38"/>
              <w:widowControl/>
              <w:spacing w:before="0" w:after="0"/>
              <w:ind w:left="0" w:right="0" w:hanging="0"/>
              <w:contextualSpacing/>
              <w:jc w:val="center"/>
              <w:rPr>
                <w:sz w:val="24"/>
                <w:szCs w:val="24"/>
              </w:rPr>
            </w:pPr>
            <w:r>
              <w:rPr>
                <w:kern w:val="0"/>
                <w:sz w:val="24"/>
                <w:szCs w:val="24"/>
                <w:lang w:val="ru-RU" w:bidi="ar-SA"/>
              </w:rPr>
              <w:t>Наименование объекта</w:t>
            </w:r>
          </w:p>
        </w:tc>
        <w:tc>
          <w:tcPr>
            <w:tcW w:w="1354" w:type="dxa"/>
            <w:tcBorders/>
            <w:vAlign w:val="center"/>
          </w:tcPr>
          <w:p>
            <w:pPr>
              <w:pStyle w:val="Style38"/>
              <w:widowControl/>
              <w:spacing w:before="0" w:after="0"/>
              <w:ind w:left="0" w:right="0" w:hanging="0"/>
              <w:contextualSpacing/>
              <w:jc w:val="center"/>
              <w:rPr>
                <w:sz w:val="24"/>
                <w:szCs w:val="24"/>
              </w:rPr>
            </w:pPr>
            <w:r>
              <w:rPr>
                <w:kern w:val="0"/>
                <w:sz w:val="24"/>
                <w:szCs w:val="24"/>
                <w:lang w:val="ru-RU" w:bidi="ar-SA"/>
              </w:rPr>
              <w:t>Размер охранной зоны, м</w:t>
            </w:r>
          </w:p>
        </w:tc>
        <w:tc>
          <w:tcPr>
            <w:tcW w:w="1847" w:type="dxa"/>
            <w:tcBorders/>
            <w:vAlign w:val="center"/>
          </w:tcPr>
          <w:p>
            <w:pPr>
              <w:pStyle w:val="Style38"/>
              <w:widowControl/>
              <w:spacing w:before="0" w:after="0"/>
              <w:ind w:left="0" w:right="0" w:hanging="0"/>
              <w:contextualSpacing/>
              <w:jc w:val="center"/>
              <w:rPr>
                <w:sz w:val="24"/>
                <w:szCs w:val="24"/>
              </w:rPr>
            </w:pPr>
            <w:r>
              <w:rPr>
                <w:kern w:val="0"/>
                <w:sz w:val="24"/>
                <w:szCs w:val="24"/>
                <w:lang w:val="ru-RU" w:bidi="ar-SA"/>
              </w:rPr>
              <w:t>Сведения в ЕГРН</w:t>
            </w:r>
          </w:p>
        </w:tc>
        <w:tc>
          <w:tcPr>
            <w:tcW w:w="2000" w:type="dxa"/>
            <w:tcBorders/>
          </w:tcPr>
          <w:p>
            <w:pPr>
              <w:pStyle w:val="Style38"/>
              <w:widowControl/>
              <w:spacing w:before="0" w:after="0"/>
              <w:ind w:left="0" w:right="0" w:hanging="0"/>
              <w:contextualSpacing/>
              <w:jc w:val="center"/>
              <w:rPr>
                <w:sz w:val="24"/>
                <w:szCs w:val="24"/>
              </w:rPr>
            </w:pPr>
            <w:r>
              <w:rPr>
                <w:kern w:val="0"/>
                <w:sz w:val="24"/>
                <w:szCs w:val="24"/>
                <w:lang w:val="ru-RU" w:bidi="ar-SA"/>
              </w:rPr>
              <w:t>Обоснование</w:t>
            </w:r>
          </w:p>
          <w:p>
            <w:pPr>
              <w:pStyle w:val="Style38"/>
              <w:widowControl/>
              <w:spacing w:before="0" w:after="0"/>
              <w:ind w:left="0" w:right="0" w:hanging="0"/>
              <w:contextualSpacing/>
              <w:jc w:val="center"/>
              <w:rPr>
                <w:sz w:val="24"/>
                <w:szCs w:val="24"/>
              </w:rPr>
            </w:pPr>
            <w:r>
              <w:rPr>
                <w:kern w:val="0"/>
                <w:sz w:val="24"/>
                <w:szCs w:val="24"/>
                <w:lang w:val="ru-RU" w:bidi="ar-SA"/>
              </w:rPr>
              <w:t>(нормативные документы)</w:t>
            </w:r>
          </w:p>
        </w:tc>
        <w:tc>
          <w:tcPr>
            <w:tcW w:w="2439" w:type="dxa"/>
            <w:tcBorders/>
          </w:tcPr>
          <w:p>
            <w:pPr>
              <w:pStyle w:val="Style38"/>
              <w:widowControl/>
              <w:spacing w:before="0" w:after="0"/>
              <w:ind w:left="0" w:right="0" w:hanging="0"/>
              <w:contextualSpacing/>
              <w:jc w:val="center"/>
              <w:rPr>
                <w:sz w:val="24"/>
                <w:szCs w:val="24"/>
              </w:rPr>
            </w:pPr>
            <w:r>
              <w:rPr>
                <w:kern w:val="0"/>
                <w:sz w:val="24"/>
                <w:szCs w:val="24"/>
                <w:lang w:val="ru-RU" w:bidi="ar-SA"/>
              </w:rPr>
              <w:t>Фактическое соблюдение режима использования зоны</w:t>
            </w:r>
          </w:p>
        </w:tc>
      </w:tr>
      <w:tr>
        <w:trPr>
          <w:trHeight w:val="495" w:hRule="atLeast"/>
        </w:trPr>
        <w:tc>
          <w:tcPr>
            <w:tcW w:w="2281" w:type="dxa"/>
            <w:tcBorders/>
            <w:vAlign w:val="center"/>
          </w:tcPr>
          <w:p>
            <w:pPr>
              <w:pStyle w:val="Style38"/>
              <w:widowControl/>
              <w:spacing w:before="0" w:after="0"/>
              <w:ind w:left="0" w:right="0" w:hanging="0"/>
              <w:contextualSpacing/>
              <w:jc w:val="center"/>
              <w:rPr>
                <w:sz w:val="24"/>
                <w:szCs w:val="24"/>
                <w:highlight w:val="yellow"/>
              </w:rPr>
            </w:pPr>
            <w:r>
              <w:rPr>
                <w:kern w:val="0"/>
                <w:sz w:val="24"/>
                <w:szCs w:val="24"/>
                <w:lang w:val="ru-RU" w:bidi="ar-SA"/>
              </w:rPr>
              <w:t>ВЛ 35кВ Макулово-Матюшино</w:t>
            </w:r>
          </w:p>
        </w:tc>
        <w:tc>
          <w:tcPr>
            <w:tcW w:w="1354" w:type="dxa"/>
            <w:tcBorders/>
            <w:vAlign w:val="center"/>
          </w:tcPr>
          <w:p>
            <w:pPr>
              <w:pStyle w:val="Style38"/>
              <w:widowControl/>
              <w:spacing w:before="0" w:after="0"/>
              <w:ind w:left="0" w:right="0" w:hanging="0"/>
              <w:contextualSpacing/>
              <w:jc w:val="center"/>
              <w:rPr>
                <w:sz w:val="24"/>
                <w:szCs w:val="24"/>
              </w:rPr>
            </w:pPr>
            <w:r>
              <w:rPr>
                <w:kern w:val="0"/>
                <w:sz w:val="24"/>
                <w:szCs w:val="24"/>
                <w:lang w:val="ru-RU" w:bidi="ar-SA"/>
              </w:rPr>
              <w:t>15</w:t>
            </w:r>
          </w:p>
        </w:tc>
        <w:tc>
          <w:tcPr>
            <w:tcW w:w="1847" w:type="dxa"/>
            <w:tcBorders/>
            <w:vAlign w:val="center"/>
          </w:tcPr>
          <w:p>
            <w:pPr>
              <w:pStyle w:val="Style38"/>
              <w:widowControl/>
              <w:spacing w:before="0" w:after="0"/>
              <w:ind w:left="0" w:right="0" w:hanging="0"/>
              <w:contextualSpacing/>
              <w:jc w:val="center"/>
              <w:rPr>
                <w:sz w:val="24"/>
                <w:szCs w:val="24"/>
                <w:highlight w:val="yellow"/>
              </w:rPr>
            </w:pPr>
            <w:r>
              <w:rPr>
                <w:kern w:val="0"/>
                <w:sz w:val="24"/>
                <w:szCs w:val="24"/>
                <w:lang w:val="ru-RU" w:bidi="ar-SA"/>
              </w:rPr>
              <w:t>16:15-6.396</w:t>
            </w:r>
          </w:p>
        </w:tc>
        <w:tc>
          <w:tcPr>
            <w:tcW w:w="2000" w:type="dxa"/>
            <w:vMerge w:val="restart"/>
            <w:tcBorders/>
            <w:vAlign w:val="center"/>
          </w:tcPr>
          <w:p>
            <w:pPr>
              <w:pStyle w:val="Style38"/>
              <w:widowControl/>
              <w:spacing w:before="0" w:after="0"/>
              <w:ind w:left="0" w:right="0" w:hanging="0"/>
              <w:contextualSpacing/>
              <w:jc w:val="center"/>
              <w:rPr>
                <w:sz w:val="24"/>
                <w:szCs w:val="24"/>
              </w:rPr>
            </w:pPr>
            <w:r>
              <w:rPr>
                <w:kern w:val="0"/>
                <w:sz w:val="24"/>
                <w:szCs w:val="24"/>
                <w:lang w:val="ru-RU" w:bidi="ar-SA"/>
              </w:rPr>
              <w:t>Порядок установления охранных зон объектов электросетевого хозяйства, утвержденный Постановлением Правительства РФ от 24.02.2009 № 160</w:t>
            </w:r>
          </w:p>
        </w:tc>
        <w:tc>
          <w:tcPr>
            <w:tcW w:w="2439" w:type="dxa"/>
            <w:tcBorders/>
            <w:vAlign w:val="center"/>
          </w:tcPr>
          <w:p>
            <w:pPr>
              <w:pStyle w:val="Style38"/>
              <w:widowControl/>
              <w:spacing w:before="0" w:after="0"/>
              <w:ind w:left="0" w:right="0" w:hanging="0"/>
              <w:contextualSpacing/>
              <w:jc w:val="center"/>
              <w:rPr>
                <w:sz w:val="24"/>
                <w:szCs w:val="24"/>
              </w:rPr>
            </w:pPr>
            <w:r>
              <w:rPr>
                <w:kern w:val="0"/>
                <w:sz w:val="24"/>
                <w:szCs w:val="24"/>
                <w:lang w:val="ru-RU" w:bidi="ar-SA"/>
              </w:rPr>
              <w:t>Соблюдается</w:t>
            </w:r>
          </w:p>
        </w:tc>
      </w:tr>
      <w:tr>
        <w:trPr>
          <w:trHeight w:val="495" w:hRule="atLeast"/>
        </w:trPr>
        <w:tc>
          <w:tcPr>
            <w:tcW w:w="2281" w:type="dxa"/>
            <w:tcBorders/>
            <w:vAlign w:val="center"/>
          </w:tcPr>
          <w:p>
            <w:pPr>
              <w:pStyle w:val="Style38"/>
              <w:widowControl/>
              <w:spacing w:before="0" w:after="0"/>
              <w:ind w:left="0" w:right="0" w:hanging="0"/>
              <w:contextualSpacing/>
              <w:jc w:val="center"/>
              <w:rPr>
                <w:sz w:val="24"/>
                <w:szCs w:val="24"/>
              </w:rPr>
            </w:pPr>
            <w:r>
              <w:rPr>
                <w:kern w:val="0"/>
                <w:sz w:val="24"/>
                <w:szCs w:val="24"/>
                <w:lang w:val="ru-RU" w:bidi="ar-SA"/>
              </w:rPr>
              <w:t>ПС 35 кВ Матюшино</w:t>
            </w:r>
          </w:p>
        </w:tc>
        <w:tc>
          <w:tcPr>
            <w:tcW w:w="1354" w:type="dxa"/>
            <w:tcBorders/>
            <w:vAlign w:val="center"/>
          </w:tcPr>
          <w:p>
            <w:pPr>
              <w:pStyle w:val="Style38"/>
              <w:widowControl/>
              <w:spacing w:before="0" w:after="0"/>
              <w:ind w:left="0" w:right="0" w:hanging="0"/>
              <w:contextualSpacing/>
              <w:jc w:val="center"/>
              <w:rPr>
                <w:sz w:val="24"/>
                <w:szCs w:val="24"/>
              </w:rPr>
            </w:pPr>
            <w:r>
              <w:rPr>
                <w:kern w:val="0"/>
                <w:sz w:val="24"/>
                <w:szCs w:val="24"/>
                <w:lang w:val="ru-RU" w:bidi="ar-SA"/>
              </w:rPr>
              <w:t>15</w:t>
            </w:r>
          </w:p>
        </w:tc>
        <w:tc>
          <w:tcPr>
            <w:tcW w:w="1847" w:type="dxa"/>
            <w:tcBorders/>
            <w:vAlign w:val="center"/>
          </w:tcPr>
          <w:p>
            <w:pPr>
              <w:pStyle w:val="Style38"/>
              <w:widowControl/>
              <w:spacing w:before="0" w:after="0"/>
              <w:ind w:left="0" w:right="0" w:hanging="0"/>
              <w:contextualSpacing/>
              <w:jc w:val="center"/>
              <w:rPr>
                <w:sz w:val="24"/>
                <w:szCs w:val="24"/>
                <w:highlight w:val="yellow"/>
              </w:rPr>
            </w:pPr>
            <w:r>
              <w:rPr>
                <w:kern w:val="0"/>
                <w:sz w:val="24"/>
                <w:szCs w:val="24"/>
                <w:lang w:val="ru-RU" w:bidi="ar-SA"/>
              </w:rPr>
              <w:t>16:15-6.1165</w:t>
            </w:r>
          </w:p>
        </w:tc>
        <w:tc>
          <w:tcPr>
            <w:tcW w:w="2000" w:type="dxa"/>
            <w:vMerge w:val="continue"/>
            <w:tcBorders/>
            <w:vAlign w:val="center"/>
          </w:tcPr>
          <w:p>
            <w:pPr>
              <w:pStyle w:val="Style38"/>
              <w:widowControl/>
              <w:spacing w:before="0" w:after="0"/>
              <w:ind w:left="0" w:right="0" w:hanging="0"/>
              <w:contextualSpacing/>
              <w:jc w:val="center"/>
              <w:rPr>
                <w:sz w:val="24"/>
                <w:szCs w:val="24"/>
              </w:rPr>
            </w:pPr>
            <w:r>
              <w:rPr>
                <w:kern w:val="0"/>
                <w:sz w:val="24"/>
                <w:szCs w:val="24"/>
                <w:lang w:val="ru-RU" w:bidi="ar-SA"/>
              </w:rPr>
            </w:r>
          </w:p>
        </w:tc>
        <w:tc>
          <w:tcPr>
            <w:tcW w:w="2439" w:type="dxa"/>
            <w:tcBorders/>
            <w:vAlign w:val="center"/>
          </w:tcPr>
          <w:p>
            <w:pPr>
              <w:pStyle w:val="Style38"/>
              <w:widowControl/>
              <w:spacing w:before="0" w:after="0"/>
              <w:ind w:left="0" w:right="0" w:hanging="0"/>
              <w:contextualSpacing/>
              <w:jc w:val="center"/>
              <w:rPr>
                <w:sz w:val="24"/>
                <w:szCs w:val="24"/>
              </w:rPr>
            </w:pPr>
            <w:r>
              <w:rPr>
                <w:kern w:val="0"/>
                <w:sz w:val="24"/>
                <w:szCs w:val="24"/>
                <w:lang w:val="ru-RU" w:bidi="ar-SA"/>
              </w:rPr>
              <w:t>Соблюдается</w:t>
            </w:r>
          </w:p>
        </w:tc>
      </w:tr>
      <w:tr>
        <w:trPr>
          <w:trHeight w:val="495" w:hRule="atLeast"/>
        </w:trPr>
        <w:tc>
          <w:tcPr>
            <w:tcW w:w="2281" w:type="dxa"/>
            <w:tcBorders/>
            <w:vAlign w:val="center"/>
          </w:tcPr>
          <w:p>
            <w:pPr>
              <w:pStyle w:val="Style38"/>
              <w:widowControl/>
              <w:spacing w:before="0" w:after="0"/>
              <w:ind w:left="0" w:right="0" w:hanging="0"/>
              <w:contextualSpacing/>
              <w:jc w:val="center"/>
              <w:rPr>
                <w:sz w:val="24"/>
                <w:szCs w:val="24"/>
              </w:rPr>
            </w:pPr>
            <w:r>
              <w:rPr>
                <w:kern w:val="0"/>
                <w:sz w:val="24"/>
                <w:szCs w:val="24"/>
                <w:lang w:val="ru-RU" w:bidi="ar-SA"/>
              </w:rPr>
              <w:t>ВЛ 35 кВ Матюшино-Ключищи</w:t>
            </w:r>
          </w:p>
        </w:tc>
        <w:tc>
          <w:tcPr>
            <w:tcW w:w="1354" w:type="dxa"/>
            <w:tcBorders/>
            <w:vAlign w:val="center"/>
          </w:tcPr>
          <w:p>
            <w:pPr>
              <w:pStyle w:val="Style38"/>
              <w:widowControl/>
              <w:spacing w:before="0" w:after="0"/>
              <w:ind w:left="0" w:right="0" w:hanging="0"/>
              <w:contextualSpacing/>
              <w:jc w:val="center"/>
              <w:rPr>
                <w:sz w:val="24"/>
                <w:szCs w:val="24"/>
              </w:rPr>
            </w:pPr>
            <w:r>
              <w:rPr>
                <w:kern w:val="0"/>
                <w:sz w:val="24"/>
                <w:szCs w:val="24"/>
                <w:lang w:val="ru-RU" w:bidi="ar-SA"/>
              </w:rPr>
              <w:t>15</w:t>
            </w:r>
          </w:p>
        </w:tc>
        <w:tc>
          <w:tcPr>
            <w:tcW w:w="1847" w:type="dxa"/>
            <w:tcBorders/>
            <w:vAlign w:val="center"/>
          </w:tcPr>
          <w:p>
            <w:pPr>
              <w:pStyle w:val="Style38"/>
              <w:widowControl/>
              <w:spacing w:before="0" w:after="0"/>
              <w:ind w:left="0" w:right="0" w:hanging="0"/>
              <w:contextualSpacing/>
              <w:jc w:val="center"/>
              <w:rPr>
                <w:sz w:val="24"/>
                <w:szCs w:val="24"/>
                <w:highlight w:val="yellow"/>
              </w:rPr>
            </w:pPr>
            <w:r>
              <w:rPr>
                <w:kern w:val="0"/>
                <w:sz w:val="24"/>
                <w:szCs w:val="24"/>
                <w:lang w:val="ru-RU" w:bidi="ar-SA"/>
              </w:rPr>
              <w:t>16:15-6.323</w:t>
            </w:r>
          </w:p>
        </w:tc>
        <w:tc>
          <w:tcPr>
            <w:tcW w:w="2000" w:type="dxa"/>
            <w:vMerge w:val="continue"/>
            <w:tcBorders/>
            <w:vAlign w:val="center"/>
          </w:tcPr>
          <w:p>
            <w:pPr>
              <w:pStyle w:val="Style38"/>
              <w:widowControl/>
              <w:spacing w:before="0" w:after="0"/>
              <w:ind w:left="0" w:right="0" w:hanging="0"/>
              <w:contextualSpacing/>
              <w:jc w:val="center"/>
              <w:rPr>
                <w:sz w:val="24"/>
                <w:szCs w:val="24"/>
              </w:rPr>
            </w:pPr>
            <w:r>
              <w:rPr>
                <w:kern w:val="0"/>
                <w:sz w:val="24"/>
                <w:szCs w:val="24"/>
                <w:lang w:val="ru-RU" w:bidi="ar-SA"/>
              </w:rPr>
            </w:r>
          </w:p>
        </w:tc>
        <w:tc>
          <w:tcPr>
            <w:tcW w:w="2439" w:type="dxa"/>
            <w:tcBorders/>
            <w:vAlign w:val="center"/>
          </w:tcPr>
          <w:p>
            <w:pPr>
              <w:pStyle w:val="Style38"/>
              <w:widowControl/>
              <w:spacing w:before="0" w:after="0"/>
              <w:ind w:left="0" w:right="0" w:hanging="0"/>
              <w:contextualSpacing/>
              <w:jc w:val="center"/>
              <w:rPr>
                <w:sz w:val="24"/>
                <w:szCs w:val="24"/>
              </w:rPr>
            </w:pPr>
            <w:r>
              <w:rPr>
                <w:kern w:val="0"/>
                <w:sz w:val="24"/>
                <w:szCs w:val="24"/>
                <w:lang w:val="ru-RU" w:bidi="ar-SA"/>
              </w:rPr>
              <w:t>Соблюдается</w:t>
            </w:r>
          </w:p>
        </w:tc>
      </w:tr>
      <w:tr>
        <w:trPr>
          <w:trHeight w:val="186" w:hRule="atLeast"/>
        </w:trPr>
        <w:tc>
          <w:tcPr>
            <w:tcW w:w="2281" w:type="dxa"/>
            <w:tcBorders/>
            <w:vAlign w:val="center"/>
          </w:tcPr>
          <w:p>
            <w:pPr>
              <w:pStyle w:val="Style38"/>
              <w:widowControl/>
              <w:spacing w:before="0" w:after="0"/>
              <w:ind w:left="0" w:right="0" w:hanging="0"/>
              <w:contextualSpacing/>
              <w:jc w:val="center"/>
              <w:rPr>
                <w:sz w:val="24"/>
                <w:szCs w:val="24"/>
              </w:rPr>
            </w:pPr>
            <w:r>
              <w:rPr>
                <w:kern w:val="0"/>
                <w:sz w:val="24"/>
                <w:szCs w:val="24"/>
                <w:lang w:val="ru-RU" w:bidi="ar-SA"/>
              </w:rPr>
              <w:t>КЛ 10 кВ от ячейки №8 КРУН 10 кВ ПС Матюшино</w:t>
            </w:r>
          </w:p>
        </w:tc>
        <w:tc>
          <w:tcPr>
            <w:tcW w:w="1354" w:type="dxa"/>
            <w:tcBorders/>
            <w:vAlign w:val="center"/>
          </w:tcPr>
          <w:p>
            <w:pPr>
              <w:pStyle w:val="Style38"/>
              <w:widowControl/>
              <w:spacing w:before="0" w:after="0"/>
              <w:ind w:left="0" w:right="0" w:hanging="0"/>
              <w:contextualSpacing/>
              <w:jc w:val="center"/>
              <w:rPr>
                <w:sz w:val="24"/>
                <w:szCs w:val="24"/>
              </w:rPr>
            </w:pPr>
            <w:r>
              <w:rPr>
                <w:kern w:val="0"/>
                <w:sz w:val="24"/>
                <w:szCs w:val="24"/>
                <w:lang w:val="ru-RU" w:bidi="ar-SA"/>
              </w:rPr>
              <w:t>10</w:t>
            </w:r>
          </w:p>
        </w:tc>
        <w:tc>
          <w:tcPr>
            <w:tcW w:w="1847" w:type="dxa"/>
            <w:tcBorders/>
            <w:vAlign w:val="center"/>
          </w:tcPr>
          <w:p>
            <w:pPr>
              <w:pStyle w:val="Style38"/>
              <w:widowControl/>
              <w:spacing w:before="0" w:after="0"/>
              <w:ind w:left="0" w:right="0" w:hanging="0"/>
              <w:contextualSpacing/>
              <w:jc w:val="center"/>
              <w:rPr>
                <w:sz w:val="24"/>
                <w:szCs w:val="24"/>
                <w:highlight w:val="yellow"/>
              </w:rPr>
            </w:pPr>
            <w:r>
              <w:rPr>
                <w:kern w:val="0"/>
                <w:sz w:val="24"/>
                <w:szCs w:val="24"/>
                <w:lang w:val="ru-RU" w:bidi="ar-SA"/>
              </w:rPr>
              <w:t>16:15-6.1532</w:t>
            </w:r>
          </w:p>
        </w:tc>
        <w:tc>
          <w:tcPr>
            <w:tcW w:w="2000" w:type="dxa"/>
            <w:vMerge w:val="continue"/>
            <w:tcBorders/>
            <w:vAlign w:val="center"/>
          </w:tcPr>
          <w:p>
            <w:pPr>
              <w:pStyle w:val="Style38"/>
              <w:widowControl/>
              <w:spacing w:before="0" w:after="0"/>
              <w:ind w:left="0" w:right="0" w:hanging="0"/>
              <w:contextualSpacing/>
              <w:jc w:val="center"/>
              <w:rPr>
                <w:sz w:val="24"/>
                <w:szCs w:val="24"/>
              </w:rPr>
            </w:pPr>
            <w:r>
              <w:rPr>
                <w:kern w:val="0"/>
                <w:sz w:val="24"/>
                <w:szCs w:val="24"/>
                <w:lang w:val="ru-RU" w:bidi="ar-SA"/>
              </w:rPr>
            </w:r>
          </w:p>
        </w:tc>
        <w:tc>
          <w:tcPr>
            <w:tcW w:w="2439" w:type="dxa"/>
            <w:tcBorders/>
            <w:vAlign w:val="center"/>
          </w:tcPr>
          <w:p>
            <w:pPr>
              <w:pStyle w:val="Style38"/>
              <w:widowControl/>
              <w:spacing w:before="0" w:after="0"/>
              <w:ind w:left="0" w:right="0" w:hanging="0"/>
              <w:contextualSpacing/>
              <w:jc w:val="center"/>
              <w:rPr>
                <w:sz w:val="24"/>
                <w:szCs w:val="24"/>
              </w:rPr>
            </w:pPr>
            <w:r>
              <w:rPr>
                <w:kern w:val="0"/>
                <w:sz w:val="24"/>
                <w:szCs w:val="24"/>
                <w:lang w:val="ru-RU" w:bidi="ar-SA"/>
              </w:rPr>
              <w:t>Соблюдается</w:t>
            </w:r>
          </w:p>
        </w:tc>
      </w:tr>
      <w:tr>
        <w:trPr>
          <w:trHeight w:val="852" w:hRule="atLeast"/>
        </w:trPr>
        <w:tc>
          <w:tcPr>
            <w:tcW w:w="2281" w:type="dxa"/>
            <w:tcBorders/>
            <w:vAlign w:val="center"/>
          </w:tcPr>
          <w:p>
            <w:pPr>
              <w:pStyle w:val="Style38"/>
              <w:widowControl/>
              <w:spacing w:before="0" w:after="0"/>
              <w:ind w:left="0" w:right="0" w:hanging="0"/>
              <w:contextualSpacing/>
              <w:jc w:val="center"/>
              <w:rPr>
                <w:sz w:val="24"/>
                <w:szCs w:val="24"/>
                <w:highlight w:val="yellow"/>
              </w:rPr>
            </w:pPr>
            <w:r>
              <w:rPr>
                <w:kern w:val="0"/>
                <w:sz w:val="24"/>
                <w:szCs w:val="24"/>
                <w:lang w:val="ru-RU" w:bidi="ar-SA"/>
              </w:rPr>
              <w:t>ВЛ 10 кВ ПС Матюшино</w:t>
            </w:r>
          </w:p>
        </w:tc>
        <w:tc>
          <w:tcPr>
            <w:tcW w:w="1354" w:type="dxa"/>
            <w:tcBorders/>
            <w:vAlign w:val="center"/>
          </w:tcPr>
          <w:p>
            <w:pPr>
              <w:pStyle w:val="Style38"/>
              <w:widowControl/>
              <w:spacing w:before="0" w:after="0"/>
              <w:ind w:left="0" w:right="0" w:hanging="0"/>
              <w:contextualSpacing/>
              <w:jc w:val="center"/>
              <w:rPr>
                <w:sz w:val="24"/>
                <w:szCs w:val="24"/>
              </w:rPr>
            </w:pPr>
            <w:r>
              <w:rPr>
                <w:kern w:val="0"/>
                <w:sz w:val="24"/>
                <w:szCs w:val="24"/>
                <w:lang w:val="ru-RU" w:bidi="ar-SA"/>
              </w:rPr>
              <w:t>10</w:t>
            </w:r>
          </w:p>
        </w:tc>
        <w:tc>
          <w:tcPr>
            <w:tcW w:w="1847" w:type="dxa"/>
            <w:tcBorders/>
            <w:vAlign w:val="center"/>
          </w:tcPr>
          <w:p>
            <w:pPr>
              <w:pStyle w:val="Style38"/>
              <w:widowControl/>
              <w:spacing w:before="0" w:after="0"/>
              <w:ind w:left="0" w:right="0" w:hanging="0"/>
              <w:contextualSpacing/>
              <w:jc w:val="center"/>
              <w:rPr>
                <w:sz w:val="24"/>
                <w:szCs w:val="24"/>
              </w:rPr>
            </w:pPr>
            <w:r>
              <w:rPr>
                <w:kern w:val="0"/>
                <w:sz w:val="24"/>
                <w:szCs w:val="24"/>
                <w:lang w:val="ru-RU" w:bidi="ar-SA"/>
              </w:rPr>
              <w:t>16:15-6.182</w:t>
            </w:r>
          </w:p>
          <w:p>
            <w:pPr>
              <w:pStyle w:val="Style38"/>
              <w:widowControl/>
              <w:spacing w:before="0" w:after="0"/>
              <w:ind w:left="0" w:right="0" w:hanging="0"/>
              <w:contextualSpacing/>
              <w:jc w:val="center"/>
              <w:rPr>
                <w:sz w:val="24"/>
                <w:szCs w:val="24"/>
              </w:rPr>
            </w:pPr>
            <w:r>
              <w:rPr>
                <w:kern w:val="0"/>
                <w:sz w:val="24"/>
                <w:szCs w:val="24"/>
                <w:lang w:val="ru-RU" w:bidi="ar-SA"/>
              </w:rPr>
              <w:t>16:15-6.575</w:t>
            </w:r>
          </w:p>
          <w:p>
            <w:pPr>
              <w:pStyle w:val="Style38"/>
              <w:widowControl/>
              <w:spacing w:before="0" w:after="0"/>
              <w:ind w:left="0" w:right="0" w:hanging="0"/>
              <w:contextualSpacing/>
              <w:jc w:val="center"/>
              <w:rPr>
                <w:sz w:val="24"/>
                <w:szCs w:val="24"/>
                <w:highlight w:val="yellow"/>
              </w:rPr>
            </w:pPr>
            <w:r>
              <w:rPr>
                <w:kern w:val="0"/>
                <w:sz w:val="24"/>
                <w:szCs w:val="24"/>
                <w:lang w:val="ru-RU" w:bidi="ar-SA"/>
              </w:rPr>
              <w:t>16:15-6.976</w:t>
            </w:r>
          </w:p>
        </w:tc>
        <w:tc>
          <w:tcPr>
            <w:tcW w:w="2000" w:type="dxa"/>
            <w:vMerge w:val="continue"/>
            <w:tcBorders/>
            <w:vAlign w:val="center"/>
          </w:tcPr>
          <w:p>
            <w:pPr>
              <w:pStyle w:val="Style38"/>
              <w:widowControl/>
              <w:spacing w:before="0" w:after="0"/>
              <w:ind w:left="0" w:right="0" w:hanging="0"/>
              <w:contextualSpacing/>
              <w:jc w:val="center"/>
              <w:rPr>
                <w:sz w:val="24"/>
                <w:szCs w:val="24"/>
              </w:rPr>
            </w:pPr>
            <w:r>
              <w:rPr>
                <w:kern w:val="0"/>
                <w:sz w:val="24"/>
                <w:szCs w:val="24"/>
                <w:lang w:val="ru-RU" w:bidi="ar-SA"/>
              </w:rPr>
            </w:r>
          </w:p>
        </w:tc>
        <w:tc>
          <w:tcPr>
            <w:tcW w:w="2439" w:type="dxa"/>
            <w:tcBorders/>
            <w:vAlign w:val="center"/>
          </w:tcPr>
          <w:p>
            <w:pPr>
              <w:pStyle w:val="Style38"/>
              <w:widowControl/>
              <w:spacing w:before="0" w:after="0"/>
              <w:ind w:left="0" w:right="0" w:hanging="0"/>
              <w:contextualSpacing/>
              <w:jc w:val="center"/>
              <w:rPr>
                <w:sz w:val="24"/>
                <w:szCs w:val="24"/>
              </w:rPr>
            </w:pPr>
            <w:r>
              <w:rPr>
                <w:kern w:val="0"/>
                <w:sz w:val="24"/>
                <w:szCs w:val="24"/>
                <w:lang w:val="ru-RU" w:bidi="ar-SA"/>
              </w:rPr>
              <w:t>Соблюдается</w:t>
            </w:r>
          </w:p>
        </w:tc>
      </w:tr>
      <w:tr>
        <w:trPr>
          <w:trHeight w:val="186" w:hRule="atLeast"/>
        </w:trPr>
        <w:tc>
          <w:tcPr>
            <w:tcW w:w="2281" w:type="dxa"/>
            <w:tcBorders/>
            <w:vAlign w:val="center"/>
          </w:tcPr>
          <w:p>
            <w:pPr>
              <w:pStyle w:val="Style38"/>
              <w:widowControl/>
              <w:spacing w:before="0" w:after="0"/>
              <w:ind w:left="0" w:right="0" w:hanging="0"/>
              <w:contextualSpacing/>
              <w:jc w:val="center"/>
              <w:rPr>
                <w:sz w:val="24"/>
                <w:szCs w:val="24"/>
              </w:rPr>
            </w:pPr>
            <w:r>
              <w:rPr>
                <w:kern w:val="0"/>
                <w:sz w:val="24"/>
                <w:szCs w:val="24"/>
                <w:lang w:val="ru-RU" w:bidi="ar-SA"/>
              </w:rPr>
              <w:t>ВЛ-10кВ ф.1 ПС 35кВ Матюшино</w:t>
            </w:r>
          </w:p>
        </w:tc>
        <w:tc>
          <w:tcPr>
            <w:tcW w:w="1354" w:type="dxa"/>
            <w:tcBorders/>
            <w:vAlign w:val="center"/>
          </w:tcPr>
          <w:p>
            <w:pPr>
              <w:pStyle w:val="Style38"/>
              <w:widowControl/>
              <w:spacing w:before="0" w:after="0"/>
              <w:ind w:left="0" w:right="0" w:hanging="0"/>
              <w:contextualSpacing/>
              <w:jc w:val="center"/>
              <w:rPr>
                <w:sz w:val="24"/>
                <w:szCs w:val="24"/>
              </w:rPr>
            </w:pPr>
            <w:r>
              <w:rPr>
                <w:kern w:val="0"/>
                <w:sz w:val="24"/>
                <w:szCs w:val="24"/>
                <w:lang w:val="ru-RU" w:bidi="ar-SA"/>
              </w:rPr>
              <w:t>10</w:t>
            </w:r>
          </w:p>
        </w:tc>
        <w:tc>
          <w:tcPr>
            <w:tcW w:w="1847" w:type="dxa"/>
            <w:tcBorders/>
            <w:vAlign w:val="center"/>
          </w:tcPr>
          <w:p>
            <w:pPr>
              <w:pStyle w:val="Style38"/>
              <w:widowControl/>
              <w:spacing w:before="0" w:after="0"/>
              <w:ind w:left="0" w:right="0" w:hanging="0"/>
              <w:contextualSpacing/>
              <w:jc w:val="center"/>
              <w:rPr>
                <w:sz w:val="24"/>
                <w:szCs w:val="24"/>
              </w:rPr>
            </w:pPr>
            <w:r>
              <w:rPr>
                <w:kern w:val="0"/>
                <w:sz w:val="24"/>
                <w:szCs w:val="24"/>
                <w:lang w:val="ru-RU" w:bidi="ar-SA"/>
              </w:rPr>
              <w:t>16:15-6.1240</w:t>
            </w:r>
          </w:p>
          <w:p>
            <w:pPr>
              <w:pStyle w:val="Style38"/>
              <w:widowControl/>
              <w:spacing w:before="0" w:after="0"/>
              <w:ind w:left="0" w:right="0" w:hanging="0"/>
              <w:contextualSpacing/>
              <w:jc w:val="center"/>
              <w:rPr>
                <w:sz w:val="24"/>
                <w:szCs w:val="24"/>
              </w:rPr>
            </w:pPr>
            <w:r>
              <w:rPr>
                <w:kern w:val="0"/>
                <w:sz w:val="24"/>
                <w:szCs w:val="24"/>
                <w:lang w:val="ru-RU" w:bidi="ar-SA"/>
              </w:rPr>
              <w:t>16:15-6.1142</w:t>
            </w:r>
          </w:p>
          <w:p>
            <w:pPr>
              <w:pStyle w:val="Style38"/>
              <w:widowControl/>
              <w:spacing w:before="0" w:after="0"/>
              <w:ind w:left="0" w:right="0" w:hanging="0"/>
              <w:contextualSpacing/>
              <w:jc w:val="center"/>
              <w:rPr>
                <w:sz w:val="24"/>
                <w:szCs w:val="24"/>
                <w:highlight w:val="yellow"/>
              </w:rPr>
            </w:pPr>
            <w:r>
              <w:rPr>
                <w:kern w:val="0"/>
                <w:sz w:val="24"/>
                <w:szCs w:val="24"/>
                <w:lang w:val="ru-RU" w:bidi="ar-SA"/>
              </w:rPr>
              <w:t>16:15-6.1146</w:t>
            </w:r>
          </w:p>
        </w:tc>
        <w:tc>
          <w:tcPr>
            <w:tcW w:w="2000" w:type="dxa"/>
            <w:vMerge w:val="continue"/>
            <w:tcBorders/>
            <w:vAlign w:val="center"/>
          </w:tcPr>
          <w:p>
            <w:pPr>
              <w:pStyle w:val="Style38"/>
              <w:widowControl/>
              <w:spacing w:before="0" w:after="0"/>
              <w:ind w:left="0" w:right="0" w:hanging="0"/>
              <w:contextualSpacing/>
              <w:jc w:val="center"/>
              <w:rPr>
                <w:sz w:val="24"/>
                <w:szCs w:val="24"/>
              </w:rPr>
            </w:pPr>
            <w:r>
              <w:rPr>
                <w:kern w:val="0"/>
                <w:sz w:val="24"/>
                <w:szCs w:val="24"/>
                <w:lang w:val="ru-RU" w:bidi="ar-SA"/>
              </w:rPr>
            </w:r>
          </w:p>
        </w:tc>
        <w:tc>
          <w:tcPr>
            <w:tcW w:w="2439" w:type="dxa"/>
            <w:tcBorders/>
            <w:vAlign w:val="center"/>
          </w:tcPr>
          <w:p>
            <w:pPr>
              <w:pStyle w:val="Style38"/>
              <w:widowControl/>
              <w:spacing w:before="0" w:after="0"/>
              <w:ind w:left="0" w:right="0" w:hanging="0"/>
              <w:contextualSpacing/>
              <w:jc w:val="center"/>
              <w:rPr>
                <w:sz w:val="24"/>
                <w:szCs w:val="24"/>
              </w:rPr>
            </w:pPr>
            <w:r>
              <w:rPr>
                <w:kern w:val="0"/>
                <w:sz w:val="24"/>
                <w:szCs w:val="24"/>
                <w:lang w:val="ru-RU" w:bidi="ar-SA"/>
              </w:rPr>
              <w:t>Соблюдается</w:t>
            </w:r>
          </w:p>
        </w:tc>
      </w:tr>
      <w:tr>
        <w:trPr>
          <w:trHeight w:val="186" w:hRule="atLeast"/>
        </w:trPr>
        <w:tc>
          <w:tcPr>
            <w:tcW w:w="2281" w:type="dxa"/>
            <w:tcBorders/>
            <w:vAlign w:val="center"/>
          </w:tcPr>
          <w:p>
            <w:pPr>
              <w:pStyle w:val="Style38"/>
              <w:widowControl/>
              <w:spacing w:before="0" w:after="0"/>
              <w:ind w:left="0" w:right="0" w:hanging="0"/>
              <w:contextualSpacing/>
              <w:jc w:val="center"/>
              <w:rPr>
                <w:sz w:val="24"/>
                <w:szCs w:val="24"/>
              </w:rPr>
            </w:pPr>
            <w:r>
              <w:rPr>
                <w:kern w:val="0"/>
                <w:sz w:val="24"/>
                <w:szCs w:val="24"/>
                <w:lang w:val="ru-RU" w:bidi="ar-SA"/>
              </w:rPr>
              <w:t>ВЛ 10 кВ ф.12 ПС Куралово</w:t>
            </w:r>
          </w:p>
        </w:tc>
        <w:tc>
          <w:tcPr>
            <w:tcW w:w="1354" w:type="dxa"/>
            <w:tcBorders/>
            <w:vAlign w:val="center"/>
          </w:tcPr>
          <w:p>
            <w:pPr>
              <w:pStyle w:val="Style38"/>
              <w:widowControl/>
              <w:spacing w:before="0" w:after="0"/>
              <w:ind w:left="0" w:right="0" w:hanging="0"/>
              <w:contextualSpacing/>
              <w:jc w:val="center"/>
              <w:rPr>
                <w:sz w:val="24"/>
                <w:szCs w:val="24"/>
              </w:rPr>
            </w:pPr>
            <w:r>
              <w:rPr>
                <w:kern w:val="0"/>
                <w:sz w:val="24"/>
                <w:szCs w:val="24"/>
                <w:lang w:val="ru-RU" w:bidi="ar-SA"/>
              </w:rPr>
              <w:t>10</w:t>
            </w:r>
          </w:p>
        </w:tc>
        <w:tc>
          <w:tcPr>
            <w:tcW w:w="1847" w:type="dxa"/>
            <w:tcBorders/>
            <w:vAlign w:val="center"/>
          </w:tcPr>
          <w:p>
            <w:pPr>
              <w:pStyle w:val="Style38"/>
              <w:widowControl/>
              <w:spacing w:before="0" w:after="0"/>
              <w:ind w:left="0" w:right="0" w:hanging="0"/>
              <w:contextualSpacing/>
              <w:jc w:val="center"/>
              <w:rPr>
                <w:sz w:val="24"/>
                <w:szCs w:val="24"/>
                <w:highlight w:val="yellow"/>
              </w:rPr>
            </w:pPr>
            <w:r>
              <w:rPr>
                <w:kern w:val="0"/>
                <w:sz w:val="24"/>
                <w:szCs w:val="24"/>
                <w:lang w:val="ru-RU" w:bidi="ar-SA"/>
              </w:rPr>
              <w:t>16:15-6.611</w:t>
            </w:r>
          </w:p>
        </w:tc>
        <w:tc>
          <w:tcPr>
            <w:tcW w:w="2000" w:type="dxa"/>
            <w:vMerge w:val="continue"/>
            <w:tcBorders/>
            <w:vAlign w:val="center"/>
          </w:tcPr>
          <w:p>
            <w:pPr>
              <w:pStyle w:val="Style38"/>
              <w:widowControl/>
              <w:spacing w:before="0" w:after="0"/>
              <w:ind w:left="0" w:right="0" w:hanging="0"/>
              <w:contextualSpacing/>
              <w:jc w:val="center"/>
              <w:rPr>
                <w:sz w:val="24"/>
                <w:szCs w:val="24"/>
              </w:rPr>
            </w:pPr>
            <w:r>
              <w:rPr>
                <w:kern w:val="0"/>
                <w:sz w:val="24"/>
                <w:szCs w:val="24"/>
                <w:lang w:val="ru-RU" w:bidi="ar-SA"/>
              </w:rPr>
            </w:r>
          </w:p>
        </w:tc>
        <w:tc>
          <w:tcPr>
            <w:tcW w:w="2439" w:type="dxa"/>
            <w:tcBorders/>
            <w:vAlign w:val="center"/>
          </w:tcPr>
          <w:p>
            <w:pPr>
              <w:pStyle w:val="Style38"/>
              <w:widowControl/>
              <w:spacing w:before="0" w:after="0"/>
              <w:ind w:left="0" w:right="0" w:hanging="0"/>
              <w:contextualSpacing/>
              <w:jc w:val="center"/>
              <w:rPr>
                <w:sz w:val="24"/>
                <w:szCs w:val="24"/>
              </w:rPr>
            </w:pPr>
            <w:r>
              <w:rPr>
                <w:kern w:val="0"/>
                <w:sz w:val="24"/>
                <w:szCs w:val="24"/>
                <w:lang w:val="ru-RU" w:bidi="ar-SA"/>
              </w:rPr>
              <w:t>Соблюдается</w:t>
            </w:r>
          </w:p>
        </w:tc>
      </w:tr>
    </w:tbl>
    <w:p>
      <w:pPr>
        <w:pStyle w:val="Normal"/>
        <w:widowControl w:val="false"/>
        <w:suppressAutoHyphens w:val="true"/>
        <w:spacing w:lineRule="auto" w:line="240" w:before="0" w:after="0"/>
        <w:jc w:val="right"/>
        <w:rPr>
          <w:rFonts w:ascii="Times New Roman" w:hAnsi="Times New Roman" w:cs="Times New Roman"/>
          <w:sz w:val="28"/>
          <w:szCs w:val="28"/>
          <w:lang w:eastAsia="ru-RU"/>
        </w:rPr>
      </w:pPr>
      <w:r>
        <w:rPr>
          <w:rFonts w:cs="Times New Roman" w:ascii="Times New Roman" w:hAnsi="Times New Roman"/>
          <w:sz w:val="28"/>
          <w:szCs w:val="28"/>
          <w:lang w:eastAsia="ru-RU"/>
        </w:rPr>
      </w:r>
    </w:p>
    <w:p>
      <w:pPr>
        <w:pStyle w:val="Normal"/>
        <w:widowControl w:val="false"/>
        <w:suppressAutoHyphens w:val="true"/>
        <w:spacing w:lineRule="auto" w:line="240" w:before="0" w:after="0"/>
        <w:jc w:val="right"/>
        <w:rPr>
          <w:rFonts w:ascii="Times New Roman" w:hAnsi="Times New Roman" w:cs="Times New Roman"/>
          <w:sz w:val="28"/>
          <w:szCs w:val="28"/>
          <w:lang w:eastAsia="ru-RU"/>
        </w:rPr>
      </w:pPr>
      <w:r>
        <w:rPr>
          <w:rFonts w:cs="Times New Roman" w:ascii="Times New Roman" w:hAnsi="Times New Roman"/>
          <w:sz w:val="28"/>
          <w:szCs w:val="28"/>
          <w:lang w:eastAsia="ru-RU"/>
        </w:rPr>
        <w:t>Таблица 6.5.2</w:t>
      </w:r>
    </w:p>
    <w:p>
      <w:pPr>
        <w:pStyle w:val="Normal"/>
        <w:widowControl w:val="false"/>
        <w:suppressAutoHyphens w:val="true"/>
        <w:spacing w:lineRule="auto" w:line="240"/>
        <w:jc w:val="center"/>
        <w:rPr>
          <w:rFonts w:ascii="Times New Roman" w:hAnsi="Times New Roman" w:cs="Times New Roman"/>
          <w:sz w:val="28"/>
          <w:szCs w:val="28"/>
          <w:lang w:eastAsia="ru-RU"/>
        </w:rPr>
      </w:pPr>
      <w:r>
        <w:rPr>
          <w:rFonts w:cs="Times New Roman" w:ascii="Times New Roman" w:hAnsi="Times New Roman"/>
          <w:sz w:val="28"/>
          <w:szCs w:val="28"/>
        </w:rPr>
        <w:t xml:space="preserve">Регламенты использования </w:t>
      </w:r>
      <w:r>
        <w:rPr>
          <w:rFonts w:cs="Times New Roman" w:ascii="Times New Roman" w:hAnsi="Times New Roman"/>
          <w:spacing w:val="2"/>
          <w:sz w:val="28"/>
          <w:szCs w:val="28"/>
          <w:shd w:fill="FFFFFF" w:val="clear"/>
        </w:rPr>
        <w:t>охранных зон воздушных линий электропередач</w:t>
      </w:r>
    </w:p>
    <w:tbl>
      <w:tblPr>
        <w:tblStyle w:val="af0"/>
        <w:tblW w:w="5000" w:type="pct"/>
        <w:jc w:val="center"/>
        <w:tblInd w:w="0" w:type="dxa"/>
        <w:tblLayout w:type="fixed"/>
        <w:tblCellMar>
          <w:top w:w="0" w:type="dxa"/>
          <w:left w:w="108" w:type="dxa"/>
          <w:bottom w:w="0" w:type="dxa"/>
          <w:right w:w="108" w:type="dxa"/>
        </w:tblCellMar>
        <w:tblLook w:noVBand="1" w:val="04a0" w:noHBand="0" w:lastColumn="0" w:firstColumn="1" w:lastRow="0" w:firstRow="1"/>
      </w:tblPr>
      <w:tblGrid>
        <w:gridCol w:w="2047"/>
        <w:gridCol w:w="5028"/>
        <w:gridCol w:w="2846"/>
      </w:tblGrid>
      <w:tr>
        <w:trPr>
          <w:tblHeader w:val="true"/>
        </w:trPr>
        <w:tc>
          <w:tcPr>
            <w:tcW w:w="2047" w:type="dxa"/>
            <w:tcBorders/>
            <w:vAlign w:val="center"/>
          </w:tcPr>
          <w:p>
            <w:pPr>
              <w:pStyle w:val="Style38"/>
              <w:widowControl w:val="false"/>
              <w:suppressAutoHyphens w:val="true"/>
              <w:spacing w:before="0" w:after="0"/>
              <w:ind w:left="0" w:right="0" w:hanging="0"/>
              <w:contextualSpacing/>
              <w:jc w:val="center"/>
              <w:rPr>
                <w:sz w:val="20"/>
              </w:rPr>
            </w:pPr>
            <w:bookmarkStart w:id="166" w:name="_Hlk143068872"/>
            <w:r>
              <w:rPr>
                <w:kern w:val="0"/>
                <w:sz w:val="20"/>
                <w:lang w:val="ru-RU" w:bidi="ar-SA"/>
              </w:rPr>
              <w:t>Наименование зоны</w:t>
            </w:r>
          </w:p>
        </w:tc>
        <w:tc>
          <w:tcPr>
            <w:tcW w:w="5028" w:type="dxa"/>
            <w:tcBorders/>
            <w:vAlign w:val="center"/>
          </w:tcPr>
          <w:p>
            <w:pPr>
              <w:pStyle w:val="Style38"/>
              <w:widowControl w:val="false"/>
              <w:suppressAutoHyphens w:val="true"/>
              <w:spacing w:before="0" w:after="0"/>
              <w:ind w:left="0" w:right="0" w:hanging="0"/>
              <w:contextualSpacing/>
              <w:jc w:val="center"/>
              <w:rPr>
                <w:sz w:val="20"/>
              </w:rPr>
            </w:pPr>
            <w:r>
              <w:rPr>
                <w:kern w:val="0"/>
                <w:sz w:val="20"/>
                <w:lang w:val="ru-RU" w:bidi="ar-SA"/>
              </w:rPr>
              <w:t>Правовой режим использования зоны</w:t>
            </w:r>
          </w:p>
        </w:tc>
        <w:tc>
          <w:tcPr>
            <w:tcW w:w="2846" w:type="dxa"/>
            <w:tcBorders/>
            <w:vAlign w:val="center"/>
          </w:tcPr>
          <w:p>
            <w:pPr>
              <w:pStyle w:val="Style38"/>
              <w:widowControl w:val="false"/>
              <w:suppressAutoHyphens w:val="true"/>
              <w:spacing w:before="0" w:after="0"/>
              <w:ind w:left="0" w:right="0" w:hanging="0"/>
              <w:contextualSpacing/>
              <w:jc w:val="center"/>
              <w:rPr>
                <w:sz w:val="20"/>
              </w:rPr>
            </w:pPr>
            <w:r>
              <w:rPr>
                <w:kern w:val="0"/>
                <w:sz w:val="20"/>
                <w:lang w:val="ru-RU" w:bidi="ar-SA"/>
              </w:rPr>
              <w:t>Обоснование</w:t>
            </w:r>
          </w:p>
          <w:p>
            <w:pPr>
              <w:pStyle w:val="Style38"/>
              <w:widowControl w:val="false"/>
              <w:suppressAutoHyphens w:val="true"/>
              <w:spacing w:before="0" w:after="0"/>
              <w:ind w:left="0" w:right="0" w:hanging="0"/>
              <w:contextualSpacing/>
              <w:jc w:val="center"/>
              <w:rPr>
                <w:sz w:val="20"/>
              </w:rPr>
            </w:pPr>
            <w:r>
              <w:rPr>
                <w:kern w:val="0"/>
                <w:sz w:val="20"/>
                <w:lang w:val="ru-RU" w:bidi="ar-SA"/>
              </w:rPr>
              <w:t>(нормативные документы)</w:t>
            </w:r>
          </w:p>
        </w:tc>
      </w:tr>
      <w:tr>
        <w:trPr/>
        <w:tc>
          <w:tcPr>
            <w:tcW w:w="2047" w:type="dxa"/>
            <w:tcBorders/>
            <w:vAlign w:val="center"/>
          </w:tcPr>
          <w:p>
            <w:pPr>
              <w:pStyle w:val="BodyTextIndent3"/>
              <w:widowControl w:val="false"/>
              <w:suppressAutoHyphens w:val="true"/>
              <w:spacing w:lineRule="auto" w:line="240" w:before="0" w:after="12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Охранные зоны</w:t>
            </w:r>
          </w:p>
        </w:tc>
        <w:tc>
          <w:tcPr>
            <w:tcW w:w="5028" w:type="dxa"/>
            <w:tcBorders/>
            <w:vAlign w:val="center"/>
          </w:tcPr>
          <w:p>
            <w:pPr>
              <w:pStyle w:val="Normal"/>
              <w:widowControl/>
              <w:spacing w:lineRule="auto" w:line="240" w:before="0" w:after="0"/>
              <w:ind w:left="0" w:right="0" w:firstLine="709"/>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pPr>
              <w:pStyle w:val="Normal"/>
              <w:widowControl/>
              <w:spacing w:lineRule="auto" w:line="240" w:before="0" w:after="0"/>
              <w:ind w:left="0" w:right="0" w:firstLine="709"/>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pPr>
              <w:pStyle w:val="Normal"/>
              <w:widowControl/>
              <w:spacing w:lineRule="auto" w:line="240" w:before="0" w:after="0"/>
              <w:ind w:left="0" w:right="0" w:firstLine="709"/>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б) проводить работы, угрожающие повреждению объектов электросетевого хозяйства, размещать объекты и предметы, которые могут препятствовать доступу обслуживающего персонала и техники к объектам электроэнергетики, без сохранения и (или) создания, в том числе в соответствии с требованиями нормативно-технических документов, необходимых для такого доступа проходов и подъездов в целях обеспечения эксплуатации оборудования, зданий и сооружений объектов электроэнергетики, проведения работ по ликвидации аварий и устранению их последствий на всем протяжении границы объекта электроэнергетики;</w:t>
            </w:r>
          </w:p>
          <w:p>
            <w:pPr>
              <w:pStyle w:val="Normal"/>
              <w:widowControl/>
              <w:spacing w:lineRule="auto" w:line="240" w:before="0" w:after="0"/>
              <w:ind w:left="0" w:right="0" w:firstLine="709"/>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pPr>
              <w:pStyle w:val="Normal"/>
              <w:widowControl/>
              <w:spacing w:lineRule="auto" w:line="240" w:before="0" w:after="0"/>
              <w:ind w:left="0" w:right="0" w:firstLine="709"/>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г) размещать свалки;</w:t>
            </w:r>
          </w:p>
          <w:p>
            <w:pPr>
              <w:pStyle w:val="Normal"/>
              <w:widowControl/>
              <w:spacing w:lineRule="auto" w:line="240" w:before="0" w:after="0"/>
              <w:ind w:left="0" w:right="0" w:firstLine="709"/>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pPr>
              <w:pStyle w:val="Normal"/>
              <w:widowControl/>
              <w:spacing w:lineRule="auto" w:line="240" w:before="0" w:after="0"/>
              <w:ind w:left="0" w:right="0" w:firstLine="709"/>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е) убирать, уничтожать, перемещать, засыпать и повреждать предупреждающие и информационные знаки (либо предупреждающие и информационные надписи, нанесенные на объекты электроэнергетики);</w:t>
            </w:r>
          </w:p>
          <w:p>
            <w:pPr>
              <w:pStyle w:val="Normal"/>
              <w:widowControl/>
              <w:spacing w:lineRule="auto" w:line="240" w:before="0" w:after="0"/>
              <w:ind w:left="0" w:right="0" w:firstLine="709"/>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ж)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w:t>
            </w:r>
          </w:p>
          <w:p>
            <w:pPr>
              <w:pStyle w:val="Normal"/>
              <w:widowControl/>
              <w:spacing w:lineRule="auto" w:line="240" w:before="0" w:after="0"/>
              <w:ind w:left="0" w:right="0" w:firstLine="709"/>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з) осуществлять использование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pPr>
              <w:pStyle w:val="ConsPlusNormal"/>
              <w:widowControl w:val="false"/>
              <w:spacing w:before="0" w:after="0"/>
              <w:ind w:left="0" w:right="0" w:firstLine="709"/>
              <w:contextualSpacing/>
              <w:jc w:val="both"/>
              <w:rPr>
                <w:rFonts w:ascii="Times New Roman" w:hAnsi="Times New Roman" w:cs="Times New Roman"/>
                <w:sz w:val="20"/>
              </w:rPr>
            </w:pPr>
            <w:bookmarkStart w:id="167" w:name="Par75"/>
            <w:bookmarkEnd w:id="167"/>
            <w:r>
              <w:rPr>
                <w:rFonts w:cs="Times New Roman" w:ascii="Times New Roman" w:hAnsi="Times New Roman"/>
                <w:kern w:val="0"/>
                <w:sz w:val="20"/>
                <w:lang w:val="ru-RU" w:bidi="ar-SA"/>
              </w:rPr>
              <w:t xml:space="preserve">В охранных зонах, установленных для объектов электросетевого хозяйства напряжением свыше 1000 вольт, помимо действий, предусмотренных </w:t>
            </w:r>
            <w:hyperlink w:anchor="Par69" w:tgtFrame="8.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
              <w:r>
                <w:rPr>
                  <w:rFonts w:cs="Times New Roman" w:ascii="Times New Roman" w:hAnsi="Times New Roman"/>
                  <w:kern w:val="0"/>
                  <w:sz w:val="20"/>
                  <w:lang w:val="ru-RU" w:bidi="ar-SA"/>
                </w:rPr>
                <w:t>пунктом 8</w:t>
              </w:r>
            </w:hyperlink>
            <w:r>
              <w:rPr>
                <w:rFonts w:cs="Times New Roman" w:ascii="Times New Roman" w:hAnsi="Times New Roman"/>
                <w:kern w:val="0"/>
                <w:sz w:val="20"/>
                <w:lang w:val="ru-RU" w:bidi="ar-SA"/>
              </w:rPr>
              <w:t xml:space="preserve"> настоящих Правил, запрещается:</w:t>
            </w:r>
          </w:p>
          <w:p>
            <w:pPr>
              <w:pStyle w:val="Normal"/>
              <w:widowControl/>
              <w:spacing w:lineRule="auto" w:line="240" w:before="0" w:after="0"/>
              <w:ind w:left="0" w:right="0" w:firstLine="709"/>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а) складировать или размещать хранилища любых, в том числе горюче-смазочных, материалов;</w:t>
            </w:r>
          </w:p>
          <w:p>
            <w:pPr>
              <w:pStyle w:val="Normal"/>
              <w:widowControl/>
              <w:spacing w:lineRule="auto" w:line="240" w:before="0" w:after="0"/>
              <w:ind w:left="0" w:right="0" w:firstLine="709"/>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pPr>
              <w:pStyle w:val="Normal"/>
              <w:widowControl/>
              <w:spacing w:lineRule="auto" w:line="240" w:before="0" w:after="0"/>
              <w:ind w:left="0" w:right="0" w:firstLine="709"/>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pPr>
              <w:pStyle w:val="Normal"/>
              <w:widowControl/>
              <w:spacing w:lineRule="auto" w:line="240" w:before="0" w:after="0"/>
              <w:ind w:left="0" w:right="0" w:firstLine="709"/>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pPr>
              <w:pStyle w:val="Normal"/>
              <w:widowControl/>
              <w:spacing w:lineRule="auto" w:line="240" w:before="0" w:after="0"/>
              <w:ind w:left="0" w:right="0" w:firstLine="709"/>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д) осуществлять проход судов с поднятыми стрелами кранов и других механизмов (в охранных зонах воздушных линий электропередачи);</w:t>
            </w:r>
          </w:p>
          <w:p>
            <w:pPr>
              <w:pStyle w:val="Normal"/>
              <w:widowControl/>
              <w:spacing w:lineRule="auto" w:line="240" w:before="0" w:after="0"/>
              <w:ind w:left="0" w:right="0" w:firstLine="709"/>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е) осуществлять остановку транспортных средств на автомобильных дорогах в местах пересечения с воздушными линиями электропередачи с проектным номинальным классом напряжения 330 кВ и выше (исключительно в охранных зонах воздушных линий электропередачи);</w:t>
            </w:r>
          </w:p>
          <w:p>
            <w:pPr>
              <w:pStyle w:val="Normal"/>
              <w:widowControl/>
              <w:spacing w:lineRule="auto" w:line="240" w:before="0" w:after="0"/>
              <w:ind w:left="0" w:right="0" w:firstLine="709"/>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ж) устанавливать рекламные конструкции.</w:t>
            </w:r>
          </w:p>
          <w:p>
            <w:pPr>
              <w:pStyle w:val="Normal"/>
              <w:widowControl/>
              <w:spacing w:lineRule="auto" w:line="240" w:before="0" w:after="0"/>
              <w:ind w:left="0" w:right="0" w:firstLine="709"/>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В охранных зонах допускается размещение зданий и сооружений при соблюдении следующих параметров:</w:t>
            </w:r>
          </w:p>
          <w:p>
            <w:pPr>
              <w:pStyle w:val="Normal"/>
              <w:widowControl/>
              <w:spacing w:lineRule="auto" w:line="240" w:before="0" w:after="0"/>
              <w:ind w:left="0" w:right="0" w:firstLine="709"/>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 xml:space="preserve">- размещаемое здание или сооружение не создает препятствий для доступа к объекту электросетевого хозяйства </w:t>
            </w:r>
          </w:p>
          <w:p>
            <w:pPr>
              <w:pStyle w:val="Normal"/>
              <w:widowControl/>
              <w:spacing w:lineRule="auto" w:line="240" w:before="0" w:after="0"/>
              <w:ind w:left="0" w:right="0" w:firstLine="709"/>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 расстояние по горизонтали от элементов зданий и сооружений до проводов воздушных линий электропередачи напряжением свыше 1 кВ (при наибольшем их отклонении) должно быть не менее:</w:t>
            </w:r>
          </w:p>
          <w:p>
            <w:pPr>
              <w:pStyle w:val="Normal"/>
              <w:widowControl/>
              <w:spacing w:lineRule="auto" w:line="240" w:before="0" w:after="0"/>
              <w:ind w:left="0" w:right="0" w:firstLine="709"/>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2 метров - при проектном номинальном классе напряжения до 20 кВ;</w:t>
            </w:r>
          </w:p>
          <w:p>
            <w:pPr>
              <w:pStyle w:val="Normal"/>
              <w:widowControl/>
              <w:spacing w:lineRule="auto" w:line="240" w:before="0" w:after="0"/>
              <w:ind w:left="0" w:right="0" w:firstLine="709"/>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4 метров - при проектном номинальном классе напряжения 35 - 110 кВ;</w:t>
            </w:r>
          </w:p>
          <w:p>
            <w:pPr>
              <w:pStyle w:val="Normal"/>
              <w:widowControl/>
              <w:spacing w:lineRule="auto" w:line="240" w:before="0" w:after="0"/>
              <w:ind w:left="0" w:right="0" w:firstLine="709"/>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5 метров - при проектном номинальном классе напряжения 150 кВ;</w:t>
            </w:r>
          </w:p>
          <w:p>
            <w:pPr>
              <w:pStyle w:val="Normal"/>
              <w:widowControl/>
              <w:spacing w:lineRule="auto" w:line="240" w:before="0" w:after="0"/>
              <w:ind w:left="0" w:right="0" w:firstLine="709"/>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6 метров - при проектном номинальном классе напряжения 220 кВ;</w:t>
            </w:r>
          </w:p>
          <w:p>
            <w:pPr>
              <w:pStyle w:val="Normal"/>
              <w:widowControl/>
              <w:spacing w:lineRule="auto" w:line="240" w:before="0" w:after="0"/>
              <w:ind w:left="0" w:right="0" w:firstLine="709"/>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20 метров (8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330 - 400 кВ;</w:t>
            </w:r>
          </w:p>
          <w:p>
            <w:pPr>
              <w:pStyle w:val="Normal"/>
              <w:widowControl/>
              <w:spacing w:lineRule="auto" w:line="240" w:before="0" w:after="0"/>
              <w:ind w:left="0" w:right="0" w:firstLine="709"/>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30 метров (10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500 кВ;</w:t>
            </w:r>
          </w:p>
          <w:p>
            <w:pPr>
              <w:pStyle w:val="Normal"/>
              <w:widowControl/>
              <w:spacing w:lineRule="auto" w:line="240" w:before="0" w:after="0"/>
              <w:ind w:left="0" w:right="0" w:firstLine="709"/>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40 метров (10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750 кВ</w:t>
            </w:r>
          </w:p>
          <w:p>
            <w:pPr>
              <w:pStyle w:val="Normal"/>
              <w:widowControl/>
              <w:spacing w:lineRule="auto" w:line="240" w:before="0" w:after="0"/>
              <w:ind w:left="0" w:right="0" w:firstLine="709"/>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 под проводами воздушных линий электропередачи допускается размещение следующих видов зданий и (или) сооружений и (или) их пересечение с воздушными линиями электропередачи:</w:t>
            </w:r>
          </w:p>
          <w:p>
            <w:pPr>
              <w:pStyle w:val="Normal"/>
              <w:widowControl/>
              <w:spacing w:lineRule="auto" w:line="240" w:before="0" w:after="0"/>
              <w:ind w:left="0" w:right="0" w:firstLine="709"/>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производственные здания и (или) сооружения промышленных предприятий I и II степени огнестойкости в соответствии с техническим регламентом о требованиях пожарной безопасности, если проектный номинальный класс напряжения воздушных линий электропередачи не превышает 220 кВ, а также вне зависимости от проектного номинального класса напряжения воздушных линий электропередачи - здания и сооружения электрических станций и подстанций (включая вспомогательные и обслуживающие объекты), ограждения при условии, что расстояние от наивысшей точки указанных зданий и (или) сооружений, ограждений по вертикали до проводов воздушной линии электропередачи при наибольшей стреле провеса должно быть не менее:</w:t>
            </w:r>
          </w:p>
          <w:p>
            <w:pPr>
              <w:pStyle w:val="Normal"/>
              <w:widowControl/>
              <w:spacing w:lineRule="auto" w:line="240" w:before="0" w:after="0"/>
              <w:ind w:left="0" w:right="0" w:firstLine="709"/>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3 метров - при проектном номинальном классе напряжения до 35 кВ;</w:t>
            </w:r>
          </w:p>
          <w:p>
            <w:pPr>
              <w:pStyle w:val="Normal"/>
              <w:widowControl/>
              <w:spacing w:lineRule="auto" w:line="240" w:before="0" w:after="0"/>
              <w:ind w:left="0" w:right="0" w:firstLine="709"/>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4 метров - при проектном номинальном классе напряжения 110 кВ;</w:t>
            </w:r>
          </w:p>
          <w:p>
            <w:pPr>
              <w:pStyle w:val="Normal"/>
              <w:widowControl/>
              <w:spacing w:lineRule="auto" w:line="240" w:before="0" w:after="0"/>
              <w:ind w:left="0" w:right="0" w:firstLine="709"/>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4 метров - при проектном номинальном классе напряжения 150 кВ;</w:t>
            </w:r>
          </w:p>
          <w:p>
            <w:pPr>
              <w:pStyle w:val="Normal"/>
              <w:widowControl/>
              <w:spacing w:lineRule="auto" w:line="240" w:before="0" w:after="0"/>
              <w:ind w:left="0" w:right="0" w:firstLine="709"/>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5 метров - при проектном номинальном классе напряжения 220 кВ;</w:t>
            </w:r>
          </w:p>
          <w:p>
            <w:pPr>
              <w:pStyle w:val="Normal"/>
              <w:widowControl/>
              <w:spacing w:lineRule="auto" w:line="240" w:before="0" w:after="0"/>
              <w:ind w:left="0" w:right="0" w:firstLine="709"/>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7,5 метра - при проектном номинальном классе напряжения 330 - 400 кВ;</w:t>
            </w:r>
          </w:p>
          <w:p>
            <w:pPr>
              <w:pStyle w:val="Normal"/>
              <w:widowControl/>
              <w:spacing w:lineRule="auto" w:line="240" w:before="0" w:after="0"/>
              <w:ind w:left="0" w:right="0" w:firstLine="709"/>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8 метров - при проектном номинальном классе напряжения 500 кВ;</w:t>
            </w:r>
          </w:p>
          <w:p>
            <w:pPr>
              <w:pStyle w:val="Normal"/>
              <w:widowControl/>
              <w:spacing w:lineRule="auto" w:line="240" w:before="0" w:after="0"/>
              <w:ind w:left="0" w:right="0" w:firstLine="709"/>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12 метров - при проектном номинальном классе напряжения 750 кВ</w:t>
            </w:r>
          </w:p>
          <w:p>
            <w:pPr>
              <w:pStyle w:val="Normal"/>
              <w:widowControl/>
              <w:spacing w:lineRule="auto" w:line="240" w:before="0" w:after="0"/>
              <w:ind w:left="0" w:right="0" w:firstLine="709"/>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В пределах охранной зоны без соблюдения условий осуществления соответствующих видов деятельности, предусмотренных решением о согласовании такой охранной зоны, юридическим и физическим лицам запрещаются:</w:t>
            </w:r>
          </w:p>
          <w:p>
            <w:pPr>
              <w:pStyle w:val="Normal"/>
              <w:widowControl/>
              <w:spacing w:lineRule="auto" w:line="240" w:before="0" w:after="0"/>
              <w:ind w:left="0" w:right="0" w:firstLine="709"/>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а) горные, взрывные, мелиоративные работы, в том числе связанные с временным затоплением земель;</w:t>
            </w:r>
          </w:p>
          <w:p>
            <w:pPr>
              <w:pStyle w:val="Normal"/>
              <w:widowControl/>
              <w:spacing w:lineRule="auto" w:line="240" w:before="0" w:after="0"/>
              <w:ind w:left="0" w:right="0" w:firstLine="709"/>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б)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pPr>
              <w:pStyle w:val="Normal"/>
              <w:widowControl/>
              <w:spacing w:lineRule="auto" w:line="240" w:before="0" w:after="0"/>
              <w:ind w:left="0" w:right="0" w:firstLine="709"/>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в)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pPr>
              <w:pStyle w:val="Normal"/>
              <w:widowControl/>
              <w:spacing w:lineRule="auto" w:line="240" w:before="0" w:after="0"/>
              <w:ind w:left="0" w:right="0" w:firstLine="709"/>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г)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pPr>
              <w:pStyle w:val="Normal"/>
              <w:widowControl/>
              <w:spacing w:lineRule="auto" w:line="240" w:before="0" w:after="0"/>
              <w:ind w:left="0" w:right="0" w:firstLine="709"/>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д)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pPr>
              <w:pStyle w:val="Normal"/>
              <w:widowControl/>
              <w:spacing w:lineRule="auto" w:line="240" w:before="0" w:after="0"/>
              <w:ind w:left="0" w:right="0" w:firstLine="709"/>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е)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pPr>
              <w:pStyle w:val="Normal"/>
              <w:widowControl/>
              <w:spacing w:lineRule="auto" w:line="240" w:before="0" w:after="0"/>
              <w:ind w:left="0" w:right="0" w:firstLine="709"/>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ж)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pPr>
              <w:pStyle w:val="Normal"/>
              <w:widowControl/>
              <w:spacing w:lineRule="auto" w:line="240" w:before="0" w:after="0"/>
              <w:ind w:left="0" w:right="0" w:firstLine="709"/>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з) посадка и вырубка деревьев и кустарников.</w:t>
            </w:r>
          </w:p>
          <w:p>
            <w:pPr>
              <w:pStyle w:val="BodyTextIndent3"/>
              <w:widowControl w:val="false"/>
              <w:tabs>
                <w:tab w:val="clear" w:pos="709"/>
                <w:tab w:val="left" w:pos="271" w:leader="none"/>
              </w:tabs>
              <w:suppressAutoHyphens w:val="true"/>
              <w:spacing w:lineRule="auto" w:line="240" w:before="0" w:after="0"/>
              <w:ind w:left="0" w:right="0" w:firstLine="142"/>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 xml:space="preserve"> </w:t>
            </w:r>
          </w:p>
        </w:tc>
        <w:tc>
          <w:tcPr>
            <w:tcW w:w="2846" w:type="dxa"/>
            <w:tcBorders/>
            <w:vAlign w:val="center"/>
          </w:tcPr>
          <w:p>
            <w:pPr>
              <w:pStyle w:val="Style38"/>
              <w:widowControl w:val="false"/>
              <w:suppressAutoHyphens w:val="true"/>
              <w:spacing w:before="0" w:after="0"/>
              <w:ind w:left="0" w:right="0" w:firstLine="142"/>
              <w:jc w:val="center"/>
              <w:rPr>
                <w:sz w:val="20"/>
              </w:rPr>
            </w:pPr>
            <w:bookmarkStart w:id="168" w:name="_Hlk143068872"/>
            <w:r>
              <w:rPr>
                <w:kern w:val="0"/>
                <w:sz w:val="20"/>
                <w:lang w:val="ru-RU" w:bidi="ar-SA"/>
              </w:rPr>
              <w:t>Постановление Правительства РФ от 24.02.2009 N 160 (ред. от 18.02.2023)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(внесенные изменения утверждены постановлением Правительства Российской Федерации от 18 февраля 2023 г. № 270 «О некоторых вопросах использования земельных участков, расположенных в границах охранных зон объектов электросетевого хозяйства»)</w:t>
            </w:r>
            <w:bookmarkEnd w:id="168"/>
          </w:p>
        </w:tc>
      </w:tr>
    </w:tbl>
    <w:p>
      <w:pPr>
        <w:pStyle w:val="Normal"/>
        <w:rPr>
          <w:rFonts w:ascii="Times New Roman" w:hAnsi="Times New Roman" w:cs="Times New Roman"/>
          <w:sz w:val="24"/>
          <w:szCs w:val="24"/>
          <w:highlight w:val="lightGray"/>
          <w:lang w:eastAsia="ru-RU"/>
        </w:rPr>
      </w:pPr>
      <w:r>
        <w:rPr>
          <w:rFonts w:cs="Times New Roman" w:ascii="Times New Roman" w:hAnsi="Times New Roman"/>
          <w:sz w:val="24"/>
          <w:szCs w:val="24"/>
          <w:highlight w:val="lightGray"/>
          <w:lang w:eastAsia="ru-RU"/>
        </w:rPr>
      </w:r>
      <w:r>
        <w:br w:type="page"/>
      </w:r>
    </w:p>
    <w:p>
      <w:pPr>
        <w:pStyle w:val="2"/>
        <w:keepNext w:val="false"/>
        <w:keepLines w:val="false"/>
        <w:widowControl w:val="false"/>
        <w:numPr>
          <w:ilvl w:val="1"/>
          <w:numId w:val="46"/>
        </w:numPr>
        <w:suppressAutoHyphens w:val="true"/>
        <w:spacing w:lineRule="auto" w:line="240" w:before="0" w:after="160"/>
        <w:ind w:left="0" w:firstLine="709"/>
        <w:jc w:val="center"/>
        <w:rPr>
          <w:rFonts w:ascii="Times New Roman" w:hAnsi="Times New Roman" w:cs="Times New Roman"/>
          <w:b/>
          <w:color w:val="auto"/>
          <w:sz w:val="28"/>
          <w:szCs w:val="28"/>
          <w:lang w:eastAsia="ru-RU"/>
        </w:rPr>
      </w:pPr>
      <w:bookmarkStart w:id="169" w:name="_Toc147740064"/>
      <w:r>
        <w:rPr>
          <w:rFonts w:cs="Times New Roman" w:ascii="Times New Roman" w:hAnsi="Times New Roman"/>
          <w:b/>
          <w:color w:val="auto"/>
          <w:sz w:val="28"/>
          <w:szCs w:val="28"/>
          <w:lang w:eastAsia="ru-RU"/>
        </w:rPr>
        <w:t>Охранная зона линий и сооружений связи</w:t>
      </w:r>
      <w:bookmarkEnd w:id="169"/>
    </w:p>
    <w:p>
      <w:pPr>
        <w:pStyle w:val="Normal"/>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Согласно Правилам охраны линий и сооружений связи в Российской Федерации, утвержденным Постановлением Правительства Российской Федерации от 09.06.1995 №578 (далее – Правила охраны линий и сооружений связи в РФ), для линий и сооружений связи и линий и сооружений радиофикации устанавливаются следующие охранные зоны:</w:t>
      </w:r>
    </w:p>
    <w:p>
      <w:pPr>
        <w:pStyle w:val="ConsPlusNormal"/>
        <w:spacing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 для подземных кабельных и для воздушных линий связи и линий радиофикации, расположенных вне населенных пунктов на безлесных участках,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pPr>
        <w:pStyle w:val="ConsPlusNormal"/>
        <w:spacing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В соответствии с п.48, п. 49 Правил охраны линий и сооружений связи в РФ, установлены следующие ограничения использования объектов недвижимости в границах охранных зон. На территории охранной зоны запрещается производить всякого рода действия, которые могут нарушить нормальную работу линий связи и линий радиофикации, а также совершать иные действия, которые могут причинить повреждения сооружениям связи. </w:t>
      </w:r>
    </w:p>
    <w:p>
      <w:pPr>
        <w:pStyle w:val="ConsPlusNormal"/>
        <w:spacing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pPr>
        <w:pStyle w:val="ConsPlusNormal"/>
        <w:spacing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pPr>
        <w:pStyle w:val="ConsPlusNormal"/>
        <w:spacing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При предоставлении земель, расположенных в охранных зонах сооружений связи и радиофикации, под сельскохозяйственные угодья, огородные и садовые участки и в других сельскохозяйственных целях органами местного самоуправления при наличии согласия предприятий, в ведении которых находятся сооружения связи и радиофикации, в выдаваемых документах о правах на земельные участки в обязательном порядке делается отметка о наличии на участках зон с особыми условиями использования.</w:t>
      </w:r>
    </w:p>
    <w:p>
      <w:pPr>
        <w:pStyle w:val="ConsPlusNormal"/>
        <w:spacing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pPr>
        <w:pStyle w:val="Normal"/>
        <w:rPr>
          <w:rFonts w:ascii="Times New Roman" w:hAnsi="Times New Roman" w:cs="Times New Roman"/>
          <w:sz w:val="28"/>
          <w:szCs w:val="28"/>
          <w:lang w:eastAsia="ru-RU"/>
        </w:rPr>
      </w:pPr>
      <w:r>
        <w:rPr>
          <w:rFonts w:cs="Times New Roman" w:ascii="Times New Roman" w:hAnsi="Times New Roman"/>
          <w:sz w:val="28"/>
          <w:szCs w:val="28"/>
          <w:lang w:eastAsia="ru-RU"/>
        </w:rPr>
      </w:r>
      <w:r>
        <w:br w:type="page"/>
      </w:r>
    </w:p>
    <w:p>
      <w:pPr>
        <w:pStyle w:val="2"/>
        <w:keepNext w:val="false"/>
        <w:keepLines w:val="false"/>
        <w:widowControl w:val="false"/>
        <w:numPr>
          <w:ilvl w:val="1"/>
          <w:numId w:val="46"/>
        </w:numPr>
        <w:suppressAutoHyphens w:val="true"/>
        <w:spacing w:lineRule="auto" w:line="240" w:before="0" w:after="160"/>
        <w:ind w:left="0" w:hanging="0"/>
        <w:jc w:val="center"/>
        <w:rPr>
          <w:rFonts w:ascii="Times New Roman" w:hAnsi="Times New Roman" w:cs="Times New Roman"/>
          <w:b/>
          <w:color w:val="auto"/>
          <w:sz w:val="28"/>
          <w:szCs w:val="28"/>
          <w:lang w:eastAsia="ru-RU"/>
        </w:rPr>
      </w:pPr>
      <w:bookmarkStart w:id="170" w:name="_Toc147740065"/>
      <w:r>
        <w:rPr>
          <w:rFonts w:cs="Times New Roman" w:ascii="Times New Roman" w:hAnsi="Times New Roman"/>
          <w:b/>
          <w:color w:val="auto"/>
          <w:sz w:val="28"/>
          <w:szCs w:val="28"/>
          <w:lang w:eastAsia="ru-RU"/>
        </w:rPr>
        <w:t>Зона ограничений передающего радиотехнического объекта, являющегося объектом капитального строительства</w:t>
      </w:r>
      <w:bookmarkEnd w:id="170"/>
    </w:p>
    <w:p>
      <w:pPr>
        <w:pStyle w:val="ListParagraph"/>
        <w:spacing w:lineRule="auto" w:line="240" w:before="0" w:after="0"/>
        <w:ind w:left="0" w:firstLine="709"/>
        <w:contextualSpacing w:val="false"/>
        <w:jc w:val="both"/>
        <w:rPr>
          <w:rFonts w:ascii="Times New Roman" w:hAnsi="Times New Roman" w:cs="Times New Roman"/>
          <w:sz w:val="28"/>
          <w:szCs w:val="28"/>
        </w:rPr>
      </w:pPr>
      <w:r>
        <w:rPr>
          <w:rFonts w:cs="Times New Roman" w:ascii="Times New Roman" w:hAnsi="Times New Roman"/>
          <w:sz w:val="28"/>
          <w:szCs w:val="28"/>
        </w:rPr>
        <w:t xml:space="preserve">На территории поселения расположена базовая станция сотовой и радиотелефонной связи. Размещение базовой станции соответствует </w:t>
      </w:r>
      <w:r>
        <w:rPr>
          <w:rFonts w:eastAsia="Times New Roman" w:cs="Times New Roman" w:ascii="Times New Roman" w:hAnsi="Times New Roman"/>
          <w:sz w:val="28"/>
          <w:szCs w:val="28"/>
          <w:lang w:eastAsia="ru-RU"/>
        </w:rPr>
        <w:t>государственным санитарно-эпидемиологическим правилам и нормативам: СанПиН 2.1.8/2.2.4.1383-03, СанПиН 2.1.8/2.2.1190-03 «Гигиенические требования к размещению и эксплуатации средств сухопутной подвижной радиосвязи», утвержденным Главным государственным санитарным врачом РФ 30.01.2003 (далее - СанПиН 2.1.8/2.2.1190-03).</w:t>
      </w:r>
    </w:p>
    <w:p>
      <w:pPr>
        <w:pStyle w:val="ListParagraph"/>
        <w:spacing w:lineRule="auto" w:line="240" w:before="0" w:after="0"/>
        <w:ind w:left="0" w:firstLine="709"/>
        <w:contextualSpacing w:val="false"/>
        <w:jc w:val="both"/>
        <w:rPr>
          <w:rFonts w:ascii="Times New Roman" w:hAnsi="Times New Roman" w:cs="Times New Roman"/>
          <w:sz w:val="28"/>
          <w:szCs w:val="28"/>
        </w:rPr>
      </w:pPr>
      <w:r>
        <w:rPr>
          <w:rFonts w:cs="Times New Roman" w:ascii="Times New Roman" w:hAnsi="Times New Roman"/>
          <w:sz w:val="28"/>
          <w:szCs w:val="28"/>
        </w:rPr>
      </w:r>
    </w:p>
    <w:p>
      <w:pPr>
        <w:pStyle w:val="ListParagraph"/>
        <w:spacing w:lineRule="auto" w:line="240" w:before="0" w:after="0"/>
        <w:ind w:left="0" w:firstLine="709"/>
        <w:contextualSpacing w:val="false"/>
        <w:jc w:val="right"/>
        <w:rPr>
          <w:rFonts w:ascii="Times New Roman" w:hAnsi="Times New Roman" w:cs="Times New Roman"/>
          <w:sz w:val="28"/>
          <w:szCs w:val="28"/>
        </w:rPr>
      </w:pPr>
      <w:r>
        <w:rPr>
          <w:rFonts w:cs="Times New Roman" w:ascii="Times New Roman" w:hAnsi="Times New Roman"/>
          <w:sz w:val="28"/>
          <w:szCs w:val="28"/>
        </w:rPr>
        <w:t>Таблица 6.7.1.</w:t>
      </w:r>
    </w:p>
    <w:p>
      <w:pPr>
        <w:pStyle w:val="ListParagraph"/>
        <w:spacing w:lineRule="auto" w:line="240" w:before="0" w:after="0"/>
        <w:ind w:left="0" w:firstLine="709"/>
        <w:contextualSpacing w:val="false"/>
        <w:jc w:val="center"/>
        <w:rPr>
          <w:rFonts w:ascii="Times New Roman" w:hAnsi="Times New Roman" w:cs="Times New Roman"/>
          <w:sz w:val="28"/>
          <w:szCs w:val="28"/>
          <w:shd w:fill="FFFFFF" w:val="clear"/>
        </w:rPr>
      </w:pPr>
      <w:r>
        <w:rPr>
          <w:rFonts w:cs="Times New Roman" w:ascii="Times New Roman" w:hAnsi="Times New Roman"/>
          <w:sz w:val="28"/>
          <w:szCs w:val="28"/>
          <w:shd w:fill="FFFFFF" w:val="clear"/>
        </w:rPr>
        <w:t>Информация о базовых станциях и их санитарно-эпидемиологических заключениях</w:t>
      </w:r>
    </w:p>
    <w:tbl>
      <w:tblPr>
        <w:tblStyle w:val="27"/>
        <w:tblpPr w:bottomFromText="0" w:horzAnchor="text" w:leftFromText="181" w:rightFromText="181" w:tblpX="0" w:tblpY="1" w:topFromText="0" w:vertAnchor="text"/>
        <w:tblW w:w="5000" w:type="pct"/>
        <w:jc w:val="left"/>
        <w:tblInd w:w="-5" w:type="dxa"/>
        <w:tblLayout w:type="fixed"/>
        <w:tblCellMar>
          <w:top w:w="0" w:type="dxa"/>
          <w:left w:w="108" w:type="dxa"/>
          <w:bottom w:w="0" w:type="dxa"/>
          <w:right w:w="108" w:type="dxa"/>
        </w:tblCellMar>
        <w:tblLook w:noVBand="1" w:val="04a0" w:noHBand="0" w:lastColumn="0" w:firstColumn="1" w:lastRow="0" w:firstRow="1"/>
      </w:tblPr>
      <w:tblGrid>
        <w:gridCol w:w="556"/>
        <w:gridCol w:w="2825"/>
        <w:gridCol w:w="3711"/>
        <w:gridCol w:w="2828"/>
      </w:tblGrid>
      <w:tr>
        <w:trPr/>
        <w:tc>
          <w:tcPr>
            <w:tcW w:w="556" w:type="dxa"/>
            <w:tcBorders/>
          </w:tcPr>
          <w:p>
            <w:pPr>
              <w:pStyle w:val="Normal"/>
              <w:widowControl/>
              <w:suppressAutoHyphens w:val="true"/>
              <w:spacing w:lineRule="auto" w:line="240" w:before="0" w:after="0"/>
              <w:jc w:val="center"/>
              <w:rPr>
                <w:rFonts w:ascii="Times New Roman" w:hAnsi="Times New Roman" w:cs="Times New Roman"/>
                <w:sz w:val="20"/>
                <w:szCs w:val="20"/>
                <w:lang w:val="en-US"/>
              </w:rPr>
            </w:pPr>
            <w:r>
              <w:rPr>
                <w:rFonts w:eastAsia="Calibri" w:cs="Times New Roman" w:ascii="Times New Roman" w:hAnsi="Times New Roman"/>
                <w:kern w:val="0"/>
                <w:sz w:val="20"/>
                <w:szCs w:val="20"/>
                <w:lang w:val="ru-RU" w:eastAsia="en-US" w:bidi="ar-SA"/>
              </w:rPr>
              <w:t xml:space="preserve">№ </w:t>
            </w:r>
            <w:r>
              <w:rPr>
                <w:rFonts w:eastAsia="Calibri" w:cs="Times New Roman" w:ascii="Times New Roman" w:hAnsi="Times New Roman"/>
                <w:kern w:val="0"/>
                <w:sz w:val="20"/>
                <w:szCs w:val="20"/>
                <w:lang w:val="ru-RU" w:eastAsia="en-US" w:bidi="ar-SA"/>
              </w:rPr>
              <w:t>п.п.</w:t>
            </w:r>
          </w:p>
        </w:tc>
        <w:tc>
          <w:tcPr>
            <w:tcW w:w="2825" w:type="dxa"/>
            <w:tcBorders/>
          </w:tcPr>
          <w:p>
            <w:pPr>
              <w:pStyle w:val="Normal"/>
              <w:widowControl/>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 xml:space="preserve">Населенный пункт, </w:t>
            </w:r>
          </w:p>
          <w:p>
            <w:pPr>
              <w:pStyle w:val="Normal"/>
              <w:widowControl/>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адрес</w:t>
            </w:r>
          </w:p>
        </w:tc>
        <w:tc>
          <w:tcPr>
            <w:tcW w:w="3711" w:type="dxa"/>
            <w:tcBorders/>
          </w:tcPr>
          <w:p>
            <w:pPr>
              <w:pStyle w:val="Normal"/>
              <w:widowControl/>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Номер базовой станции сотовой радиотелефонной связи</w:t>
            </w:r>
          </w:p>
        </w:tc>
        <w:tc>
          <w:tcPr>
            <w:tcW w:w="2828" w:type="dxa"/>
            <w:tcBorders/>
          </w:tcPr>
          <w:p>
            <w:pPr>
              <w:pStyle w:val="Normal"/>
              <w:widowControl/>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 xml:space="preserve">№ </w:t>
            </w:r>
            <w:r>
              <w:rPr>
                <w:rFonts w:eastAsia="Calibri" w:cs="Times New Roman" w:ascii="Times New Roman" w:hAnsi="Times New Roman"/>
                <w:kern w:val="0"/>
                <w:sz w:val="20"/>
                <w:szCs w:val="20"/>
                <w:lang w:val="ru-RU" w:eastAsia="en-US" w:bidi="ar-SA"/>
              </w:rPr>
              <w:t>санитарно-эпидемиологического заключения</w:t>
            </w:r>
          </w:p>
        </w:tc>
      </w:tr>
      <w:tr>
        <w:trPr/>
        <w:tc>
          <w:tcPr>
            <w:tcW w:w="556" w:type="dxa"/>
            <w:tcBorders/>
          </w:tcPr>
          <w:p>
            <w:pPr>
              <w:pStyle w:val="Normal"/>
              <w:widowControl/>
              <w:suppressAutoHyphens w:val="true"/>
              <w:spacing w:lineRule="auto" w:line="240" w:before="0" w:after="0"/>
              <w:jc w:val="left"/>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1</w:t>
            </w:r>
          </w:p>
        </w:tc>
        <w:tc>
          <w:tcPr>
            <w:tcW w:w="2825" w:type="dxa"/>
            <w:tcBorders/>
          </w:tcPr>
          <w:p>
            <w:pPr>
              <w:pStyle w:val="Normal"/>
              <w:widowControl/>
              <w:suppressAutoHyphens w:val="true"/>
              <w:spacing w:lineRule="auto" w:line="240" w:before="0" w:after="0"/>
              <w:jc w:val="left"/>
              <w:rPr>
                <w:rFonts w:ascii="Times New Roman" w:hAnsi="Times New Roman" w:cs="Times New Roman"/>
                <w:sz w:val="20"/>
                <w:szCs w:val="20"/>
                <w:highlight w:val="yellow"/>
              </w:rPr>
            </w:pPr>
            <w:r>
              <w:rPr>
                <w:rFonts w:eastAsia="Calibri" w:cs="Times New Roman" w:ascii="Times New Roman" w:hAnsi="Times New Roman"/>
                <w:kern w:val="0"/>
                <w:sz w:val="22"/>
                <w:szCs w:val="22"/>
                <w:lang w:val="ru-RU" w:eastAsia="en-US" w:bidi="ar-SA"/>
              </w:rPr>
              <w:t>Республика Татарстан, Верхнеуслонский район, с. Ташевка</w:t>
            </w:r>
          </w:p>
        </w:tc>
        <w:tc>
          <w:tcPr>
            <w:tcW w:w="3711" w:type="dxa"/>
            <w:tcBorders/>
          </w:tcPr>
          <w:p>
            <w:pPr>
              <w:pStyle w:val="Normal"/>
              <w:widowControl/>
              <w:suppressAutoHyphens w:val="true"/>
              <w:spacing w:lineRule="auto" w:line="240" w:before="0" w:after="0"/>
              <w:jc w:val="left"/>
              <w:rPr>
                <w:rFonts w:ascii="Times New Roman" w:hAnsi="Times New Roman" w:cs="Times New Roman"/>
                <w:sz w:val="20"/>
                <w:szCs w:val="20"/>
                <w:highlight w:val="yellow"/>
              </w:rPr>
            </w:pPr>
            <w:r>
              <w:rPr>
                <w:rFonts w:eastAsia="Calibri" w:cs="Times New Roman" w:ascii="Times New Roman" w:hAnsi="Times New Roman"/>
                <w:kern w:val="0"/>
                <w:sz w:val="22"/>
                <w:szCs w:val="22"/>
                <w:lang w:val="ru-RU" w:eastAsia="en-US" w:bidi="ar-SA"/>
              </w:rPr>
              <w:t>БС № 54331 "ТатР-Ташевка" стандартов GSM-900, LTE-1800, UMTS-2100, LTE-2100</w:t>
            </w:r>
          </w:p>
        </w:tc>
        <w:tc>
          <w:tcPr>
            <w:tcW w:w="2828" w:type="dxa"/>
            <w:tcBorders/>
          </w:tcPr>
          <w:p>
            <w:pPr>
              <w:pStyle w:val="Normal"/>
              <w:widowControl/>
              <w:suppressAutoHyphens w:val="true"/>
              <w:spacing w:lineRule="auto" w:line="240" w:before="0" w:after="0"/>
              <w:jc w:val="left"/>
              <w:rPr>
                <w:rFonts w:ascii="Times New Roman" w:hAnsi="Times New Roman" w:cs="Times New Roman"/>
                <w:bCs/>
                <w:sz w:val="20"/>
                <w:szCs w:val="20"/>
                <w:highlight w:val="yellow"/>
                <w:shd w:fill="FFFFFF" w:val="clear"/>
              </w:rPr>
            </w:pPr>
            <w:r>
              <w:rPr>
                <w:rFonts w:eastAsia="Calibri" w:cs="Times New Roman" w:ascii="Times New Roman" w:hAnsi="Times New Roman"/>
                <w:kern w:val="0"/>
                <w:sz w:val="22"/>
                <w:szCs w:val="22"/>
                <w:lang w:val="ru-RU" w:eastAsia="en-US" w:bidi="ar-SA"/>
              </w:rPr>
              <w:t>16.11.10.000.Т.002755.10.22 от 03.10.2022</w:t>
            </w:r>
          </w:p>
        </w:tc>
      </w:tr>
      <w:tr>
        <w:trPr/>
        <w:tc>
          <w:tcPr>
            <w:tcW w:w="556" w:type="dxa"/>
            <w:tcBorders/>
          </w:tcPr>
          <w:p>
            <w:pPr>
              <w:pStyle w:val="Normal"/>
              <w:widowControl/>
              <w:suppressAutoHyphens w:val="true"/>
              <w:spacing w:lineRule="auto" w:line="240" w:before="0" w:after="0"/>
              <w:jc w:val="left"/>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2</w:t>
            </w:r>
          </w:p>
        </w:tc>
        <w:tc>
          <w:tcPr>
            <w:tcW w:w="2825" w:type="dxa"/>
            <w:tcBorders/>
          </w:tcPr>
          <w:p>
            <w:pPr>
              <w:pStyle w:val="Normal"/>
              <w:widowControl/>
              <w:suppressAutoHyphens w:val="true"/>
              <w:spacing w:lineRule="auto" w:line="240" w:before="0" w:after="0"/>
              <w:jc w:val="left"/>
              <w:rPr>
                <w:rFonts w:ascii="Times New Roman" w:hAnsi="Times New Roman" w:cs="Times New Roman"/>
              </w:rPr>
            </w:pPr>
            <w:r>
              <w:rPr>
                <w:rFonts w:eastAsia="Calibri" w:cs="Times New Roman" w:ascii="Times New Roman" w:hAnsi="Times New Roman"/>
                <w:bCs/>
                <w:kern w:val="0"/>
                <w:sz w:val="22"/>
                <w:szCs w:val="22"/>
                <w:shd w:fill="FFFFFF" w:val="clear"/>
                <w:lang w:val="ru-RU" w:eastAsia="en-US" w:bidi="ar-SA"/>
              </w:rPr>
              <w:t>Республика Татарстан, Верхнеуслонский район, с. Ташевка, ЖБ опора ООО "Сотка Высоток"</w:t>
            </w:r>
          </w:p>
        </w:tc>
        <w:tc>
          <w:tcPr>
            <w:tcW w:w="3711" w:type="dxa"/>
            <w:tcBorders/>
          </w:tcPr>
          <w:p>
            <w:pPr>
              <w:pStyle w:val="Normal"/>
              <w:widowControl/>
              <w:suppressAutoHyphens w:val="true"/>
              <w:spacing w:lineRule="auto" w:line="240" w:before="0" w:after="0"/>
              <w:jc w:val="left"/>
              <w:rPr>
                <w:rFonts w:ascii="Times New Roman" w:hAnsi="Times New Roman" w:cs="Times New Roman"/>
              </w:rPr>
            </w:pPr>
            <w:r>
              <w:rPr>
                <w:rFonts w:eastAsia="Calibri" w:cs="Times New Roman" w:ascii="Times New Roman" w:hAnsi="Times New Roman"/>
                <w:bCs/>
                <w:kern w:val="0"/>
                <w:sz w:val="22"/>
                <w:szCs w:val="22"/>
                <w:shd w:fill="FFFFFF" w:val="clear"/>
                <w:lang w:val="ru-RU" w:eastAsia="en-US" w:bidi="ar-SA"/>
              </w:rPr>
              <w:t>БС №54331 "ТатР-Ташевка"стандарта GSM900/UMTS2100/LTE1800</w:t>
            </w:r>
          </w:p>
        </w:tc>
        <w:tc>
          <w:tcPr>
            <w:tcW w:w="2828" w:type="dxa"/>
            <w:tcBorders/>
          </w:tcPr>
          <w:p>
            <w:pPr>
              <w:pStyle w:val="Normal"/>
              <w:widowControl/>
              <w:suppressAutoHyphens w:val="true"/>
              <w:spacing w:lineRule="auto" w:line="240" w:before="0" w:after="0"/>
              <w:jc w:val="left"/>
              <w:rPr>
                <w:rFonts w:ascii="Times New Roman" w:hAnsi="Times New Roman" w:cs="Times New Roman"/>
              </w:rPr>
            </w:pPr>
            <w:r>
              <w:rPr>
                <w:rFonts w:eastAsia="Calibri" w:cs="Times New Roman" w:ascii="Times New Roman" w:hAnsi="Times New Roman"/>
                <w:bCs/>
                <w:kern w:val="0"/>
                <w:sz w:val="22"/>
                <w:szCs w:val="22"/>
                <w:shd w:fill="FFFFFF" w:val="clear"/>
                <w:lang w:val="ru-RU" w:eastAsia="en-US" w:bidi="ar-SA"/>
              </w:rPr>
              <w:t>16.11.10.000.Т.001681.08.20 от 17.08.2020</w:t>
            </w:r>
          </w:p>
        </w:tc>
      </w:tr>
      <w:tr>
        <w:trPr/>
        <w:tc>
          <w:tcPr>
            <w:tcW w:w="556" w:type="dxa"/>
            <w:tcBorders/>
          </w:tcPr>
          <w:p>
            <w:pPr>
              <w:pStyle w:val="Normal"/>
              <w:widowControl/>
              <w:suppressAutoHyphens w:val="true"/>
              <w:spacing w:lineRule="auto" w:line="240" w:before="0" w:after="0"/>
              <w:jc w:val="left"/>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3</w:t>
            </w:r>
          </w:p>
        </w:tc>
        <w:tc>
          <w:tcPr>
            <w:tcW w:w="2825" w:type="dxa"/>
            <w:tcBorders/>
          </w:tcPr>
          <w:p>
            <w:pPr>
              <w:pStyle w:val="Normal"/>
              <w:widowControl/>
              <w:suppressAutoHyphens w:val="true"/>
              <w:spacing w:lineRule="auto" w:line="240" w:before="0" w:after="0"/>
              <w:jc w:val="left"/>
              <w:rPr>
                <w:rFonts w:ascii="Times New Roman" w:hAnsi="Times New Roman" w:cs="Times New Roman"/>
              </w:rPr>
            </w:pPr>
            <w:r>
              <w:rPr>
                <w:rFonts w:eastAsia="Calibri" w:cs="Times New Roman" w:ascii="Times New Roman" w:hAnsi="Times New Roman"/>
                <w:bCs/>
                <w:kern w:val="0"/>
                <w:sz w:val="22"/>
                <w:szCs w:val="22"/>
                <w:shd w:fill="FFFFFF" w:val="clear"/>
                <w:lang w:val="ru-RU" w:eastAsia="en-US" w:bidi="ar-SA"/>
              </w:rPr>
              <w:t>Республика Татарстан, Верхнеуслонский район, с. Ташевка, на столбе СК-26 ООО "МИГ"</w:t>
            </w:r>
          </w:p>
        </w:tc>
        <w:tc>
          <w:tcPr>
            <w:tcW w:w="3711" w:type="dxa"/>
            <w:tcBorders/>
          </w:tcPr>
          <w:p>
            <w:pPr>
              <w:pStyle w:val="Normal"/>
              <w:widowControl/>
              <w:suppressAutoHyphens w:val="true"/>
              <w:spacing w:lineRule="auto" w:line="240" w:before="0" w:after="0"/>
              <w:jc w:val="left"/>
              <w:rPr>
                <w:rFonts w:ascii="Times New Roman" w:hAnsi="Times New Roman" w:cs="Times New Roman"/>
              </w:rPr>
            </w:pPr>
            <w:r>
              <w:rPr>
                <w:rFonts w:eastAsia="Calibri" w:cs="Times New Roman" w:ascii="Times New Roman" w:hAnsi="Times New Roman"/>
                <w:bCs/>
                <w:kern w:val="0"/>
                <w:sz w:val="22"/>
                <w:szCs w:val="22"/>
                <w:shd w:fill="FFFFFF" w:val="clear"/>
                <w:lang w:val="ru-RU" w:eastAsia="en-US" w:bidi="ar-SA"/>
              </w:rPr>
              <w:t>БС №54331 "ТатР-Ташевка" стандарта 900-GSM/2100-UMTS</w:t>
            </w:r>
          </w:p>
        </w:tc>
        <w:tc>
          <w:tcPr>
            <w:tcW w:w="2828" w:type="dxa"/>
            <w:tcBorders/>
          </w:tcPr>
          <w:p>
            <w:pPr>
              <w:pStyle w:val="Normal"/>
              <w:widowControl/>
              <w:suppressAutoHyphens w:val="true"/>
              <w:spacing w:lineRule="auto" w:line="240" w:before="0" w:after="0"/>
              <w:jc w:val="left"/>
              <w:rPr>
                <w:rFonts w:ascii="Times New Roman" w:hAnsi="Times New Roman" w:cs="Times New Roman"/>
              </w:rPr>
            </w:pPr>
            <w:r>
              <w:rPr>
                <w:rFonts w:eastAsia="Calibri" w:cs="Times New Roman" w:ascii="Times New Roman" w:hAnsi="Times New Roman"/>
                <w:bCs/>
                <w:kern w:val="0"/>
                <w:sz w:val="22"/>
                <w:szCs w:val="22"/>
                <w:shd w:fill="FFFFFF" w:val="clear"/>
                <w:lang w:val="ru-RU" w:eastAsia="en-US" w:bidi="ar-SA"/>
              </w:rPr>
              <w:t>16.11.10.000.Т.002361.10.18 от 04.10.2018</w:t>
            </w:r>
          </w:p>
        </w:tc>
      </w:tr>
    </w:tbl>
    <w:p>
      <w:pPr>
        <w:pStyle w:val="Normal"/>
        <w:spacing w:lineRule="auto" w:line="240" w:before="0" w:after="0"/>
        <w:jc w:val="both"/>
        <w:rPr>
          <w:rFonts w:ascii="Times New Roman" w:hAnsi="Times New Roman" w:cs="Times New Roman"/>
          <w:sz w:val="28"/>
          <w:szCs w:val="28"/>
          <w:lang w:eastAsia="ru-RU"/>
        </w:rPr>
      </w:pPr>
      <w:r>
        <w:rPr>
          <w:rFonts w:cs="Times New Roman" w:ascii="Times New Roman" w:hAnsi="Times New Roman"/>
          <w:sz w:val="28"/>
          <w:szCs w:val="28"/>
          <w:lang w:eastAsia="ru-RU"/>
        </w:rPr>
      </w:r>
    </w:p>
    <w:p>
      <w:pPr>
        <w:pStyle w:val="2"/>
        <w:keepNext w:val="false"/>
        <w:keepLines w:val="false"/>
        <w:widowControl w:val="false"/>
        <w:numPr>
          <w:ilvl w:val="1"/>
          <w:numId w:val="46"/>
        </w:numPr>
        <w:suppressAutoHyphens w:val="true"/>
        <w:spacing w:lineRule="auto" w:line="240" w:before="0" w:after="160"/>
        <w:ind w:left="0" w:hanging="0"/>
        <w:jc w:val="center"/>
        <w:rPr>
          <w:rFonts w:ascii="Times New Roman" w:hAnsi="Times New Roman" w:cs="Times New Roman"/>
          <w:b/>
          <w:color w:val="auto"/>
          <w:sz w:val="28"/>
          <w:szCs w:val="28"/>
          <w:lang w:eastAsia="ru-RU"/>
        </w:rPr>
      </w:pPr>
      <w:bookmarkStart w:id="171" w:name="_Toc147740066"/>
      <w:r>
        <w:rPr>
          <w:rFonts w:cs="Times New Roman" w:ascii="Times New Roman" w:hAnsi="Times New Roman"/>
          <w:b/>
          <w:color w:val="auto"/>
          <w:sz w:val="28"/>
          <w:szCs w:val="28"/>
          <w:lang w:eastAsia="ru-RU"/>
        </w:rPr>
        <w:t>Охранная зона тепловых сетей</w:t>
      </w:r>
      <w:bookmarkEnd w:id="171"/>
    </w:p>
    <w:p>
      <w:pPr>
        <w:pStyle w:val="Normal"/>
        <w:widowControl w:val="false"/>
        <w:suppressAutoHyphens w:val="true"/>
        <w:spacing w:lineRule="auto" w:line="240" w:before="0" w:after="0"/>
        <w:ind w:firstLine="709"/>
        <w:jc w:val="both"/>
        <w:rPr>
          <w:rFonts w:ascii="Times New Roman" w:hAnsi="Times New Roman" w:cs="Times New Roman"/>
          <w:sz w:val="28"/>
          <w:szCs w:val="28"/>
          <w:lang w:eastAsia="ru-RU"/>
        </w:rPr>
      </w:pPr>
      <w:r>
        <w:rPr>
          <w:rFonts w:cs="Times New Roman" w:ascii="Times New Roman" w:hAnsi="Times New Roman"/>
          <w:sz w:val="28"/>
          <w:szCs w:val="28"/>
          <w:lang w:eastAsia="ru-RU"/>
        </w:rPr>
        <w:t xml:space="preserve">На территории поселения уличные тепловые сети отсутствуют. </w:t>
      </w:r>
    </w:p>
    <w:p>
      <w:pPr>
        <w:pStyle w:val="Normal"/>
        <w:widowControl w:val="false"/>
        <w:suppressAutoHyphens w:val="true"/>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Согласно Типовым правилам охраны коммунальных тепловых сетей, утвержденным приказом Минстроя РФ от 17.08.1992 №197 (далее – Типовые правила охраны коммунальных тепловых сетей), 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w:t>
      </w:r>
    </w:p>
    <w:p>
      <w:pPr>
        <w:pStyle w:val="Normal"/>
        <w:widowControl w:val="false"/>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lang w:eastAsia="ru-RU"/>
        </w:rPr>
        <w:t>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 в соответствии с требованиями «</w:t>
      </w:r>
      <w:r>
        <w:rPr>
          <w:rFonts w:cs="Times New Roman" w:ascii="Times New Roman" w:hAnsi="Times New Roman"/>
          <w:sz w:val="28"/>
          <w:szCs w:val="28"/>
        </w:rPr>
        <w:t>СП 124.13330.2012. Свод правил. Тепловые сети. Актуализированная редакция СНиП 41-02-2003», утвержденного Приказом Минрегиона России от 30.06.2012 № 280 (далее - СП 124.13330.2012).</w:t>
      </w:r>
    </w:p>
    <w:p>
      <w:pPr>
        <w:pStyle w:val="Normal"/>
        <w:widowControl w:val="false"/>
        <w:spacing w:lineRule="auto" w:line="240" w:before="0" w:after="0"/>
        <w:ind w:firstLine="709"/>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 xml:space="preserve">Регламент использования охранных зон </w:t>
      </w:r>
      <w:r>
        <w:rPr>
          <w:rFonts w:eastAsia="Times New Roman" w:cs="Times New Roman" w:ascii="Times New Roman" w:hAnsi="Times New Roman"/>
          <w:sz w:val="28"/>
          <w:szCs w:val="28"/>
          <w:shd w:fill="FFFFFF" w:val="clear"/>
          <w:lang w:eastAsia="ru-RU"/>
        </w:rPr>
        <w:t>тепловых сетей</w:t>
      </w:r>
      <w:r>
        <w:rPr>
          <w:rFonts w:cs="Times New Roman" w:ascii="Times New Roman" w:hAnsi="Times New Roman"/>
          <w:sz w:val="28"/>
          <w:szCs w:val="28"/>
          <w:lang w:eastAsia="ru-RU"/>
        </w:rPr>
        <w:t xml:space="preserve"> представлен в таблицах 6.8.1.</w:t>
      </w:r>
    </w:p>
    <w:p>
      <w:pPr>
        <w:pStyle w:val="Normal"/>
        <w:spacing w:lineRule="auto" w:line="240" w:before="0" w:after="0"/>
        <w:ind w:firstLine="709"/>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Таблица 6.8.1</w:t>
      </w:r>
    </w:p>
    <w:p>
      <w:pPr>
        <w:pStyle w:val="Normal"/>
        <w:spacing w:lineRule="auto" w:line="240"/>
        <w:ind w:firstLine="709"/>
        <w:jc w:val="center"/>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Регламенты использования </w:t>
      </w:r>
      <w:r>
        <w:rPr>
          <w:rFonts w:eastAsia="Times New Roman" w:cs="Times New Roman" w:ascii="Times New Roman" w:hAnsi="Times New Roman"/>
          <w:spacing w:val="2"/>
          <w:sz w:val="28"/>
          <w:szCs w:val="28"/>
          <w:shd w:fill="FFFFFF" w:val="clear"/>
          <w:lang w:eastAsia="ru-RU"/>
        </w:rPr>
        <w:t xml:space="preserve">охранных зон </w:t>
      </w:r>
      <w:r>
        <w:rPr>
          <w:rFonts w:eastAsia="Times New Roman" w:cs="Times New Roman" w:ascii="Times New Roman" w:hAnsi="Times New Roman"/>
          <w:sz w:val="28"/>
          <w:szCs w:val="28"/>
          <w:shd w:fill="FFFFFF" w:val="clear"/>
          <w:lang w:eastAsia="ru-RU"/>
        </w:rPr>
        <w:t>тепловых сетей</w:t>
      </w:r>
    </w:p>
    <w:tbl>
      <w:tblPr>
        <w:tblStyle w:val="17"/>
        <w:tblW w:w="4900" w:type="pct"/>
        <w:jc w:val="center"/>
        <w:tblInd w:w="0" w:type="dxa"/>
        <w:tblLayout w:type="fixed"/>
        <w:tblCellMar>
          <w:top w:w="0" w:type="dxa"/>
          <w:left w:w="108" w:type="dxa"/>
          <w:bottom w:w="0" w:type="dxa"/>
          <w:right w:w="108" w:type="dxa"/>
        </w:tblCellMar>
        <w:tblLook w:noVBand="1" w:val="04a0" w:noHBand="0" w:lastColumn="0" w:firstColumn="1" w:lastRow="0" w:firstRow="1"/>
      </w:tblPr>
      <w:tblGrid>
        <w:gridCol w:w="1790"/>
        <w:gridCol w:w="5254"/>
        <w:gridCol w:w="2678"/>
      </w:tblGrid>
      <w:tr>
        <w:trPr/>
        <w:tc>
          <w:tcPr>
            <w:tcW w:w="1790"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Наименование охранной зоны</w:t>
            </w:r>
          </w:p>
        </w:tc>
        <w:tc>
          <w:tcPr>
            <w:tcW w:w="5254"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Правовой режим использования охранной зоны</w:t>
            </w:r>
          </w:p>
        </w:tc>
        <w:tc>
          <w:tcPr>
            <w:tcW w:w="2678"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Обоснование</w:t>
            </w:r>
          </w:p>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(нормативные документы)</w:t>
            </w:r>
          </w:p>
        </w:tc>
      </w:tr>
      <w:tr>
        <w:trPr/>
        <w:tc>
          <w:tcPr>
            <w:tcW w:w="1790" w:type="dxa"/>
            <w:tcBorders/>
            <w:vAlign w:val="center"/>
          </w:tcPr>
          <w:p>
            <w:pPr>
              <w:pStyle w:val="Normal"/>
              <w:widowControl/>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Охранные зоны</w:t>
            </w:r>
          </w:p>
        </w:tc>
        <w:tc>
          <w:tcPr>
            <w:tcW w:w="5254" w:type="dxa"/>
            <w:tcBorders/>
            <w:vAlign w:val="center"/>
          </w:tcPr>
          <w:p>
            <w:pPr>
              <w:pStyle w:val="Normal"/>
              <w:widowControl w:val="false"/>
              <w:spacing w:lineRule="auto" w:line="240" w:before="0" w:after="0"/>
              <w:jc w:val="center"/>
              <w:rPr>
                <w:rFonts w:ascii="Times New Roman" w:hAnsi="Times New Roman" w:cs="Times New Roman"/>
                <w:sz w:val="20"/>
                <w:szCs w:val="20"/>
                <w:lang w:eastAsia="ru-RU"/>
              </w:rPr>
            </w:pPr>
            <w:r>
              <w:rPr>
                <w:rFonts w:eastAsia="Calibri" w:cs="Times New Roman" w:ascii="Times New Roman" w:hAnsi="Times New Roman"/>
                <w:kern w:val="0"/>
                <w:sz w:val="20"/>
                <w:szCs w:val="20"/>
                <w:lang w:val="ru-RU" w:eastAsia="ru-RU" w:bidi="ar-SA"/>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pPr>
              <w:pStyle w:val="Normal"/>
              <w:widowControl w:val="false"/>
              <w:spacing w:lineRule="auto" w:line="240" w:before="0" w:after="0"/>
              <w:jc w:val="center"/>
              <w:rPr>
                <w:rFonts w:ascii="Times New Roman" w:hAnsi="Times New Roman" w:cs="Times New Roman"/>
                <w:sz w:val="20"/>
                <w:szCs w:val="20"/>
                <w:lang w:eastAsia="ru-RU"/>
              </w:rPr>
            </w:pPr>
            <w:r>
              <w:rPr>
                <w:rFonts w:eastAsia="Calibri" w:cs="Times New Roman" w:ascii="Times New Roman" w:hAnsi="Times New Roman"/>
                <w:kern w:val="0"/>
                <w:sz w:val="20"/>
                <w:szCs w:val="20"/>
                <w:lang w:val="ru-RU" w:eastAsia="ru-RU" w:bidi="ar-SA"/>
              </w:rPr>
              <w:t>-размещать автозаправочные станции, хранилища горюче-смазочных материалов, складировать агрессивные химические материалы;</w:t>
            </w:r>
          </w:p>
          <w:p>
            <w:pPr>
              <w:pStyle w:val="Normal"/>
              <w:widowControl w:val="false"/>
              <w:spacing w:lineRule="auto" w:line="240" w:before="0" w:after="0"/>
              <w:jc w:val="center"/>
              <w:rPr>
                <w:rFonts w:ascii="Times New Roman" w:hAnsi="Times New Roman" w:cs="Times New Roman"/>
                <w:sz w:val="20"/>
                <w:szCs w:val="20"/>
                <w:lang w:eastAsia="ru-RU"/>
              </w:rPr>
            </w:pPr>
            <w:r>
              <w:rPr>
                <w:rFonts w:eastAsia="Calibri" w:cs="Times New Roman" w:ascii="Times New Roman" w:hAnsi="Times New Roman"/>
                <w:kern w:val="0"/>
                <w:sz w:val="20"/>
                <w:szCs w:val="20"/>
                <w:lang w:val="ru-RU" w:eastAsia="ru-RU" w:bidi="ar-SA"/>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pPr>
              <w:pStyle w:val="Normal"/>
              <w:widowControl w:val="false"/>
              <w:spacing w:lineRule="auto" w:line="240" w:before="0" w:after="0"/>
              <w:jc w:val="center"/>
              <w:rPr>
                <w:rFonts w:ascii="Times New Roman" w:hAnsi="Times New Roman" w:cs="Times New Roman"/>
                <w:sz w:val="20"/>
                <w:szCs w:val="20"/>
                <w:lang w:eastAsia="ru-RU"/>
              </w:rPr>
            </w:pPr>
            <w:r>
              <w:rPr>
                <w:rFonts w:eastAsia="Calibri" w:cs="Times New Roman" w:ascii="Times New Roman" w:hAnsi="Times New Roman"/>
                <w:kern w:val="0"/>
                <w:sz w:val="20"/>
                <w:szCs w:val="20"/>
                <w:lang w:val="ru-RU" w:eastAsia="ru-RU" w:bidi="ar-SA"/>
              </w:rPr>
              <w:t>-страивать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pPr>
              <w:pStyle w:val="Normal"/>
              <w:widowControl w:val="false"/>
              <w:spacing w:lineRule="auto" w:line="240" w:before="0" w:after="0"/>
              <w:jc w:val="center"/>
              <w:rPr>
                <w:rFonts w:ascii="Times New Roman" w:hAnsi="Times New Roman" w:cs="Times New Roman"/>
                <w:sz w:val="20"/>
                <w:szCs w:val="20"/>
                <w:lang w:eastAsia="ru-RU"/>
              </w:rPr>
            </w:pPr>
            <w:r>
              <w:rPr>
                <w:rFonts w:eastAsia="Calibri" w:cs="Times New Roman" w:ascii="Times New Roman" w:hAnsi="Times New Roman"/>
                <w:kern w:val="0"/>
                <w:sz w:val="20"/>
                <w:szCs w:val="20"/>
                <w:lang w:val="ru-RU" w:eastAsia="ru-RU" w:bidi="ar-SA"/>
              </w:rPr>
              <w:t>-устраивать всякого рода свалки, разжигать костры, сжигать бытовой мусор или промышленные отходы;</w:t>
            </w:r>
          </w:p>
          <w:p>
            <w:pPr>
              <w:pStyle w:val="Normal"/>
              <w:widowControl w:val="false"/>
              <w:spacing w:lineRule="auto" w:line="240" w:before="0" w:after="0"/>
              <w:jc w:val="center"/>
              <w:rPr>
                <w:rFonts w:ascii="Times New Roman" w:hAnsi="Times New Roman" w:cs="Times New Roman"/>
                <w:sz w:val="20"/>
                <w:szCs w:val="20"/>
                <w:lang w:eastAsia="ru-RU"/>
              </w:rPr>
            </w:pPr>
            <w:r>
              <w:rPr>
                <w:rFonts w:eastAsia="Calibri" w:cs="Times New Roman" w:ascii="Times New Roman" w:hAnsi="Times New Roman"/>
                <w:kern w:val="0"/>
                <w:sz w:val="20"/>
                <w:szCs w:val="20"/>
                <w:lang w:val="ru-RU" w:eastAsia="ru-RU" w:bidi="ar-SA"/>
              </w:rPr>
              <w:t>производить работы ударными механизмами, производить сброс и слив едких и коррозионно-активных веществ и горюче-смазочных материалов;</w:t>
            </w:r>
          </w:p>
          <w:p>
            <w:pPr>
              <w:pStyle w:val="Normal"/>
              <w:widowControl w:val="false"/>
              <w:spacing w:lineRule="auto" w:line="240" w:before="0" w:after="0"/>
              <w:jc w:val="center"/>
              <w:rPr>
                <w:rFonts w:ascii="Times New Roman" w:hAnsi="Times New Roman" w:cs="Times New Roman"/>
                <w:sz w:val="20"/>
                <w:szCs w:val="20"/>
                <w:lang w:eastAsia="ru-RU"/>
              </w:rPr>
            </w:pPr>
            <w:r>
              <w:rPr>
                <w:rFonts w:eastAsia="Calibri" w:cs="Times New Roman" w:ascii="Times New Roman" w:hAnsi="Times New Roman"/>
                <w:kern w:val="0"/>
                <w:sz w:val="20"/>
                <w:szCs w:val="20"/>
                <w:lang w:val="ru-RU" w:eastAsia="ru-RU" w:bidi="ar-SA"/>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pPr>
              <w:pStyle w:val="Normal"/>
              <w:widowControl w:val="false"/>
              <w:spacing w:lineRule="auto" w:line="240" w:before="0" w:after="0"/>
              <w:jc w:val="center"/>
              <w:rPr>
                <w:rFonts w:ascii="Times New Roman" w:hAnsi="Times New Roman" w:cs="Times New Roman"/>
                <w:sz w:val="20"/>
                <w:szCs w:val="20"/>
                <w:lang w:eastAsia="ru-RU"/>
              </w:rPr>
            </w:pPr>
            <w:r>
              <w:rPr>
                <w:rFonts w:eastAsia="Calibri" w:cs="Times New Roman" w:ascii="Times New Roman" w:hAnsi="Times New Roman"/>
                <w:kern w:val="0"/>
                <w:sz w:val="20"/>
                <w:szCs w:val="20"/>
                <w:lang w:val="ru-RU" w:eastAsia="ru-RU" w:bidi="ar-SA"/>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pPr>
              <w:pStyle w:val="Normal"/>
              <w:widowControl w:val="false"/>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ru-RU" w:bidi="ar-SA"/>
              </w:rPr>
              <w:t>-занимать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p>
        </w:tc>
        <w:tc>
          <w:tcPr>
            <w:tcW w:w="2678" w:type="dxa"/>
            <w:tcBorders/>
            <w:vAlign w:val="center"/>
          </w:tcPr>
          <w:p>
            <w:pPr>
              <w:pStyle w:val="Normal"/>
              <w:widowControl w:val="false"/>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ru-RU" w:bidi="ar-SA"/>
              </w:rPr>
              <w:t>Типовые правила охраны коммунальных тепловых сетей, утвержденные  Приказом Минстроя России от 17.08.1992 №197</w:t>
            </w:r>
          </w:p>
        </w:tc>
      </w:tr>
    </w:tbl>
    <w:p>
      <w:pPr>
        <w:pStyle w:val="Normal"/>
        <w:widowControl w:val="false"/>
        <w:suppressAutoHyphens w:val="true"/>
        <w:spacing w:lineRule="auto" w:line="240" w:before="0" w:after="0"/>
        <w:ind w:firstLine="709"/>
        <w:jc w:val="both"/>
        <w:rPr>
          <w:rFonts w:ascii="Times New Roman" w:hAnsi="Times New Roman" w:cs="Times New Roman"/>
          <w:sz w:val="28"/>
          <w:szCs w:val="28"/>
          <w:lang w:eastAsia="ru-RU"/>
        </w:rPr>
      </w:pPr>
      <w:r>
        <w:rPr>
          <w:rFonts w:cs="Times New Roman" w:ascii="Times New Roman" w:hAnsi="Times New Roman"/>
          <w:sz w:val="28"/>
          <w:szCs w:val="28"/>
          <w:lang w:eastAsia="ru-RU"/>
        </w:rPr>
      </w:r>
    </w:p>
    <w:p>
      <w:pPr>
        <w:pStyle w:val="2"/>
        <w:keepNext w:val="false"/>
        <w:keepLines w:val="false"/>
        <w:widowControl w:val="false"/>
        <w:numPr>
          <w:ilvl w:val="1"/>
          <w:numId w:val="46"/>
        </w:numPr>
        <w:suppressAutoHyphens w:val="true"/>
        <w:spacing w:lineRule="auto" w:line="240" w:before="0" w:after="160"/>
        <w:ind w:left="0" w:firstLine="709"/>
        <w:jc w:val="center"/>
        <w:rPr>
          <w:rFonts w:ascii="Times New Roman" w:hAnsi="Times New Roman" w:cs="Times New Roman"/>
          <w:b/>
          <w:color w:val="auto"/>
          <w:sz w:val="28"/>
          <w:szCs w:val="28"/>
          <w:lang w:eastAsia="ru-RU"/>
        </w:rPr>
      </w:pPr>
      <w:bookmarkStart w:id="172" w:name="_Toc69990784"/>
      <w:bookmarkStart w:id="173" w:name="_Toc147740067"/>
      <w:r>
        <w:rPr>
          <w:rFonts w:cs="Times New Roman" w:ascii="Times New Roman" w:hAnsi="Times New Roman"/>
          <w:b/>
          <w:color w:val="auto"/>
          <w:sz w:val="28"/>
          <w:szCs w:val="28"/>
          <w:lang w:eastAsia="ru-RU"/>
        </w:rPr>
        <w:t>Водоохранные зоны, прибрежные защитные полосы и береговые полосы, рыбохозяйственные заповедные зоны</w:t>
      </w:r>
      <w:bookmarkEnd w:id="172"/>
      <w:bookmarkEnd w:id="173"/>
    </w:p>
    <w:p>
      <w:pPr>
        <w:pStyle w:val="Normal"/>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Сведения о размерах зон охраны поверхностных водных объектов, попадающих в границы поселения, приведены в таблице 6.9.1. </w:t>
      </w:r>
    </w:p>
    <w:p>
      <w:pPr>
        <w:pStyle w:val="Normal"/>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Границы зон охраны водных объектов, в отношении которых не установлены береговая линия, водоохранная зона, прибрежная защитная полоса, береговая полоса, нанесены на картографические материалы ориентировочно и при необходимости подлежат уточнению на последующих стадиях проектирования.  </w:t>
      </w:r>
    </w:p>
    <w:p>
      <w:pPr>
        <w:pStyle w:val="Normal"/>
        <w:spacing w:lineRule="auto" w:line="240" w:before="0" w:after="0"/>
        <w:ind w:firstLine="709"/>
        <w:jc w:val="right"/>
        <w:rPr>
          <w:rFonts w:ascii="Times New Roman" w:hAnsi="Times New Roman" w:cs="Times New Roman"/>
          <w:sz w:val="28"/>
          <w:szCs w:val="28"/>
          <w:lang w:eastAsia="ru-RU"/>
        </w:rPr>
      </w:pPr>
      <w:r>
        <w:rPr>
          <w:rFonts w:cs="Times New Roman" w:ascii="Times New Roman" w:hAnsi="Times New Roman"/>
          <w:sz w:val="28"/>
          <w:szCs w:val="28"/>
          <w:lang w:eastAsia="ru-RU"/>
        </w:rPr>
      </w:r>
    </w:p>
    <w:p>
      <w:pPr>
        <w:pStyle w:val="Normal"/>
        <w:spacing w:lineRule="auto" w:line="240" w:before="0" w:after="0"/>
        <w:ind w:firstLine="709"/>
        <w:jc w:val="right"/>
        <w:rPr>
          <w:rFonts w:ascii="Times New Roman" w:hAnsi="Times New Roman" w:cs="Times New Roman"/>
          <w:sz w:val="28"/>
          <w:szCs w:val="28"/>
          <w:lang w:eastAsia="ru-RU"/>
        </w:rPr>
      </w:pPr>
      <w:r>
        <w:rPr>
          <w:rFonts w:cs="Times New Roman" w:ascii="Times New Roman" w:hAnsi="Times New Roman"/>
          <w:sz w:val="28"/>
          <w:szCs w:val="28"/>
          <w:lang w:eastAsia="ru-RU"/>
        </w:rPr>
        <w:t>Таблица 6.9.1</w:t>
      </w:r>
    </w:p>
    <w:p>
      <w:pPr>
        <w:pStyle w:val="Normal"/>
        <w:spacing w:lineRule="auto" w:line="240" w:before="0" w:after="0"/>
        <w:jc w:val="center"/>
        <w:rPr>
          <w:rFonts w:ascii="Times New Roman" w:hAnsi="Times New Roman" w:cs="Times New Roman"/>
          <w:sz w:val="28"/>
          <w:szCs w:val="28"/>
          <w:lang w:eastAsia="ru-RU"/>
        </w:rPr>
      </w:pPr>
      <w:r>
        <w:rPr>
          <w:rFonts w:cs="Times New Roman" w:ascii="Times New Roman" w:hAnsi="Times New Roman"/>
          <w:spacing w:val="2"/>
          <w:sz w:val="28"/>
          <w:szCs w:val="28"/>
          <w:shd w:fill="FFFFFF" w:val="clear"/>
        </w:rPr>
        <w:t xml:space="preserve">Водоохранные зоны, прибрежные защитные полосы и береговые полосы, </w:t>
      </w:r>
      <w:r>
        <w:rPr>
          <w:rFonts w:cs="Times New Roman" w:ascii="Times New Roman" w:hAnsi="Times New Roman"/>
          <w:sz w:val="28"/>
          <w:szCs w:val="28"/>
        </w:rPr>
        <w:t xml:space="preserve">расположенные на рассматриваемой территории </w:t>
      </w:r>
    </w:p>
    <w:tbl>
      <w:tblPr>
        <w:tblStyle w:val="af0"/>
        <w:tblW w:w="5000" w:type="pct"/>
        <w:jc w:val="center"/>
        <w:tblInd w:w="0" w:type="dxa"/>
        <w:tblLayout w:type="fixed"/>
        <w:tblCellMar>
          <w:top w:w="0" w:type="dxa"/>
          <w:left w:w="108" w:type="dxa"/>
          <w:bottom w:w="0" w:type="dxa"/>
          <w:right w:w="108" w:type="dxa"/>
        </w:tblCellMar>
        <w:tblLook w:noVBand="1" w:val="04a0" w:noHBand="0" w:lastColumn="0" w:firstColumn="1" w:lastRow="0" w:firstRow="1"/>
      </w:tblPr>
      <w:tblGrid>
        <w:gridCol w:w="1840"/>
        <w:gridCol w:w="1560"/>
        <w:gridCol w:w="995"/>
        <w:gridCol w:w="1416"/>
        <w:gridCol w:w="2129"/>
        <w:gridCol w:w="1980"/>
      </w:tblGrid>
      <w:tr>
        <w:trPr/>
        <w:tc>
          <w:tcPr>
            <w:tcW w:w="1840" w:type="dxa"/>
            <w:tcBorders/>
            <w:vAlign w:val="center"/>
          </w:tcPr>
          <w:p>
            <w:pPr>
              <w:pStyle w:val="Style38"/>
              <w:widowControl/>
              <w:spacing w:before="0" w:after="0"/>
              <w:ind w:left="0" w:right="0" w:hanging="0"/>
              <w:contextualSpacing/>
              <w:jc w:val="center"/>
              <w:rPr>
                <w:sz w:val="20"/>
              </w:rPr>
            </w:pPr>
            <w:r>
              <w:rPr>
                <w:kern w:val="0"/>
                <w:sz w:val="20"/>
                <w:lang w:val="ru-RU" w:bidi="ar-SA"/>
              </w:rPr>
              <w:t>Наименование объекта</w:t>
            </w:r>
          </w:p>
        </w:tc>
        <w:tc>
          <w:tcPr>
            <w:tcW w:w="1560" w:type="dxa"/>
            <w:tcBorders/>
            <w:vAlign w:val="center"/>
          </w:tcPr>
          <w:p>
            <w:pPr>
              <w:pStyle w:val="Style38"/>
              <w:widowControl/>
              <w:spacing w:before="0" w:after="0"/>
              <w:ind w:left="0" w:right="0" w:hanging="0"/>
              <w:contextualSpacing/>
              <w:jc w:val="center"/>
              <w:rPr>
                <w:sz w:val="20"/>
              </w:rPr>
            </w:pPr>
            <w:r>
              <w:rPr>
                <w:kern w:val="0"/>
                <w:sz w:val="20"/>
                <w:lang w:val="ru-RU" w:bidi="ar-SA"/>
              </w:rPr>
              <w:t>Вид охранной зоны</w:t>
            </w:r>
          </w:p>
        </w:tc>
        <w:tc>
          <w:tcPr>
            <w:tcW w:w="995" w:type="dxa"/>
            <w:tcBorders/>
            <w:vAlign w:val="center"/>
          </w:tcPr>
          <w:p>
            <w:pPr>
              <w:pStyle w:val="Style38"/>
              <w:widowControl/>
              <w:spacing w:before="0" w:after="0"/>
              <w:ind w:left="0" w:right="0" w:hanging="0"/>
              <w:contextualSpacing/>
              <w:jc w:val="center"/>
              <w:rPr>
                <w:sz w:val="20"/>
              </w:rPr>
            </w:pPr>
            <w:r>
              <w:rPr>
                <w:kern w:val="0"/>
                <w:sz w:val="20"/>
                <w:lang w:val="ru-RU" w:bidi="ar-SA"/>
              </w:rPr>
              <w:t>Размер зоны, м</w:t>
            </w:r>
          </w:p>
        </w:tc>
        <w:tc>
          <w:tcPr>
            <w:tcW w:w="1416" w:type="dxa"/>
            <w:tcBorders/>
            <w:vAlign w:val="center"/>
          </w:tcPr>
          <w:p>
            <w:pPr>
              <w:pStyle w:val="Style38"/>
              <w:widowControl/>
              <w:spacing w:before="0" w:after="0"/>
              <w:ind w:left="0" w:right="0" w:hanging="0"/>
              <w:contextualSpacing/>
              <w:jc w:val="center"/>
              <w:rPr>
                <w:sz w:val="20"/>
              </w:rPr>
            </w:pPr>
            <w:r>
              <w:rPr>
                <w:kern w:val="0"/>
                <w:sz w:val="20"/>
                <w:lang w:val="ru-RU" w:bidi="ar-SA"/>
              </w:rPr>
              <w:t>Сведения в ЕГРН</w:t>
            </w:r>
          </w:p>
        </w:tc>
        <w:tc>
          <w:tcPr>
            <w:tcW w:w="2129" w:type="dxa"/>
            <w:tcBorders/>
            <w:vAlign w:val="center"/>
          </w:tcPr>
          <w:p>
            <w:pPr>
              <w:pStyle w:val="Style38"/>
              <w:widowControl/>
              <w:spacing w:before="0" w:after="0"/>
              <w:ind w:left="0" w:right="0" w:hanging="0"/>
              <w:contextualSpacing/>
              <w:jc w:val="center"/>
              <w:rPr>
                <w:sz w:val="20"/>
              </w:rPr>
            </w:pPr>
            <w:r>
              <w:rPr>
                <w:kern w:val="0"/>
                <w:sz w:val="20"/>
                <w:lang w:val="ru-RU" w:bidi="ar-SA"/>
              </w:rPr>
              <w:t>Обоснование</w:t>
            </w:r>
          </w:p>
          <w:p>
            <w:pPr>
              <w:pStyle w:val="Style38"/>
              <w:widowControl/>
              <w:spacing w:before="0" w:after="0"/>
              <w:ind w:left="0" w:right="0" w:hanging="0"/>
              <w:contextualSpacing/>
              <w:jc w:val="center"/>
              <w:rPr>
                <w:sz w:val="20"/>
              </w:rPr>
            </w:pPr>
            <w:r>
              <w:rPr>
                <w:kern w:val="0"/>
                <w:sz w:val="20"/>
                <w:lang w:val="ru-RU" w:bidi="ar-SA"/>
              </w:rPr>
              <w:t>(нормативные документы)</w:t>
            </w:r>
          </w:p>
        </w:tc>
        <w:tc>
          <w:tcPr>
            <w:tcW w:w="1980" w:type="dxa"/>
            <w:tcBorders/>
            <w:vAlign w:val="center"/>
          </w:tcPr>
          <w:p>
            <w:pPr>
              <w:pStyle w:val="Style38"/>
              <w:widowControl/>
              <w:spacing w:before="0" w:after="0"/>
              <w:ind w:left="0" w:right="0" w:hanging="0"/>
              <w:contextualSpacing/>
              <w:jc w:val="center"/>
              <w:rPr>
                <w:sz w:val="20"/>
              </w:rPr>
            </w:pPr>
            <w:r>
              <w:rPr>
                <w:kern w:val="0"/>
                <w:sz w:val="20"/>
                <w:lang w:val="ru-RU" w:bidi="ar-SA"/>
              </w:rPr>
              <w:t>Фактическое соблюдение режима использования зоны</w:t>
            </w:r>
          </w:p>
        </w:tc>
      </w:tr>
      <w:tr>
        <w:trPr>
          <w:trHeight w:val="1575" w:hRule="atLeast"/>
        </w:trPr>
        <w:tc>
          <w:tcPr>
            <w:tcW w:w="1840" w:type="dxa"/>
            <w:vMerge w:val="restart"/>
            <w:tcBorders/>
            <w:vAlign w:val="center"/>
          </w:tcPr>
          <w:p>
            <w:pPr>
              <w:pStyle w:val="Style38"/>
              <w:widowControl/>
              <w:spacing w:before="0" w:after="0"/>
              <w:ind w:left="0" w:right="0" w:hanging="0"/>
              <w:contextualSpacing/>
              <w:jc w:val="center"/>
              <w:rPr>
                <w:sz w:val="20"/>
                <w:highlight w:val="yellow"/>
              </w:rPr>
            </w:pPr>
            <w:r>
              <w:rPr>
                <w:kern w:val="0"/>
                <w:sz w:val="20"/>
                <w:lang w:val="ru-RU" w:bidi="ar-SA"/>
              </w:rPr>
              <w:t>Куйбышевское водохранилище</w:t>
            </w:r>
          </w:p>
        </w:tc>
        <w:tc>
          <w:tcPr>
            <w:tcW w:w="1560" w:type="dxa"/>
            <w:vMerge w:val="restart"/>
            <w:tcBorders/>
            <w:vAlign w:val="center"/>
          </w:tcPr>
          <w:p>
            <w:pPr>
              <w:pStyle w:val="Style38"/>
              <w:widowControl/>
              <w:spacing w:before="0" w:after="0"/>
              <w:ind w:left="0" w:right="0" w:hanging="0"/>
              <w:contextualSpacing/>
              <w:jc w:val="center"/>
              <w:rPr>
                <w:sz w:val="20"/>
              </w:rPr>
            </w:pPr>
            <w:r>
              <w:rPr>
                <w:kern w:val="0"/>
                <w:sz w:val="20"/>
                <w:lang w:val="ru-RU" w:bidi="ar-SA"/>
              </w:rPr>
              <w:t>Береговая полоса</w:t>
            </w:r>
          </w:p>
        </w:tc>
        <w:tc>
          <w:tcPr>
            <w:tcW w:w="995" w:type="dxa"/>
            <w:tcBorders/>
            <w:vAlign w:val="center"/>
          </w:tcPr>
          <w:p>
            <w:pPr>
              <w:pStyle w:val="Style38"/>
              <w:widowControl/>
              <w:spacing w:before="0" w:after="0"/>
              <w:ind w:left="0" w:right="0" w:hanging="0"/>
              <w:contextualSpacing/>
              <w:jc w:val="center"/>
              <w:rPr>
                <w:sz w:val="20"/>
              </w:rPr>
            </w:pPr>
            <w:r>
              <w:rPr>
                <w:kern w:val="0"/>
                <w:sz w:val="20"/>
                <w:lang w:val="ru-RU" w:bidi="ar-SA"/>
              </w:rPr>
              <w:t xml:space="preserve">20 </w:t>
            </w:r>
          </w:p>
        </w:tc>
        <w:tc>
          <w:tcPr>
            <w:tcW w:w="1416" w:type="dxa"/>
            <w:tcBorders/>
            <w:vAlign w:val="center"/>
          </w:tcPr>
          <w:p>
            <w:pPr>
              <w:pStyle w:val="Style38"/>
              <w:widowControl/>
              <w:spacing w:before="0" w:after="0"/>
              <w:ind w:left="0" w:right="0" w:hanging="0"/>
              <w:contextualSpacing/>
              <w:jc w:val="center"/>
              <w:rPr>
                <w:sz w:val="20"/>
              </w:rPr>
            </w:pPr>
            <w:r>
              <w:rPr>
                <w:kern w:val="0"/>
                <w:sz w:val="20"/>
                <w:lang w:val="ru-RU" w:bidi="ar-SA"/>
              </w:rPr>
              <w:t>-</w:t>
            </w:r>
          </w:p>
        </w:tc>
        <w:tc>
          <w:tcPr>
            <w:tcW w:w="2129" w:type="dxa"/>
            <w:tcBorders/>
            <w:vAlign w:val="center"/>
          </w:tcPr>
          <w:p>
            <w:pPr>
              <w:pStyle w:val="Style38"/>
              <w:widowControl/>
              <w:spacing w:before="0" w:after="0"/>
              <w:ind w:left="0" w:right="0" w:hanging="0"/>
              <w:contextualSpacing/>
              <w:jc w:val="center"/>
              <w:rPr>
                <w:sz w:val="20"/>
              </w:rPr>
            </w:pPr>
            <w:r>
              <w:rPr>
                <w:kern w:val="0"/>
                <w:sz w:val="20"/>
                <w:lang w:val="ru-RU" w:bidi="ar-SA"/>
              </w:rPr>
              <w:t>Водный кодекс ст. 6</w:t>
            </w:r>
          </w:p>
        </w:tc>
        <w:tc>
          <w:tcPr>
            <w:tcW w:w="1980" w:type="dxa"/>
            <w:tcBorders/>
            <w:vAlign w:val="center"/>
          </w:tcPr>
          <w:p>
            <w:pPr>
              <w:pStyle w:val="Style38"/>
              <w:widowControl/>
              <w:spacing w:before="0" w:after="0"/>
              <w:ind w:left="0" w:right="0" w:hanging="0"/>
              <w:contextualSpacing/>
              <w:jc w:val="center"/>
              <w:rPr>
                <w:sz w:val="20"/>
              </w:rPr>
            </w:pPr>
            <w:r>
              <w:rPr>
                <w:kern w:val="0"/>
                <w:sz w:val="20"/>
                <w:lang w:val="ru-RU" w:bidi="ar-SA"/>
              </w:rPr>
              <w:t>Попадает зона застройки индивидуальными жилыми домам, зона садоводческих, огороднических или дачных некоммерческих объединений граждан</w:t>
            </w:r>
          </w:p>
        </w:tc>
      </w:tr>
      <w:tr>
        <w:trPr>
          <w:trHeight w:val="68" w:hRule="atLeast"/>
        </w:trPr>
        <w:tc>
          <w:tcPr>
            <w:tcW w:w="1840" w:type="dxa"/>
            <w:vMerge w:val="continue"/>
            <w:tcBorders/>
            <w:vAlign w:val="center"/>
          </w:tcPr>
          <w:p>
            <w:pPr>
              <w:pStyle w:val="Style38"/>
              <w:widowControl/>
              <w:spacing w:before="0" w:after="0"/>
              <w:ind w:left="0" w:right="0" w:hanging="0"/>
              <w:contextualSpacing/>
              <w:jc w:val="center"/>
              <w:rPr>
                <w:sz w:val="20"/>
                <w:highlight w:val="yellow"/>
              </w:rPr>
            </w:pPr>
            <w:r>
              <w:rPr>
                <w:kern w:val="0"/>
                <w:sz w:val="20"/>
                <w:highlight w:val="yellow"/>
                <w:lang w:val="ru-RU" w:bidi="ar-SA"/>
              </w:rPr>
            </w:r>
          </w:p>
        </w:tc>
        <w:tc>
          <w:tcPr>
            <w:tcW w:w="1560" w:type="dxa"/>
            <w:vMerge w:val="continue"/>
            <w:tcBorders/>
            <w:vAlign w:val="center"/>
          </w:tcPr>
          <w:p>
            <w:pPr>
              <w:pStyle w:val="Style38"/>
              <w:widowControl/>
              <w:spacing w:before="0" w:after="0"/>
              <w:ind w:left="0" w:right="0" w:hanging="0"/>
              <w:contextualSpacing/>
              <w:jc w:val="center"/>
              <w:rPr>
                <w:sz w:val="20"/>
              </w:rPr>
            </w:pPr>
            <w:r>
              <w:rPr>
                <w:kern w:val="0"/>
                <w:sz w:val="20"/>
                <w:lang w:val="ru-RU" w:bidi="ar-SA"/>
              </w:rPr>
            </w:r>
          </w:p>
        </w:tc>
        <w:tc>
          <w:tcPr>
            <w:tcW w:w="995" w:type="dxa"/>
            <w:tcBorders/>
            <w:vAlign w:val="center"/>
          </w:tcPr>
          <w:p>
            <w:pPr>
              <w:pStyle w:val="Style38"/>
              <w:widowControl/>
              <w:spacing w:before="0" w:after="0"/>
              <w:ind w:left="0" w:right="0" w:hanging="0"/>
              <w:contextualSpacing/>
              <w:jc w:val="center"/>
              <w:rPr>
                <w:sz w:val="20"/>
              </w:rPr>
            </w:pPr>
            <w:r>
              <w:rPr>
                <w:kern w:val="0"/>
                <w:sz w:val="20"/>
                <w:lang w:val="ru-RU" w:bidi="ar-SA"/>
              </w:rPr>
              <w:t xml:space="preserve">50 </w:t>
            </w:r>
          </w:p>
        </w:tc>
        <w:tc>
          <w:tcPr>
            <w:tcW w:w="1416" w:type="dxa"/>
            <w:tcBorders/>
            <w:vAlign w:val="center"/>
          </w:tcPr>
          <w:p>
            <w:pPr>
              <w:pStyle w:val="Style38"/>
              <w:widowControl/>
              <w:spacing w:before="0" w:after="0"/>
              <w:ind w:left="0" w:right="0" w:hanging="0"/>
              <w:contextualSpacing/>
              <w:jc w:val="center"/>
              <w:rPr>
                <w:sz w:val="20"/>
              </w:rPr>
            </w:pPr>
            <w:r>
              <w:rPr>
                <w:kern w:val="0"/>
                <w:sz w:val="20"/>
                <w:lang w:val="ru-RU" w:bidi="ar-SA"/>
              </w:rPr>
              <w:t>-</w:t>
            </w:r>
          </w:p>
        </w:tc>
        <w:tc>
          <w:tcPr>
            <w:tcW w:w="2129" w:type="dxa"/>
            <w:tcBorders/>
            <w:vAlign w:val="center"/>
          </w:tcPr>
          <w:p>
            <w:pPr>
              <w:pStyle w:val="Style38"/>
              <w:widowControl/>
              <w:spacing w:before="0" w:after="0"/>
              <w:ind w:left="0" w:right="0" w:hanging="0"/>
              <w:contextualSpacing/>
              <w:jc w:val="center"/>
              <w:rPr>
                <w:sz w:val="20"/>
              </w:rPr>
            </w:pPr>
            <w:r>
              <w:rPr>
                <w:kern w:val="0"/>
                <w:sz w:val="20"/>
                <w:lang w:val="ru-RU" w:bidi="ar-SA"/>
              </w:rPr>
              <w:t>Распоряжение Кабинета Министров Республики Татарстан от 18 июля 2018 г. № 1772-р</w:t>
            </w:r>
          </w:p>
        </w:tc>
        <w:tc>
          <w:tcPr>
            <w:tcW w:w="1980" w:type="dxa"/>
            <w:tcBorders/>
            <w:vAlign w:val="center"/>
          </w:tcPr>
          <w:p>
            <w:pPr>
              <w:pStyle w:val="Style38"/>
              <w:widowControl/>
              <w:spacing w:before="0" w:after="0"/>
              <w:ind w:left="0" w:right="0" w:hanging="0"/>
              <w:contextualSpacing/>
              <w:jc w:val="center"/>
              <w:rPr>
                <w:sz w:val="20"/>
                <w:highlight w:val="yellow"/>
              </w:rPr>
            </w:pPr>
            <w:r>
              <w:rPr>
                <w:kern w:val="0"/>
                <w:sz w:val="20"/>
                <w:lang w:val="ru-RU" w:bidi="ar-SA"/>
              </w:rPr>
              <w:t>Попадает зона застройки индивидуальными жилыми домами</w:t>
            </w:r>
          </w:p>
        </w:tc>
      </w:tr>
      <w:tr>
        <w:trPr/>
        <w:tc>
          <w:tcPr>
            <w:tcW w:w="1840" w:type="dxa"/>
            <w:vMerge w:val="continue"/>
            <w:tcBorders/>
            <w:vAlign w:val="center"/>
          </w:tcPr>
          <w:p>
            <w:pPr>
              <w:pStyle w:val="Style38"/>
              <w:widowControl/>
              <w:spacing w:before="0" w:after="0"/>
              <w:ind w:left="0" w:right="0" w:hanging="0"/>
              <w:contextualSpacing/>
              <w:jc w:val="center"/>
              <w:rPr>
                <w:sz w:val="20"/>
                <w:highlight w:val="yellow"/>
              </w:rPr>
            </w:pPr>
            <w:r>
              <w:rPr>
                <w:kern w:val="0"/>
                <w:sz w:val="20"/>
                <w:highlight w:val="yellow"/>
                <w:lang w:val="ru-RU" w:bidi="ar-SA"/>
              </w:rPr>
            </w:r>
          </w:p>
        </w:tc>
        <w:tc>
          <w:tcPr>
            <w:tcW w:w="1560" w:type="dxa"/>
            <w:tcBorders/>
            <w:vAlign w:val="center"/>
          </w:tcPr>
          <w:p>
            <w:pPr>
              <w:pStyle w:val="Style38"/>
              <w:widowControl/>
              <w:spacing w:before="0" w:after="0"/>
              <w:ind w:left="0" w:right="0" w:hanging="0"/>
              <w:contextualSpacing/>
              <w:jc w:val="center"/>
              <w:rPr>
                <w:sz w:val="20"/>
              </w:rPr>
            </w:pPr>
            <w:r>
              <w:rPr>
                <w:kern w:val="0"/>
                <w:sz w:val="20"/>
                <w:lang w:val="ru-RU" w:bidi="ar-SA"/>
              </w:rPr>
              <w:t>Прибрежная защитная полоса</w:t>
            </w:r>
          </w:p>
        </w:tc>
        <w:tc>
          <w:tcPr>
            <w:tcW w:w="995" w:type="dxa"/>
            <w:tcBorders/>
            <w:vAlign w:val="center"/>
          </w:tcPr>
          <w:p>
            <w:pPr>
              <w:pStyle w:val="Style38"/>
              <w:widowControl/>
              <w:spacing w:before="0" w:after="0"/>
              <w:ind w:left="0" w:right="0" w:hanging="0"/>
              <w:contextualSpacing/>
              <w:jc w:val="center"/>
              <w:rPr>
                <w:sz w:val="20"/>
              </w:rPr>
            </w:pPr>
            <w:r>
              <w:rPr>
                <w:kern w:val="0"/>
                <w:sz w:val="20"/>
                <w:lang w:val="ru-RU" w:bidi="ar-SA"/>
              </w:rPr>
              <w:t>200</w:t>
            </w:r>
          </w:p>
        </w:tc>
        <w:tc>
          <w:tcPr>
            <w:tcW w:w="1416" w:type="dxa"/>
            <w:tcBorders/>
            <w:vAlign w:val="center"/>
          </w:tcPr>
          <w:p>
            <w:pPr>
              <w:pStyle w:val="Style38"/>
              <w:widowControl/>
              <w:spacing w:before="0" w:after="0"/>
              <w:ind w:left="0" w:right="0" w:hanging="0"/>
              <w:contextualSpacing/>
              <w:jc w:val="center"/>
              <w:rPr>
                <w:sz w:val="20"/>
              </w:rPr>
            </w:pPr>
            <w:r>
              <w:rPr>
                <w:kern w:val="0"/>
                <w:sz w:val="20"/>
                <w:lang w:val="ru-RU" w:bidi="ar-SA"/>
              </w:rPr>
              <w:t>16:00-6.3899</w:t>
            </w:r>
          </w:p>
        </w:tc>
        <w:tc>
          <w:tcPr>
            <w:tcW w:w="2129" w:type="dxa"/>
            <w:tcBorders/>
            <w:vAlign w:val="center"/>
          </w:tcPr>
          <w:p>
            <w:pPr>
              <w:pStyle w:val="Style38"/>
              <w:widowControl/>
              <w:spacing w:before="0" w:after="0"/>
              <w:ind w:left="0" w:right="0" w:hanging="0"/>
              <w:contextualSpacing/>
              <w:jc w:val="center"/>
              <w:rPr>
                <w:rStyle w:val="Annotationreference"/>
                <w:rFonts w:ascii="Calibri" w:hAnsi="Calibri" w:eastAsia="Calibri" w:cs="" w:asciiTheme="minorHAnsi" w:cstheme="minorBidi" w:eastAsiaTheme="minorHAnsi" w:hAnsiTheme="minorHAnsi"/>
                <w:lang w:eastAsia="en-US"/>
              </w:rPr>
            </w:pPr>
            <w:r>
              <w:rPr>
                <w:kern w:val="0"/>
                <w:sz w:val="20"/>
                <w:lang w:val="ru-RU" w:bidi="ar-SA"/>
              </w:rPr>
              <w:t xml:space="preserve">часть 13 ст. 65, Водный кодекс РФ </w:t>
            </w:r>
          </w:p>
        </w:tc>
        <w:tc>
          <w:tcPr>
            <w:tcW w:w="1980" w:type="dxa"/>
            <w:vMerge w:val="restart"/>
            <w:tcBorders/>
            <w:vAlign w:val="center"/>
          </w:tcPr>
          <w:p>
            <w:pPr>
              <w:pStyle w:val="Style38"/>
              <w:widowControl/>
              <w:spacing w:before="0" w:after="0"/>
              <w:ind w:left="0" w:right="0" w:hanging="0"/>
              <w:contextualSpacing/>
              <w:jc w:val="center"/>
              <w:rPr>
                <w:sz w:val="20"/>
                <w:highlight w:val="yellow"/>
              </w:rPr>
            </w:pPr>
            <w:r>
              <w:rPr>
                <w:kern w:val="0"/>
                <w:sz w:val="20"/>
                <w:lang w:val="ru-RU" w:bidi="ar-SA"/>
              </w:rPr>
              <w:t>Попадает зона кладбищ</w:t>
            </w:r>
          </w:p>
        </w:tc>
      </w:tr>
      <w:tr>
        <w:trPr/>
        <w:tc>
          <w:tcPr>
            <w:tcW w:w="1840" w:type="dxa"/>
            <w:vMerge w:val="continue"/>
            <w:tcBorders/>
            <w:vAlign w:val="center"/>
          </w:tcPr>
          <w:p>
            <w:pPr>
              <w:pStyle w:val="Style38"/>
              <w:widowControl/>
              <w:spacing w:before="0" w:after="0"/>
              <w:ind w:left="0" w:right="0" w:hanging="0"/>
              <w:contextualSpacing/>
              <w:jc w:val="center"/>
              <w:rPr>
                <w:sz w:val="20"/>
                <w:highlight w:val="yellow"/>
              </w:rPr>
            </w:pPr>
            <w:r>
              <w:rPr>
                <w:kern w:val="0"/>
                <w:sz w:val="20"/>
                <w:highlight w:val="yellow"/>
                <w:lang w:val="ru-RU" w:bidi="ar-SA"/>
              </w:rPr>
            </w:r>
          </w:p>
        </w:tc>
        <w:tc>
          <w:tcPr>
            <w:tcW w:w="1560" w:type="dxa"/>
            <w:tcBorders/>
            <w:vAlign w:val="center"/>
          </w:tcPr>
          <w:p>
            <w:pPr>
              <w:pStyle w:val="Style38"/>
              <w:widowControl/>
              <w:spacing w:before="0" w:after="0"/>
              <w:ind w:left="0" w:right="0" w:hanging="0"/>
              <w:contextualSpacing/>
              <w:jc w:val="center"/>
              <w:rPr>
                <w:sz w:val="20"/>
              </w:rPr>
            </w:pPr>
            <w:r>
              <w:rPr>
                <w:kern w:val="0"/>
                <w:sz w:val="20"/>
                <w:lang w:val="ru-RU" w:bidi="ar-SA"/>
              </w:rPr>
              <w:t>Водоохранная зона</w:t>
            </w:r>
          </w:p>
        </w:tc>
        <w:tc>
          <w:tcPr>
            <w:tcW w:w="995" w:type="dxa"/>
            <w:tcBorders/>
            <w:vAlign w:val="center"/>
          </w:tcPr>
          <w:p>
            <w:pPr>
              <w:pStyle w:val="Style38"/>
              <w:widowControl/>
              <w:spacing w:before="0" w:after="0"/>
              <w:ind w:left="0" w:right="0" w:hanging="0"/>
              <w:contextualSpacing/>
              <w:jc w:val="center"/>
              <w:rPr>
                <w:sz w:val="20"/>
              </w:rPr>
            </w:pPr>
            <w:r>
              <w:rPr>
                <w:kern w:val="0"/>
                <w:sz w:val="20"/>
                <w:lang w:val="ru-RU" w:bidi="ar-SA"/>
              </w:rPr>
              <w:t>200</w:t>
            </w:r>
          </w:p>
        </w:tc>
        <w:tc>
          <w:tcPr>
            <w:tcW w:w="1416" w:type="dxa"/>
            <w:tcBorders/>
            <w:vAlign w:val="center"/>
          </w:tcPr>
          <w:p>
            <w:pPr>
              <w:pStyle w:val="Style38"/>
              <w:widowControl/>
              <w:spacing w:before="0" w:after="0"/>
              <w:ind w:left="0" w:right="0" w:hanging="0"/>
              <w:contextualSpacing/>
              <w:jc w:val="center"/>
              <w:rPr>
                <w:sz w:val="20"/>
              </w:rPr>
            </w:pPr>
            <w:r>
              <w:rPr>
                <w:kern w:val="0"/>
                <w:sz w:val="20"/>
                <w:lang w:val="ru-RU" w:bidi="ar-SA"/>
              </w:rPr>
              <w:t>16:00-6.3901</w:t>
            </w:r>
          </w:p>
          <w:p>
            <w:pPr>
              <w:pStyle w:val="Style38"/>
              <w:widowControl/>
              <w:spacing w:before="0" w:after="0"/>
              <w:ind w:left="0" w:right="0" w:hanging="0"/>
              <w:contextualSpacing/>
              <w:jc w:val="center"/>
              <w:rPr>
                <w:sz w:val="20"/>
              </w:rPr>
            </w:pPr>
            <w:r>
              <w:rPr>
                <w:kern w:val="0"/>
                <w:sz w:val="20"/>
                <w:lang w:val="ru-RU" w:bidi="ar-SA"/>
              </w:rPr>
              <w:t>16:00-6.1486</w:t>
            </w:r>
          </w:p>
        </w:tc>
        <w:tc>
          <w:tcPr>
            <w:tcW w:w="2129" w:type="dxa"/>
            <w:tcBorders/>
            <w:vAlign w:val="center"/>
          </w:tcPr>
          <w:p>
            <w:pPr>
              <w:pStyle w:val="Style38"/>
              <w:widowControl/>
              <w:spacing w:before="0" w:after="0"/>
              <w:ind w:left="0" w:right="0" w:hanging="0"/>
              <w:contextualSpacing/>
              <w:jc w:val="center"/>
              <w:rPr>
                <w:rStyle w:val="Annotationreference"/>
                <w:rFonts w:ascii="Calibri" w:hAnsi="Calibri" w:eastAsia="Calibri" w:cs="" w:asciiTheme="minorHAnsi" w:cstheme="minorBidi" w:eastAsiaTheme="minorHAnsi" w:hAnsiTheme="minorHAnsi"/>
                <w:lang w:eastAsia="en-US"/>
              </w:rPr>
            </w:pPr>
            <w:r>
              <w:rPr>
                <w:kern w:val="0"/>
                <w:sz w:val="20"/>
                <w:lang w:val="ru-RU" w:bidi="ar-SA"/>
              </w:rPr>
              <w:t>Водный кодекс ст. 65</w:t>
            </w:r>
          </w:p>
        </w:tc>
        <w:tc>
          <w:tcPr>
            <w:tcW w:w="1980" w:type="dxa"/>
            <w:vMerge w:val="continue"/>
            <w:tcBorders/>
            <w:shd w:color="auto" w:fill="auto" w:val="clear"/>
            <w:vAlign w:val="center"/>
          </w:tcPr>
          <w:p>
            <w:pPr>
              <w:pStyle w:val="Style38"/>
              <w:widowControl/>
              <w:spacing w:before="0" w:after="0"/>
              <w:ind w:left="0" w:right="0" w:hanging="0"/>
              <w:contextualSpacing/>
              <w:jc w:val="center"/>
              <w:rPr>
                <w:sz w:val="20"/>
                <w:highlight w:val="yellow"/>
              </w:rPr>
            </w:pPr>
            <w:r>
              <w:rPr>
                <w:kern w:val="0"/>
                <w:sz w:val="20"/>
                <w:highlight w:val="yellow"/>
                <w:lang w:val="ru-RU" w:bidi="ar-SA"/>
              </w:rPr>
            </w:r>
          </w:p>
        </w:tc>
      </w:tr>
      <w:tr>
        <w:trPr/>
        <w:tc>
          <w:tcPr>
            <w:tcW w:w="1840" w:type="dxa"/>
            <w:vMerge w:val="restart"/>
            <w:tcBorders/>
            <w:vAlign w:val="center"/>
          </w:tcPr>
          <w:p>
            <w:pPr>
              <w:pStyle w:val="Style38"/>
              <w:widowControl/>
              <w:spacing w:before="0" w:after="0"/>
              <w:ind w:left="0" w:right="0" w:hanging="0"/>
              <w:contextualSpacing/>
              <w:jc w:val="center"/>
              <w:rPr>
                <w:sz w:val="20"/>
              </w:rPr>
            </w:pPr>
            <w:r>
              <w:rPr>
                <w:kern w:val="0"/>
                <w:sz w:val="20"/>
                <w:lang w:val="ru-RU" w:bidi="ar-SA"/>
              </w:rPr>
              <w:t>Река Большая Ташевка (приток Куйбышевского водохранилища)</w:t>
            </w:r>
          </w:p>
        </w:tc>
        <w:tc>
          <w:tcPr>
            <w:tcW w:w="1560" w:type="dxa"/>
            <w:tcBorders/>
            <w:vAlign w:val="center"/>
          </w:tcPr>
          <w:p>
            <w:pPr>
              <w:pStyle w:val="Style38"/>
              <w:widowControl/>
              <w:spacing w:before="0" w:after="0"/>
              <w:ind w:left="0" w:right="0" w:hanging="0"/>
              <w:contextualSpacing/>
              <w:jc w:val="center"/>
              <w:rPr>
                <w:sz w:val="20"/>
              </w:rPr>
            </w:pPr>
            <w:r>
              <w:rPr>
                <w:kern w:val="0"/>
                <w:sz w:val="20"/>
                <w:lang w:val="ru-RU" w:bidi="ar-SA"/>
              </w:rPr>
              <w:t>Береговая полоса</w:t>
            </w:r>
          </w:p>
        </w:tc>
        <w:tc>
          <w:tcPr>
            <w:tcW w:w="995" w:type="dxa"/>
            <w:tcBorders/>
            <w:vAlign w:val="center"/>
          </w:tcPr>
          <w:p>
            <w:pPr>
              <w:pStyle w:val="Style38"/>
              <w:widowControl/>
              <w:spacing w:before="0" w:after="0"/>
              <w:ind w:left="0" w:right="0" w:hanging="0"/>
              <w:contextualSpacing/>
              <w:jc w:val="center"/>
              <w:rPr>
                <w:sz w:val="20"/>
              </w:rPr>
            </w:pPr>
            <w:r>
              <w:rPr>
                <w:kern w:val="0"/>
                <w:sz w:val="20"/>
                <w:lang w:val="ru-RU" w:bidi="ar-SA"/>
              </w:rPr>
              <w:t>5</w:t>
            </w:r>
          </w:p>
        </w:tc>
        <w:tc>
          <w:tcPr>
            <w:tcW w:w="1416" w:type="dxa"/>
            <w:tcBorders/>
            <w:vAlign w:val="center"/>
          </w:tcPr>
          <w:p>
            <w:pPr>
              <w:pStyle w:val="Style38"/>
              <w:widowControl/>
              <w:spacing w:before="0" w:after="0"/>
              <w:ind w:left="0" w:right="0" w:hanging="0"/>
              <w:contextualSpacing/>
              <w:jc w:val="center"/>
              <w:rPr>
                <w:sz w:val="20"/>
              </w:rPr>
            </w:pPr>
            <w:r>
              <w:rPr>
                <w:kern w:val="0"/>
                <w:sz w:val="20"/>
                <w:lang w:val="ru-RU" w:bidi="ar-SA"/>
              </w:rPr>
              <w:t>-</w:t>
            </w:r>
          </w:p>
        </w:tc>
        <w:tc>
          <w:tcPr>
            <w:tcW w:w="2129" w:type="dxa"/>
            <w:tcBorders/>
            <w:vAlign w:val="center"/>
          </w:tcPr>
          <w:p>
            <w:pPr>
              <w:pStyle w:val="Style38"/>
              <w:widowControl/>
              <w:spacing w:before="0" w:after="0"/>
              <w:ind w:left="0" w:right="0" w:hanging="0"/>
              <w:contextualSpacing/>
              <w:jc w:val="center"/>
              <w:rPr>
                <w:sz w:val="20"/>
              </w:rPr>
            </w:pPr>
            <w:r>
              <w:rPr>
                <w:kern w:val="0"/>
                <w:sz w:val="20"/>
                <w:lang w:val="ru-RU" w:bidi="ar-SA"/>
              </w:rPr>
              <w:t xml:space="preserve">ст. 6 Водный кодекс РФ </w:t>
            </w:r>
          </w:p>
        </w:tc>
        <w:tc>
          <w:tcPr>
            <w:tcW w:w="1980" w:type="dxa"/>
            <w:tcBorders/>
            <w:vAlign w:val="center"/>
          </w:tcPr>
          <w:p>
            <w:pPr>
              <w:pStyle w:val="Style38"/>
              <w:widowControl/>
              <w:spacing w:before="0" w:after="0"/>
              <w:ind w:left="0" w:right="0" w:hanging="0"/>
              <w:contextualSpacing/>
              <w:jc w:val="center"/>
              <w:rPr>
                <w:sz w:val="20"/>
              </w:rPr>
            </w:pPr>
            <w:r>
              <w:rPr>
                <w:kern w:val="0"/>
                <w:sz w:val="20"/>
                <w:lang w:val="ru-RU" w:bidi="ar-SA"/>
              </w:rPr>
              <w:t>Попадает зона застройки индивидуальными жилыми домами</w:t>
            </w:r>
          </w:p>
        </w:tc>
      </w:tr>
      <w:tr>
        <w:trPr/>
        <w:tc>
          <w:tcPr>
            <w:tcW w:w="1840" w:type="dxa"/>
            <w:vMerge w:val="continue"/>
            <w:tcBorders/>
            <w:vAlign w:val="center"/>
          </w:tcPr>
          <w:p>
            <w:pPr>
              <w:pStyle w:val="Style38"/>
              <w:widowControl/>
              <w:spacing w:before="0" w:after="0"/>
              <w:ind w:left="0" w:right="0" w:hanging="0"/>
              <w:contextualSpacing/>
              <w:jc w:val="center"/>
              <w:rPr>
                <w:sz w:val="20"/>
              </w:rPr>
            </w:pPr>
            <w:r>
              <w:rPr>
                <w:kern w:val="0"/>
                <w:sz w:val="20"/>
                <w:lang w:val="ru-RU" w:bidi="ar-SA"/>
              </w:rPr>
            </w:r>
          </w:p>
        </w:tc>
        <w:tc>
          <w:tcPr>
            <w:tcW w:w="1560" w:type="dxa"/>
            <w:tcBorders/>
            <w:vAlign w:val="center"/>
          </w:tcPr>
          <w:p>
            <w:pPr>
              <w:pStyle w:val="Style38"/>
              <w:widowControl/>
              <w:spacing w:before="0" w:after="0"/>
              <w:ind w:left="0" w:right="0" w:hanging="0"/>
              <w:contextualSpacing/>
              <w:jc w:val="center"/>
              <w:rPr>
                <w:sz w:val="20"/>
              </w:rPr>
            </w:pPr>
            <w:r>
              <w:rPr>
                <w:kern w:val="0"/>
                <w:sz w:val="20"/>
                <w:lang w:val="ru-RU" w:bidi="ar-SA"/>
              </w:rPr>
              <w:t>Прибрежная защитная полоса</w:t>
            </w:r>
          </w:p>
        </w:tc>
        <w:tc>
          <w:tcPr>
            <w:tcW w:w="995" w:type="dxa"/>
            <w:tcBorders/>
            <w:vAlign w:val="center"/>
          </w:tcPr>
          <w:p>
            <w:pPr>
              <w:pStyle w:val="Style38"/>
              <w:widowControl/>
              <w:spacing w:before="0" w:after="0"/>
              <w:ind w:left="0" w:right="0" w:hanging="0"/>
              <w:contextualSpacing/>
              <w:jc w:val="center"/>
              <w:rPr>
                <w:sz w:val="20"/>
              </w:rPr>
            </w:pPr>
            <w:r>
              <w:rPr>
                <w:kern w:val="0"/>
                <w:sz w:val="20"/>
                <w:lang w:val="ru-RU" w:bidi="ar-SA"/>
              </w:rPr>
              <w:t>50</w:t>
            </w:r>
          </w:p>
        </w:tc>
        <w:tc>
          <w:tcPr>
            <w:tcW w:w="1416" w:type="dxa"/>
            <w:tcBorders/>
            <w:vAlign w:val="center"/>
          </w:tcPr>
          <w:p>
            <w:pPr>
              <w:pStyle w:val="Style38"/>
              <w:widowControl/>
              <w:spacing w:before="0" w:after="0"/>
              <w:ind w:left="0" w:right="0" w:hanging="0"/>
              <w:contextualSpacing/>
              <w:jc w:val="center"/>
              <w:rPr>
                <w:sz w:val="20"/>
              </w:rPr>
            </w:pPr>
            <w:r>
              <w:rPr>
                <w:kern w:val="0"/>
                <w:sz w:val="20"/>
                <w:lang w:val="ru-RU" w:bidi="ar-SA"/>
              </w:rPr>
              <w:t>-</w:t>
            </w:r>
          </w:p>
        </w:tc>
        <w:tc>
          <w:tcPr>
            <w:tcW w:w="2129" w:type="dxa"/>
            <w:tcBorders/>
            <w:vAlign w:val="center"/>
          </w:tcPr>
          <w:p>
            <w:pPr>
              <w:pStyle w:val="Style38"/>
              <w:widowControl/>
              <w:spacing w:before="0" w:after="0"/>
              <w:ind w:left="0" w:right="0" w:hanging="0"/>
              <w:contextualSpacing/>
              <w:jc w:val="center"/>
              <w:rPr>
                <w:sz w:val="20"/>
              </w:rPr>
            </w:pPr>
            <w:r>
              <w:rPr>
                <w:kern w:val="0"/>
                <w:sz w:val="20"/>
                <w:lang w:val="ru-RU" w:bidi="ar-SA"/>
              </w:rPr>
              <w:t>ст. 65 Водный кодекс РФ</w:t>
            </w:r>
          </w:p>
        </w:tc>
        <w:tc>
          <w:tcPr>
            <w:tcW w:w="1980" w:type="dxa"/>
            <w:tcBorders/>
            <w:vAlign w:val="center"/>
          </w:tcPr>
          <w:p>
            <w:pPr>
              <w:pStyle w:val="Style38"/>
              <w:widowControl/>
              <w:spacing w:before="0" w:after="0"/>
              <w:ind w:left="0" w:right="0" w:hanging="0"/>
              <w:contextualSpacing/>
              <w:jc w:val="center"/>
              <w:rPr>
                <w:sz w:val="20"/>
              </w:rPr>
            </w:pPr>
            <w:r>
              <w:rPr>
                <w:kern w:val="0"/>
                <w:sz w:val="20"/>
                <w:lang w:val="ru-RU" w:bidi="ar-SA"/>
              </w:rPr>
              <w:t xml:space="preserve">Соблюдается </w:t>
            </w:r>
          </w:p>
        </w:tc>
      </w:tr>
      <w:tr>
        <w:trPr/>
        <w:tc>
          <w:tcPr>
            <w:tcW w:w="1840" w:type="dxa"/>
            <w:vMerge w:val="continue"/>
            <w:tcBorders/>
            <w:vAlign w:val="center"/>
          </w:tcPr>
          <w:p>
            <w:pPr>
              <w:pStyle w:val="Style38"/>
              <w:widowControl/>
              <w:spacing w:before="0" w:after="0"/>
              <w:ind w:left="0" w:right="0" w:hanging="0"/>
              <w:contextualSpacing/>
              <w:jc w:val="center"/>
              <w:rPr>
                <w:sz w:val="20"/>
              </w:rPr>
            </w:pPr>
            <w:commentRangeStart w:id="0"/>
            <w:r>
              <w:rPr>
                <w:kern w:val="0"/>
                <w:sz w:val="20"/>
                <w:lang w:val="ru-RU" w:bidi="ar-SA"/>
              </w:rPr>
            </w:r>
          </w:p>
        </w:tc>
        <w:tc>
          <w:tcPr>
            <w:tcW w:w="1560" w:type="dxa"/>
            <w:tcBorders/>
            <w:vAlign w:val="center"/>
          </w:tcPr>
          <w:p>
            <w:pPr>
              <w:pStyle w:val="Style38"/>
              <w:widowControl/>
              <w:spacing w:before="0" w:after="0"/>
              <w:ind w:left="0" w:right="0" w:hanging="0"/>
              <w:contextualSpacing/>
              <w:jc w:val="center"/>
              <w:rPr>
                <w:sz w:val="20"/>
              </w:rPr>
            </w:pPr>
            <w:r>
              <w:rPr>
                <w:kern w:val="0"/>
                <w:sz w:val="20"/>
                <w:lang w:val="ru-RU" w:bidi="ar-SA"/>
              </w:rPr>
              <w:t>Водоохранная зона</w:t>
            </w:r>
          </w:p>
        </w:tc>
        <w:tc>
          <w:tcPr>
            <w:tcW w:w="995" w:type="dxa"/>
            <w:tcBorders/>
            <w:vAlign w:val="center"/>
          </w:tcPr>
          <w:p>
            <w:pPr>
              <w:pStyle w:val="Style38"/>
              <w:widowControl/>
              <w:spacing w:before="0" w:after="0"/>
              <w:ind w:left="0" w:right="0" w:hanging="0"/>
              <w:contextualSpacing/>
              <w:jc w:val="center"/>
              <w:rPr>
                <w:sz w:val="20"/>
              </w:rPr>
            </w:pPr>
            <w:r>
              <w:rPr>
                <w:kern w:val="0"/>
                <w:sz w:val="20"/>
                <w:lang w:val="ru-RU" w:bidi="ar-SA"/>
              </w:rPr>
              <w:t>50</w:t>
            </w:r>
          </w:p>
        </w:tc>
        <w:tc>
          <w:tcPr>
            <w:tcW w:w="1416" w:type="dxa"/>
            <w:tcBorders/>
            <w:vAlign w:val="center"/>
          </w:tcPr>
          <w:p>
            <w:pPr>
              <w:pStyle w:val="Style38"/>
              <w:widowControl/>
              <w:spacing w:before="0" w:after="0"/>
              <w:ind w:left="0" w:right="0" w:hanging="0"/>
              <w:contextualSpacing/>
              <w:jc w:val="center"/>
              <w:rPr>
                <w:sz w:val="20"/>
              </w:rPr>
            </w:pPr>
            <w:r>
              <w:rPr>
                <w:kern w:val="0"/>
                <w:sz w:val="20"/>
                <w:lang w:val="ru-RU" w:bidi="ar-SA"/>
              </w:rPr>
              <w:t>-</w:t>
            </w:r>
          </w:p>
        </w:tc>
        <w:tc>
          <w:tcPr>
            <w:tcW w:w="2129" w:type="dxa"/>
            <w:tcBorders/>
            <w:vAlign w:val="center"/>
          </w:tcPr>
          <w:p>
            <w:pPr>
              <w:pStyle w:val="Style38"/>
              <w:widowControl/>
              <w:spacing w:before="0" w:after="0"/>
              <w:ind w:left="0" w:right="0" w:hanging="0"/>
              <w:contextualSpacing/>
              <w:jc w:val="center"/>
              <w:rPr>
                <w:sz w:val="20"/>
              </w:rPr>
            </w:pPr>
            <w:r>
              <w:rPr>
                <w:kern w:val="0"/>
                <w:sz w:val="20"/>
                <w:lang w:val="ru-RU" w:bidi="ar-SA"/>
              </w:rPr>
              <w:t xml:space="preserve">ст. 65 Водный кодекс РФ </w:t>
            </w:r>
          </w:p>
        </w:tc>
        <w:tc>
          <w:tcPr>
            <w:tcW w:w="1980" w:type="dxa"/>
            <w:tcBorders/>
            <w:vAlign w:val="center"/>
          </w:tcPr>
          <w:p>
            <w:pPr>
              <w:pStyle w:val="Style38"/>
              <w:widowControl/>
              <w:spacing w:before="0" w:after="0"/>
              <w:ind w:left="0" w:right="0" w:hanging="0"/>
              <w:contextualSpacing/>
              <w:jc w:val="center"/>
              <w:rPr>
                <w:sz w:val="20"/>
                <w:highlight w:val="yellow"/>
              </w:rPr>
            </w:pPr>
            <w:r>
              <w:rPr>
                <w:kern w:val="0"/>
                <w:sz w:val="20"/>
                <w:lang w:val="ru-RU" w:bidi="ar-SA"/>
              </w:rPr>
              <w:t>Соблюдается</w:t>
            </w:r>
            <w:commentRangeEnd w:id="0"/>
            <w:r>
              <w:commentReference w:id="0"/>
            </w:r>
            <w:r>
              <w:rPr>
                <w:kern w:val="0"/>
                <w:sz w:val="20"/>
                <w:lang w:val="ru-RU" w:bidi="ar-SA"/>
              </w:rPr>
            </w:r>
          </w:p>
        </w:tc>
      </w:tr>
      <w:tr>
        <w:trPr>
          <w:trHeight w:val="684" w:hRule="atLeast"/>
        </w:trPr>
        <w:tc>
          <w:tcPr>
            <w:tcW w:w="1840" w:type="dxa"/>
            <w:vMerge w:val="restart"/>
            <w:tcBorders/>
            <w:vAlign w:val="center"/>
          </w:tcPr>
          <w:p>
            <w:pPr>
              <w:pStyle w:val="Style38"/>
              <w:widowControl/>
              <w:spacing w:before="0" w:after="0"/>
              <w:ind w:left="0" w:right="0" w:hanging="0"/>
              <w:contextualSpacing/>
              <w:jc w:val="center"/>
              <w:rPr>
                <w:sz w:val="20"/>
              </w:rPr>
            </w:pPr>
            <w:r>
              <w:rPr>
                <w:kern w:val="0"/>
                <w:sz w:val="20"/>
                <w:lang w:val="ru-RU" w:bidi="ar-SA"/>
              </w:rPr>
              <w:t>Река Малая Ташевка (приток Куйбышевского водохранилища)</w:t>
            </w:r>
          </w:p>
        </w:tc>
        <w:tc>
          <w:tcPr>
            <w:tcW w:w="1560" w:type="dxa"/>
            <w:tcBorders/>
            <w:vAlign w:val="center"/>
          </w:tcPr>
          <w:p>
            <w:pPr>
              <w:pStyle w:val="Style38"/>
              <w:widowControl/>
              <w:spacing w:before="0" w:after="0"/>
              <w:ind w:left="0" w:right="0" w:hanging="0"/>
              <w:contextualSpacing/>
              <w:jc w:val="center"/>
              <w:rPr>
                <w:sz w:val="20"/>
              </w:rPr>
            </w:pPr>
            <w:r>
              <w:rPr>
                <w:kern w:val="0"/>
                <w:sz w:val="20"/>
                <w:lang w:val="ru-RU" w:bidi="ar-SA"/>
              </w:rPr>
              <w:t>Береговая полоса</w:t>
            </w:r>
          </w:p>
        </w:tc>
        <w:tc>
          <w:tcPr>
            <w:tcW w:w="995" w:type="dxa"/>
            <w:tcBorders/>
            <w:vAlign w:val="center"/>
          </w:tcPr>
          <w:p>
            <w:pPr>
              <w:pStyle w:val="Style38"/>
              <w:widowControl/>
              <w:spacing w:before="0" w:after="0"/>
              <w:ind w:left="0" w:right="0" w:hanging="0"/>
              <w:contextualSpacing/>
              <w:jc w:val="center"/>
              <w:rPr>
                <w:sz w:val="20"/>
              </w:rPr>
            </w:pPr>
            <w:r>
              <w:rPr>
                <w:kern w:val="0"/>
                <w:sz w:val="20"/>
                <w:lang w:val="ru-RU" w:bidi="ar-SA"/>
              </w:rPr>
              <w:t>5</w:t>
            </w:r>
          </w:p>
        </w:tc>
        <w:tc>
          <w:tcPr>
            <w:tcW w:w="1416" w:type="dxa"/>
            <w:tcBorders/>
            <w:vAlign w:val="center"/>
          </w:tcPr>
          <w:p>
            <w:pPr>
              <w:pStyle w:val="Style38"/>
              <w:widowControl/>
              <w:spacing w:before="0" w:after="0"/>
              <w:ind w:left="0" w:right="0" w:hanging="0"/>
              <w:contextualSpacing/>
              <w:jc w:val="center"/>
              <w:rPr>
                <w:sz w:val="20"/>
              </w:rPr>
            </w:pPr>
            <w:r>
              <w:rPr>
                <w:kern w:val="0"/>
                <w:sz w:val="20"/>
                <w:lang w:val="ru-RU" w:bidi="ar-SA"/>
              </w:rPr>
              <w:t>-</w:t>
            </w:r>
          </w:p>
        </w:tc>
        <w:tc>
          <w:tcPr>
            <w:tcW w:w="2129" w:type="dxa"/>
            <w:tcBorders/>
            <w:vAlign w:val="center"/>
          </w:tcPr>
          <w:p>
            <w:pPr>
              <w:pStyle w:val="Style38"/>
              <w:widowControl/>
              <w:spacing w:before="0" w:after="0"/>
              <w:ind w:left="0" w:right="0" w:hanging="0"/>
              <w:contextualSpacing/>
              <w:jc w:val="center"/>
              <w:rPr>
                <w:sz w:val="20"/>
              </w:rPr>
            </w:pPr>
            <w:r>
              <w:rPr>
                <w:kern w:val="0"/>
                <w:sz w:val="20"/>
                <w:lang w:val="ru-RU" w:bidi="ar-SA"/>
              </w:rPr>
              <w:t>Водный кодекс ст. 6</w:t>
            </w:r>
          </w:p>
        </w:tc>
        <w:tc>
          <w:tcPr>
            <w:tcW w:w="1980" w:type="dxa"/>
            <w:tcBorders/>
            <w:vAlign w:val="center"/>
          </w:tcPr>
          <w:p>
            <w:pPr>
              <w:pStyle w:val="Style38"/>
              <w:widowControl/>
              <w:spacing w:before="0" w:after="0"/>
              <w:ind w:left="0" w:right="0" w:hanging="0"/>
              <w:contextualSpacing/>
              <w:jc w:val="center"/>
              <w:rPr>
                <w:sz w:val="20"/>
                <w:highlight w:val="yellow"/>
              </w:rPr>
            </w:pPr>
            <w:r>
              <w:rPr>
                <w:kern w:val="0"/>
                <w:sz w:val="20"/>
                <w:lang w:val="ru-RU" w:bidi="ar-SA"/>
              </w:rPr>
              <w:t>Соблюдается</w:t>
            </w:r>
          </w:p>
        </w:tc>
      </w:tr>
      <w:tr>
        <w:trPr/>
        <w:tc>
          <w:tcPr>
            <w:tcW w:w="1840" w:type="dxa"/>
            <w:vMerge w:val="continue"/>
            <w:tcBorders/>
            <w:vAlign w:val="center"/>
          </w:tcPr>
          <w:p>
            <w:pPr>
              <w:pStyle w:val="Style38"/>
              <w:widowControl/>
              <w:spacing w:before="0" w:after="0"/>
              <w:ind w:left="0" w:right="0" w:hanging="0"/>
              <w:contextualSpacing/>
              <w:jc w:val="center"/>
              <w:rPr>
                <w:sz w:val="20"/>
                <w:highlight w:val="yellow"/>
              </w:rPr>
            </w:pPr>
            <w:r>
              <w:rPr>
                <w:kern w:val="0"/>
                <w:sz w:val="20"/>
                <w:highlight w:val="yellow"/>
                <w:lang w:val="ru-RU" w:bidi="ar-SA"/>
              </w:rPr>
            </w:r>
          </w:p>
        </w:tc>
        <w:tc>
          <w:tcPr>
            <w:tcW w:w="1560" w:type="dxa"/>
            <w:tcBorders/>
            <w:vAlign w:val="center"/>
          </w:tcPr>
          <w:p>
            <w:pPr>
              <w:pStyle w:val="Style38"/>
              <w:widowControl/>
              <w:spacing w:before="0" w:after="0"/>
              <w:ind w:left="0" w:right="0" w:hanging="0"/>
              <w:contextualSpacing/>
              <w:jc w:val="center"/>
              <w:rPr>
                <w:sz w:val="20"/>
              </w:rPr>
            </w:pPr>
            <w:r>
              <w:rPr>
                <w:kern w:val="0"/>
                <w:sz w:val="20"/>
                <w:lang w:val="ru-RU" w:bidi="ar-SA"/>
              </w:rPr>
              <w:t>Прибрежная защитная полоса</w:t>
            </w:r>
          </w:p>
        </w:tc>
        <w:tc>
          <w:tcPr>
            <w:tcW w:w="995" w:type="dxa"/>
            <w:tcBorders/>
            <w:vAlign w:val="center"/>
          </w:tcPr>
          <w:p>
            <w:pPr>
              <w:pStyle w:val="Style38"/>
              <w:widowControl/>
              <w:spacing w:before="0" w:after="0"/>
              <w:ind w:left="0" w:right="0" w:hanging="0"/>
              <w:contextualSpacing/>
              <w:jc w:val="center"/>
              <w:rPr>
                <w:sz w:val="20"/>
              </w:rPr>
            </w:pPr>
            <w:r>
              <w:rPr>
                <w:kern w:val="0"/>
                <w:sz w:val="20"/>
                <w:lang w:val="ru-RU" w:bidi="ar-SA"/>
              </w:rPr>
              <w:t>50</w:t>
            </w:r>
          </w:p>
        </w:tc>
        <w:tc>
          <w:tcPr>
            <w:tcW w:w="1416" w:type="dxa"/>
            <w:tcBorders/>
            <w:vAlign w:val="center"/>
          </w:tcPr>
          <w:p>
            <w:pPr>
              <w:pStyle w:val="Style38"/>
              <w:widowControl/>
              <w:spacing w:before="0" w:after="0"/>
              <w:ind w:left="0" w:right="0" w:hanging="0"/>
              <w:contextualSpacing/>
              <w:jc w:val="center"/>
              <w:rPr>
                <w:sz w:val="20"/>
              </w:rPr>
            </w:pPr>
            <w:r>
              <w:rPr>
                <w:kern w:val="0"/>
                <w:sz w:val="20"/>
                <w:lang w:val="ru-RU" w:bidi="ar-SA"/>
              </w:rPr>
              <w:t>-</w:t>
            </w:r>
          </w:p>
        </w:tc>
        <w:tc>
          <w:tcPr>
            <w:tcW w:w="2129" w:type="dxa"/>
            <w:tcBorders/>
            <w:vAlign w:val="center"/>
          </w:tcPr>
          <w:p>
            <w:pPr>
              <w:pStyle w:val="Style38"/>
              <w:widowControl/>
              <w:spacing w:before="0" w:after="0"/>
              <w:ind w:left="0" w:right="0" w:hanging="0"/>
              <w:contextualSpacing/>
              <w:jc w:val="center"/>
              <w:rPr>
                <w:sz w:val="20"/>
              </w:rPr>
            </w:pPr>
            <w:r>
              <w:rPr>
                <w:kern w:val="0"/>
                <w:sz w:val="20"/>
                <w:lang w:val="ru-RU" w:bidi="ar-SA"/>
              </w:rPr>
              <w:t>ст. 65 Водный кодекс РФ</w:t>
            </w:r>
          </w:p>
        </w:tc>
        <w:tc>
          <w:tcPr>
            <w:tcW w:w="1980" w:type="dxa"/>
            <w:tcBorders/>
            <w:vAlign w:val="center"/>
          </w:tcPr>
          <w:p>
            <w:pPr>
              <w:pStyle w:val="Style38"/>
              <w:widowControl/>
              <w:spacing w:before="0" w:after="0"/>
              <w:ind w:left="0" w:right="0" w:hanging="0"/>
              <w:contextualSpacing/>
              <w:jc w:val="center"/>
              <w:rPr>
                <w:sz w:val="20"/>
                <w:highlight w:val="yellow"/>
              </w:rPr>
            </w:pPr>
            <w:r>
              <w:rPr>
                <w:kern w:val="0"/>
                <w:sz w:val="20"/>
                <w:lang w:val="ru-RU" w:bidi="ar-SA"/>
              </w:rPr>
              <w:t>Соблюдается</w:t>
            </w:r>
          </w:p>
        </w:tc>
      </w:tr>
      <w:tr>
        <w:trPr/>
        <w:tc>
          <w:tcPr>
            <w:tcW w:w="1840" w:type="dxa"/>
            <w:vMerge w:val="continue"/>
            <w:tcBorders/>
            <w:vAlign w:val="center"/>
          </w:tcPr>
          <w:p>
            <w:pPr>
              <w:pStyle w:val="Style38"/>
              <w:widowControl/>
              <w:spacing w:before="0" w:after="0"/>
              <w:ind w:left="0" w:right="0" w:hanging="0"/>
              <w:contextualSpacing/>
              <w:jc w:val="center"/>
              <w:rPr>
                <w:sz w:val="20"/>
                <w:highlight w:val="yellow"/>
              </w:rPr>
            </w:pPr>
            <w:r>
              <w:rPr>
                <w:kern w:val="0"/>
                <w:sz w:val="20"/>
                <w:highlight w:val="yellow"/>
                <w:lang w:val="ru-RU" w:bidi="ar-SA"/>
              </w:rPr>
            </w:r>
          </w:p>
        </w:tc>
        <w:tc>
          <w:tcPr>
            <w:tcW w:w="1560" w:type="dxa"/>
            <w:tcBorders/>
            <w:vAlign w:val="center"/>
          </w:tcPr>
          <w:p>
            <w:pPr>
              <w:pStyle w:val="Style38"/>
              <w:widowControl/>
              <w:spacing w:before="0" w:after="0"/>
              <w:ind w:left="0" w:right="0" w:hanging="0"/>
              <w:contextualSpacing/>
              <w:jc w:val="center"/>
              <w:rPr>
                <w:sz w:val="20"/>
              </w:rPr>
            </w:pPr>
            <w:r>
              <w:rPr>
                <w:kern w:val="0"/>
                <w:sz w:val="20"/>
                <w:lang w:val="ru-RU" w:bidi="ar-SA"/>
              </w:rPr>
              <w:t>Водоохранная зона</w:t>
            </w:r>
          </w:p>
        </w:tc>
        <w:tc>
          <w:tcPr>
            <w:tcW w:w="995" w:type="dxa"/>
            <w:tcBorders/>
            <w:vAlign w:val="center"/>
          </w:tcPr>
          <w:p>
            <w:pPr>
              <w:pStyle w:val="Style38"/>
              <w:widowControl/>
              <w:spacing w:before="0" w:after="0"/>
              <w:ind w:left="0" w:right="0" w:hanging="0"/>
              <w:contextualSpacing/>
              <w:jc w:val="center"/>
              <w:rPr>
                <w:sz w:val="20"/>
              </w:rPr>
            </w:pPr>
            <w:r>
              <w:rPr>
                <w:kern w:val="0"/>
                <w:sz w:val="20"/>
                <w:lang w:val="ru-RU" w:bidi="ar-SA"/>
              </w:rPr>
              <w:t>50</w:t>
            </w:r>
          </w:p>
        </w:tc>
        <w:tc>
          <w:tcPr>
            <w:tcW w:w="1416" w:type="dxa"/>
            <w:tcBorders/>
            <w:vAlign w:val="center"/>
          </w:tcPr>
          <w:p>
            <w:pPr>
              <w:pStyle w:val="Style38"/>
              <w:widowControl/>
              <w:spacing w:before="0" w:after="0"/>
              <w:ind w:left="0" w:right="0" w:hanging="0"/>
              <w:contextualSpacing/>
              <w:jc w:val="center"/>
              <w:rPr>
                <w:sz w:val="20"/>
              </w:rPr>
            </w:pPr>
            <w:r>
              <w:rPr>
                <w:kern w:val="0"/>
                <w:sz w:val="20"/>
                <w:lang w:val="ru-RU" w:bidi="ar-SA"/>
              </w:rPr>
              <w:t>-</w:t>
            </w:r>
          </w:p>
        </w:tc>
        <w:tc>
          <w:tcPr>
            <w:tcW w:w="2129" w:type="dxa"/>
            <w:tcBorders/>
            <w:vAlign w:val="center"/>
          </w:tcPr>
          <w:p>
            <w:pPr>
              <w:pStyle w:val="Style38"/>
              <w:widowControl/>
              <w:spacing w:before="0" w:after="0"/>
              <w:ind w:left="0" w:right="0" w:hanging="0"/>
              <w:contextualSpacing/>
              <w:jc w:val="center"/>
              <w:rPr>
                <w:sz w:val="20"/>
              </w:rPr>
            </w:pPr>
            <w:r>
              <w:rPr>
                <w:kern w:val="0"/>
                <w:sz w:val="20"/>
                <w:lang w:val="ru-RU" w:bidi="ar-SA"/>
              </w:rPr>
              <w:t>ст. 65 Водный кодекс РФ</w:t>
            </w:r>
          </w:p>
        </w:tc>
        <w:tc>
          <w:tcPr>
            <w:tcW w:w="1980" w:type="dxa"/>
            <w:tcBorders/>
            <w:vAlign w:val="center"/>
          </w:tcPr>
          <w:p>
            <w:pPr>
              <w:pStyle w:val="Style38"/>
              <w:widowControl/>
              <w:spacing w:before="0" w:after="0"/>
              <w:ind w:left="0" w:right="0" w:hanging="0"/>
              <w:contextualSpacing/>
              <w:jc w:val="center"/>
              <w:rPr>
                <w:sz w:val="20"/>
                <w:highlight w:val="yellow"/>
              </w:rPr>
            </w:pPr>
            <w:r>
              <w:rPr>
                <w:kern w:val="0"/>
                <w:sz w:val="20"/>
                <w:lang w:val="ru-RU" w:bidi="ar-SA"/>
              </w:rPr>
              <w:t>Соблюдается</w:t>
            </w:r>
          </w:p>
        </w:tc>
      </w:tr>
      <w:tr>
        <w:trPr/>
        <w:tc>
          <w:tcPr>
            <w:tcW w:w="1840" w:type="dxa"/>
            <w:vMerge w:val="restart"/>
            <w:tcBorders/>
            <w:vAlign w:val="center"/>
          </w:tcPr>
          <w:p>
            <w:pPr>
              <w:pStyle w:val="Style38"/>
              <w:widowControl/>
              <w:spacing w:before="0" w:after="0"/>
              <w:ind w:left="0" w:right="0" w:hanging="0"/>
              <w:contextualSpacing/>
              <w:jc w:val="center"/>
              <w:rPr>
                <w:sz w:val="20"/>
              </w:rPr>
            </w:pPr>
            <w:r>
              <w:rPr>
                <w:kern w:val="0"/>
                <w:sz w:val="20"/>
                <w:lang w:val="ru-RU" w:bidi="ar-SA"/>
              </w:rPr>
              <w:t>Водотоки с длиной менее 10 км</w:t>
            </w:r>
          </w:p>
        </w:tc>
        <w:tc>
          <w:tcPr>
            <w:tcW w:w="1560" w:type="dxa"/>
            <w:tcBorders/>
            <w:vAlign w:val="center"/>
          </w:tcPr>
          <w:p>
            <w:pPr>
              <w:pStyle w:val="Style38"/>
              <w:widowControl/>
              <w:spacing w:before="0" w:after="0"/>
              <w:ind w:left="0" w:right="0" w:hanging="0"/>
              <w:contextualSpacing/>
              <w:jc w:val="center"/>
              <w:rPr>
                <w:sz w:val="20"/>
              </w:rPr>
            </w:pPr>
            <w:r>
              <w:rPr>
                <w:kern w:val="0"/>
                <w:sz w:val="20"/>
                <w:lang w:val="ru-RU" w:bidi="ar-SA"/>
              </w:rPr>
              <w:t>Береговая полоса</w:t>
            </w:r>
          </w:p>
        </w:tc>
        <w:tc>
          <w:tcPr>
            <w:tcW w:w="995" w:type="dxa"/>
            <w:tcBorders/>
            <w:vAlign w:val="center"/>
          </w:tcPr>
          <w:p>
            <w:pPr>
              <w:pStyle w:val="Style38"/>
              <w:widowControl/>
              <w:spacing w:before="0" w:after="0"/>
              <w:ind w:left="0" w:right="0" w:hanging="0"/>
              <w:contextualSpacing/>
              <w:jc w:val="center"/>
              <w:rPr>
                <w:sz w:val="20"/>
              </w:rPr>
            </w:pPr>
            <w:r>
              <w:rPr>
                <w:kern w:val="0"/>
                <w:sz w:val="20"/>
                <w:lang w:val="ru-RU" w:bidi="ar-SA"/>
              </w:rPr>
              <w:t>5</w:t>
            </w:r>
          </w:p>
        </w:tc>
        <w:tc>
          <w:tcPr>
            <w:tcW w:w="1416" w:type="dxa"/>
            <w:tcBorders/>
            <w:vAlign w:val="center"/>
          </w:tcPr>
          <w:p>
            <w:pPr>
              <w:pStyle w:val="Style38"/>
              <w:widowControl/>
              <w:spacing w:before="0" w:after="0"/>
              <w:ind w:left="0" w:right="0" w:hanging="0"/>
              <w:contextualSpacing/>
              <w:jc w:val="center"/>
              <w:rPr>
                <w:sz w:val="20"/>
              </w:rPr>
            </w:pPr>
            <w:r>
              <w:rPr>
                <w:kern w:val="0"/>
                <w:sz w:val="20"/>
                <w:lang w:val="ru-RU" w:bidi="ar-SA"/>
              </w:rPr>
              <w:t>-</w:t>
            </w:r>
          </w:p>
        </w:tc>
        <w:tc>
          <w:tcPr>
            <w:tcW w:w="2129" w:type="dxa"/>
            <w:tcBorders/>
            <w:vAlign w:val="center"/>
          </w:tcPr>
          <w:p>
            <w:pPr>
              <w:pStyle w:val="Style38"/>
              <w:widowControl/>
              <w:spacing w:before="0" w:after="0"/>
              <w:ind w:left="0" w:right="0" w:hanging="0"/>
              <w:contextualSpacing/>
              <w:jc w:val="center"/>
              <w:rPr>
                <w:sz w:val="20"/>
              </w:rPr>
            </w:pPr>
            <w:r>
              <w:rPr>
                <w:kern w:val="0"/>
                <w:sz w:val="20"/>
                <w:lang w:val="ru-RU" w:bidi="ar-SA"/>
              </w:rPr>
              <w:t xml:space="preserve">ст. 6 Водный кодекс РФ </w:t>
            </w:r>
          </w:p>
        </w:tc>
        <w:tc>
          <w:tcPr>
            <w:tcW w:w="1980" w:type="dxa"/>
            <w:tcBorders/>
            <w:vAlign w:val="center"/>
          </w:tcPr>
          <w:p>
            <w:pPr>
              <w:pStyle w:val="Style38"/>
              <w:widowControl/>
              <w:spacing w:before="0" w:after="0"/>
              <w:ind w:left="0" w:right="0" w:hanging="0"/>
              <w:contextualSpacing/>
              <w:jc w:val="center"/>
              <w:rPr>
                <w:sz w:val="20"/>
              </w:rPr>
            </w:pPr>
            <w:r>
              <w:rPr>
                <w:kern w:val="0"/>
                <w:sz w:val="20"/>
                <w:lang w:val="ru-RU" w:bidi="ar-SA"/>
              </w:rPr>
              <w:t>Попадает зона застройки индивидуальными жилыми домами, производственная зона</w:t>
            </w:r>
          </w:p>
        </w:tc>
      </w:tr>
      <w:tr>
        <w:trPr/>
        <w:tc>
          <w:tcPr>
            <w:tcW w:w="1840" w:type="dxa"/>
            <w:vMerge w:val="continue"/>
            <w:tcBorders/>
            <w:vAlign w:val="center"/>
          </w:tcPr>
          <w:p>
            <w:pPr>
              <w:pStyle w:val="Style38"/>
              <w:widowControl/>
              <w:spacing w:before="0" w:after="0"/>
              <w:ind w:left="0" w:right="0" w:hanging="0"/>
              <w:contextualSpacing/>
              <w:jc w:val="center"/>
              <w:rPr>
                <w:sz w:val="20"/>
              </w:rPr>
            </w:pPr>
            <w:r>
              <w:rPr>
                <w:kern w:val="0"/>
                <w:sz w:val="20"/>
                <w:lang w:val="ru-RU" w:bidi="ar-SA"/>
              </w:rPr>
            </w:r>
          </w:p>
        </w:tc>
        <w:tc>
          <w:tcPr>
            <w:tcW w:w="1560" w:type="dxa"/>
            <w:tcBorders/>
            <w:vAlign w:val="center"/>
          </w:tcPr>
          <w:p>
            <w:pPr>
              <w:pStyle w:val="Style38"/>
              <w:widowControl/>
              <w:spacing w:before="0" w:after="0"/>
              <w:ind w:left="0" w:right="0" w:hanging="0"/>
              <w:contextualSpacing/>
              <w:jc w:val="center"/>
              <w:rPr>
                <w:sz w:val="20"/>
              </w:rPr>
            </w:pPr>
            <w:r>
              <w:rPr>
                <w:kern w:val="0"/>
                <w:sz w:val="20"/>
                <w:lang w:val="ru-RU" w:bidi="ar-SA"/>
              </w:rPr>
              <w:t>Прибрежная защитная полоса</w:t>
            </w:r>
          </w:p>
        </w:tc>
        <w:tc>
          <w:tcPr>
            <w:tcW w:w="995" w:type="dxa"/>
            <w:tcBorders/>
            <w:vAlign w:val="center"/>
          </w:tcPr>
          <w:p>
            <w:pPr>
              <w:pStyle w:val="Style38"/>
              <w:widowControl/>
              <w:spacing w:before="0" w:after="0"/>
              <w:ind w:left="0" w:right="0" w:hanging="0"/>
              <w:contextualSpacing/>
              <w:jc w:val="center"/>
              <w:rPr>
                <w:sz w:val="20"/>
              </w:rPr>
            </w:pPr>
            <w:r>
              <w:rPr>
                <w:kern w:val="0"/>
                <w:sz w:val="20"/>
                <w:lang w:val="ru-RU" w:bidi="ar-SA"/>
              </w:rPr>
              <w:t>50</w:t>
            </w:r>
          </w:p>
        </w:tc>
        <w:tc>
          <w:tcPr>
            <w:tcW w:w="1416" w:type="dxa"/>
            <w:tcBorders/>
            <w:vAlign w:val="center"/>
          </w:tcPr>
          <w:p>
            <w:pPr>
              <w:pStyle w:val="Style38"/>
              <w:widowControl/>
              <w:spacing w:before="0" w:after="0"/>
              <w:ind w:left="0" w:right="0" w:hanging="0"/>
              <w:contextualSpacing/>
              <w:jc w:val="center"/>
              <w:rPr>
                <w:sz w:val="20"/>
              </w:rPr>
            </w:pPr>
            <w:r>
              <w:rPr>
                <w:kern w:val="0"/>
                <w:sz w:val="20"/>
                <w:lang w:val="ru-RU" w:bidi="ar-SA"/>
              </w:rPr>
              <w:t>-</w:t>
            </w:r>
          </w:p>
        </w:tc>
        <w:tc>
          <w:tcPr>
            <w:tcW w:w="2129" w:type="dxa"/>
            <w:tcBorders/>
            <w:vAlign w:val="center"/>
          </w:tcPr>
          <w:p>
            <w:pPr>
              <w:pStyle w:val="Style38"/>
              <w:widowControl/>
              <w:spacing w:before="0" w:after="0"/>
              <w:ind w:left="0" w:right="0" w:hanging="0"/>
              <w:contextualSpacing/>
              <w:jc w:val="center"/>
              <w:rPr>
                <w:sz w:val="20"/>
              </w:rPr>
            </w:pPr>
            <w:r>
              <w:rPr>
                <w:kern w:val="0"/>
                <w:sz w:val="20"/>
                <w:lang w:val="ru-RU" w:bidi="ar-SA"/>
              </w:rPr>
              <w:t xml:space="preserve">ст. 65 Водный кодекс РФ </w:t>
            </w:r>
          </w:p>
        </w:tc>
        <w:tc>
          <w:tcPr>
            <w:tcW w:w="1980" w:type="dxa"/>
            <w:tcBorders/>
            <w:vAlign w:val="center"/>
          </w:tcPr>
          <w:p>
            <w:pPr>
              <w:pStyle w:val="Style38"/>
              <w:widowControl/>
              <w:spacing w:before="0" w:after="0"/>
              <w:ind w:left="0" w:right="0" w:hanging="0"/>
              <w:contextualSpacing/>
              <w:jc w:val="center"/>
              <w:rPr>
                <w:sz w:val="20"/>
              </w:rPr>
            </w:pPr>
            <w:r>
              <w:rPr>
                <w:kern w:val="0"/>
                <w:sz w:val="20"/>
                <w:lang w:val="ru-RU" w:bidi="ar-SA"/>
              </w:rPr>
              <w:t>Соблюдается</w:t>
            </w:r>
          </w:p>
        </w:tc>
      </w:tr>
      <w:tr>
        <w:trPr/>
        <w:tc>
          <w:tcPr>
            <w:tcW w:w="1840" w:type="dxa"/>
            <w:vMerge w:val="continue"/>
            <w:tcBorders/>
            <w:vAlign w:val="center"/>
          </w:tcPr>
          <w:p>
            <w:pPr>
              <w:pStyle w:val="Style38"/>
              <w:widowControl/>
              <w:spacing w:before="0" w:after="0"/>
              <w:ind w:left="0" w:right="0" w:hanging="0"/>
              <w:contextualSpacing/>
              <w:jc w:val="center"/>
              <w:rPr>
                <w:sz w:val="20"/>
              </w:rPr>
            </w:pPr>
            <w:r>
              <w:rPr>
                <w:kern w:val="0"/>
                <w:sz w:val="20"/>
                <w:lang w:val="ru-RU" w:bidi="ar-SA"/>
              </w:rPr>
            </w:r>
          </w:p>
        </w:tc>
        <w:tc>
          <w:tcPr>
            <w:tcW w:w="1560" w:type="dxa"/>
            <w:tcBorders/>
            <w:vAlign w:val="center"/>
          </w:tcPr>
          <w:p>
            <w:pPr>
              <w:pStyle w:val="Style38"/>
              <w:widowControl/>
              <w:spacing w:before="0" w:after="0"/>
              <w:ind w:left="0" w:right="0" w:hanging="0"/>
              <w:contextualSpacing/>
              <w:jc w:val="center"/>
              <w:rPr>
                <w:sz w:val="20"/>
              </w:rPr>
            </w:pPr>
            <w:r>
              <w:rPr>
                <w:kern w:val="0"/>
                <w:sz w:val="20"/>
                <w:lang w:val="ru-RU" w:bidi="ar-SA"/>
              </w:rPr>
              <w:t>Водоохранная зона</w:t>
            </w:r>
          </w:p>
        </w:tc>
        <w:tc>
          <w:tcPr>
            <w:tcW w:w="995" w:type="dxa"/>
            <w:tcBorders/>
            <w:vAlign w:val="center"/>
          </w:tcPr>
          <w:p>
            <w:pPr>
              <w:pStyle w:val="Style38"/>
              <w:widowControl/>
              <w:spacing w:before="0" w:after="0"/>
              <w:ind w:left="0" w:right="0" w:hanging="0"/>
              <w:contextualSpacing/>
              <w:jc w:val="center"/>
              <w:rPr>
                <w:sz w:val="20"/>
              </w:rPr>
            </w:pPr>
            <w:r>
              <w:rPr>
                <w:kern w:val="0"/>
                <w:sz w:val="20"/>
                <w:lang w:val="ru-RU" w:bidi="ar-SA"/>
              </w:rPr>
              <w:t>50</w:t>
            </w:r>
          </w:p>
        </w:tc>
        <w:tc>
          <w:tcPr>
            <w:tcW w:w="1416" w:type="dxa"/>
            <w:tcBorders/>
            <w:vAlign w:val="center"/>
          </w:tcPr>
          <w:p>
            <w:pPr>
              <w:pStyle w:val="Style38"/>
              <w:widowControl/>
              <w:spacing w:before="0" w:after="0"/>
              <w:ind w:left="0" w:right="0" w:hanging="0"/>
              <w:contextualSpacing/>
              <w:jc w:val="center"/>
              <w:rPr>
                <w:sz w:val="20"/>
              </w:rPr>
            </w:pPr>
            <w:r>
              <w:rPr>
                <w:kern w:val="0"/>
                <w:sz w:val="20"/>
                <w:lang w:val="ru-RU" w:bidi="ar-SA"/>
              </w:rPr>
              <w:t>-</w:t>
            </w:r>
          </w:p>
        </w:tc>
        <w:tc>
          <w:tcPr>
            <w:tcW w:w="2129" w:type="dxa"/>
            <w:tcBorders/>
            <w:vAlign w:val="center"/>
          </w:tcPr>
          <w:p>
            <w:pPr>
              <w:pStyle w:val="Style38"/>
              <w:widowControl/>
              <w:spacing w:before="0" w:after="0"/>
              <w:ind w:left="0" w:right="0" w:hanging="0"/>
              <w:contextualSpacing/>
              <w:jc w:val="center"/>
              <w:rPr>
                <w:sz w:val="20"/>
              </w:rPr>
            </w:pPr>
            <w:r>
              <w:rPr>
                <w:kern w:val="0"/>
                <w:sz w:val="20"/>
                <w:lang w:val="ru-RU" w:bidi="ar-SA"/>
              </w:rPr>
              <w:t xml:space="preserve">ст. 65 Водный кодекс РФ </w:t>
            </w:r>
          </w:p>
        </w:tc>
        <w:tc>
          <w:tcPr>
            <w:tcW w:w="1980" w:type="dxa"/>
            <w:tcBorders/>
            <w:vAlign w:val="center"/>
          </w:tcPr>
          <w:p>
            <w:pPr>
              <w:pStyle w:val="Style38"/>
              <w:widowControl/>
              <w:spacing w:before="0" w:after="0"/>
              <w:ind w:left="0" w:right="0" w:hanging="0"/>
              <w:contextualSpacing/>
              <w:jc w:val="center"/>
              <w:rPr>
                <w:sz w:val="20"/>
              </w:rPr>
            </w:pPr>
            <w:r>
              <w:rPr>
                <w:kern w:val="0"/>
                <w:sz w:val="20"/>
                <w:lang w:val="ru-RU" w:bidi="ar-SA"/>
              </w:rPr>
              <w:t>Соблюдается</w:t>
            </w:r>
          </w:p>
        </w:tc>
      </w:tr>
    </w:tbl>
    <w:p>
      <w:pPr>
        <w:pStyle w:val="Normal"/>
        <w:widowControl w:val="false"/>
        <w:suppressAutoHyphens w:val="true"/>
        <w:spacing w:lineRule="auto" w:line="240" w:before="0" w:after="0"/>
        <w:jc w:val="right"/>
        <w:rPr>
          <w:rFonts w:ascii="Times New Roman" w:hAnsi="Times New Roman" w:cs="Times New Roman"/>
          <w:sz w:val="28"/>
          <w:szCs w:val="28"/>
          <w:lang w:eastAsia="ru-RU"/>
        </w:rPr>
      </w:pPr>
      <w:r>
        <w:rPr>
          <w:rFonts w:cs="Times New Roman" w:ascii="Times New Roman" w:hAnsi="Times New Roman"/>
          <w:sz w:val="28"/>
          <w:szCs w:val="28"/>
          <w:lang w:eastAsia="ru-RU"/>
        </w:rPr>
      </w:r>
    </w:p>
    <w:p>
      <w:pPr>
        <w:pStyle w:val="Normal"/>
        <w:widowControl w:val="false"/>
        <w:suppressAutoHyphens w:val="true"/>
        <w:spacing w:lineRule="auto" w:line="240" w:before="0" w:after="0"/>
        <w:jc w:val="both"/>
        <w:rPr>
          <w:rFonts w:ascii="Times New Roman" w:hAnsi="Times New Roman" w:cs="Times New Roman"/>
          <w:sz w:val="20"/>
          <w:szCs w:val="28"/>
          <w:lang w:eastAsia="ru-RU"/>
        </w:rPr>
      </w:pPr>
      <w:r>
        <w:rPr>
          <w:rFonts w:cs="Times New Roman" w:ascii="Times New Roman" w:hAnsi="Times New Roman"/>
          <w:sz w:val="20"/>
          <w:szCs w:val="28"/>
          <w:lang w:eastAsia="ru-RU"/>
        </w:rPr>
        <w:t>*Решение о размере зоны охраны водного объекта принято разработчиком, ввиду отсутствия информации в Водном кодексе, либо в целях охраны водного объекта.</w:t>
      </w:r>
    </w:p>
    <w:p>
      <w:pPr>
        <w:pStyle w:val="Normal"/>
        <w:widowControl w:val="false"/>
        <w:suppressAutoHyphens w:val="true"/>
        <w:spacing w:lineRule="auto" w:line="240" w:before="0" w:after="0"/>
        <w:jc w:val="right"/>
        <w:rPr>
          <w:rFonts w:ascii="Times New Roman" w:hAnsi="Times New Roman" w:cs="Times New Roman"/>
          <w:sz w:val="28"/>
          <w:szCs w:val="28"/>
          <w:lang w:eastAsia="ru-RU"/>
        </w:rPr>
      </w:pPr>
      <w:r>
        <w:rPr>
          <w:rFonts w:cs="Times New Roman" w:ascii="Times New Roman" w:hAnsi="Times New Roman"/>
          <w:sz w:val="28"/>
          <w:szCs w:val="28"/>
          <w:lang w:eastAsia="ru-RU"/>
        </w:rPr>
        <w:t>Таблица 6.9.2</w:t>
      </w:r>
    </w:p>
    <w:p>
      <w:pPr>
        <w:pStyle w:val="Normal"/>
        <w:widowControl w:val="false"/>
        <w:suppressAutoHyphens w:val="true"/>
        <w:spacing w:lineRule="auto" w:line="240" w:before="0" w:after="0"/>
        <w:jc w:val="center"/>
        <w:rPr>
          <w:rFonts w:ascii="Times New Roman" w:hAnsi="Times New Roman" w:cs="Times New Roman"/>
          <w:spacing w:val="2"/>
          <w:sz w:val="28"/>
          <w:szCs w:val="28"/>
          <w:shd w:fill="FFFFFF" w:val="clear"/>
        </w:rPr>
      </w:pPr>
      <w:r>
        <w:rPr>
          <w:rFonts w:cs="Times New Roman" w:ascii="Times New Roman" w:hAnsi="Times New Roman"/>
          <w:sz w:val="28"/>
          <w:szCs w:val="28"/>
        </w:rPr>
        <w:t>Регламенты использования в</w:t>
      </w:r>
      <w:r>
        <w:rPr>
          <w:rFonts w:cs="Times New Roman" w:ascii="Times New Roman" w:hAnsi="Times New Roman"/>
          <w:spacing w:val="2"/>
          <w:sz w:val="28"/>
          <w:szCs w:val="28"/>
          <w:shd w:fill="FFFFFF" w:val="clear"/>
        </w:rPr>
        <w:t>одоохранных зон, прибрежных защитных полос и береговых полос</w:t>
      </w:r>
    </w:p>
    <w:tbl>
      <w:tblPr>
        <w:tblStyle w:val="af0"/>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1951"/>
        <w:gridCol w:w="5569"/>
        <w:gridCol w:w="2401"/>
      </w:tblGrid>
      <w:tr>
        <w:trPr>
          <w:trHeight w:val="983" w:hRule="atLeast"/>
        </w:trPr>
        <w:tc>
          <w:tcPr>
            <w:tcW w:w="1951" w:type="dxa"/>
            <w:tcBorders/>
            <w:vAlign w:val="center"/>
          </w:tcPr>
          <w:p>
            <w:pPr>
              <w:pStyle w:val="Style38"/>
              <w:widowControl/>
              <w:spacing w:before="0" w:after="0"/>
              <w:ind w:left="0" w:right="0" w:hanging="0"/>
              <w:contextualSpacing/>
              <w:jc w:val="center"/>
              <w:rPr>
                <w:sz w:val="20"/>
              </w:rPr>
            </w:pPr>
            <w:r>
              <w:rPr>
                <w:kern w:val="0"/>
                <w:sz w:val="20"/>
                <w:lang w:val="ru-RU" w:bidi="ar-SA"/>
              </w:rPr>
              <w:t>Наименование зоны</w:t>
            </w:r>
          </w:p>
        </w:tc>
        <w:tc>
          <w:tcPr>
            <w:tcW w:w="5569" w:type="dxa"/>
            <w:tcBorders/>
            <w:vAlign w:val="center"/>
          </w:tcPr>
          <w:p>
            <w:pPr>
              <w:pStyle w:val="Style38"/>
              <w:widowControl/>
              <w:spacing w:before="0" w:after="0"/>
              <w:ind w:left="0" w:right="0" w:hanging="0"/>
              <w:contextualSpacing/>
              <w:jc w:val="center"/>
              <w:rPr>
                <w:sz w:val="20"/>
              </w:rPr>
            </w:pPr>
            <w:r>
              <w:rPr>
                <w:kern w:val="0"/>
                <w:sz w:val="20"/>
                <w:lang w:val="ru-RU" w:bidi="ar-SA"/>
              </w:rPr>
              <w:t>Правовой режим использования зоны</w:t>
            </w:r>
          </w:p>
        </w:tc>
        <w:tc>
          <w:tcPr>
            <w:tcW w:w="2401" w:type="dxa"/>
            <w:tcBorders/>
            <w:vAlign w:val="center"/>
          </w:tcPr>
          <w:p>
            <w:pPr>
              <w:pStyle w:val="Style38"/>
              <w:widowControl/>
              <w:spacing w:before="0" w:after="0"/>
              <w:ind w:left="0" w:right="0" w:hanging="0"/>
              <w:contextualSpacing/>
              <w:jc w:val="center"/>
              <w:rPr>
                <w:sz w:val="20"/>
              </w:rPr>
            </w:pPr>
            <w:r>
              <w:rPr>
                <w:kern w:val="0"/>
                <w:sz w:val="20"/>
                <w:lang w:val="ru-RU" w:bidi="ar-SA"/>
              </w:rPr>
              <w:t>Обоснование</w:t>
            </w:r>
          </w:p>
          <w:p>
            <w:pPr>
              <w:pStyle w:val="Style38"/>
              <w:widowControl/>
              <w:spacing w:before="0" w:after="0"/>
              <w:ind w:left="0" w:right="0" w:hanging="0"/>
              <w:contextualSpacing/>
              <w:jc w:val="center"/>
              <w:rPr>
                <w:sz w:val="20"/>
              </w:rPr>
            </w:pPr>
            <w:r>
              <w:rPr>
                <w:kern w:val="0"/>
                <w:sz w:val="20"/>
                <w:lang w:val="ru-RU" w:bidi="ar-SA"/>
              </w:rPr>
              <w:t>(нормативные документы)</w:t>
            </w:r>
          </w:p>
        </w:tc>
      </w:tr>
      <w:tr>
        <w:trPr>
          <w:trHeight w:val="983" w:hRule="atLeast"/>
        </w:trPr>
        <w:tc>
          <w:tcPr>
            <w:tcW w:w="1951" w:type="dxa"/>
            <w:vMerge w:val="restart"/>
            <w:tcBorders/>
            <w:vAlign w:val="center"/>
          </w:tcPr>
          <w:p>
            <w:pPr>
              <w:pStyle w:val="Style38"/>
              <w:widowControl/>
              <w:spacing w:before="0" w:after="0"/>
              <w:ind w:left="0" w:right="0" w:hanging="0"/>
              <w:contextualSpacing/>
              <w:jc w:val="center"/>
              <w:rPr>
                <w:sz w:val="20"/>
              </w:rPr>
            </w:pPr>
            <w:r>
              <w:rPr>
                <w:kern w:val="0"/>
                <w:sz w:val="20"/>
                <w:lang w:val="ru-RU" w:bidi="ar-SA"/>
              </w:rPr>
              <w:t>Береговая полоса</w:t>
            </w:r>
          </w:p>
        </w:tc>
        <w:tc>
          <w:tcPr>
            <w:tcW w:w="5569" w:type="dxa"/>
            <w:tcBorders/>
            <w:vAlign w:val="center"/>
          </w:tcPr>
          <w:p>
            <w:pPr>
              <w:pStyle w:val="Normal"/>
              <w:widowControl/>
              <w:spacing w:lineRule="auto" w:line="240" w:before="0" w:after="0"/>
              <w:ind w:left="0" w:right="0" w:firstLine="68"/>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tc>
        <w:tc>
          <w:tcPr>
            <w:tcW w:w="2401" w:type="dxa"/>
            <w:tcBorders/>
          </w:tcPr>
          <w:p>
            <w:pPr>
              <w:pStyle w:val="Normal"/>
              <w:widowControl/>
              <w:spacing w:lineRule="auto" w:line="240" w:before="0" w:after="0"/>
              <w:jc w:val="both"/>
              <w:rPr>
                <w:rFonts w:ascii="Times New Roman" w:hAnsi="Times New Roman" w:cs="Times New Roman"/>
                <w:bCs/>
                <w:sz w:val="20"/>
                <w:szCs w:val="20"/>
              </w:rPr>
            </w:pPr>
            <w:r>
              <w:rPr>
                <w:rFonts w:eastAsia="Calibri" w:cs="Times New Roman" w:ascii="Times New Roman" w:hAnsi="Times New Roman"/>
                <w:bCs/>
                <w:kern w:val="0"/>
                <w:sz w:val="20"/>
                <w:szCs w:val="20"/>
                <w:lang w:val="ru-RU" w:eastAsia="en-US" w:bidi="ar-SA"/>
              </w:rPr>
              <w:t xml:space="preserve">ст.6 Водный кодекс РФ </w:t>
            </w:r>
          </w:p>
        </w:tc>
      </w:tr>
      <w:tr>
        <w:trPr>
          <w:trHeight w:val="983" w:hRule="atLeast"/>
        </w:trPr>
        <w:tc>
          <w:tcPr>
            <w:tcW w:w="1951" w:type="dxa"/>
            <w:vMerge w:val="continue"/>
            <w:tcBorders/>
            <w:vAlign w:val="center"/>
          </w:tcPr>
          <w:p>
            <w:pPr>
              <w:pStyle w:val="Style38"/>
              <w:widowControl/>
              <w:spacing w:before="0" w:after="0"/>
              <w:ind w:left="0" w:right="0" w:hanging="0"/>
              <w:contextualSpacing/>
              <w:jc w:val="center"/>
              <w:rPr>
                <w:sz w:val="20"/>
              </w:rPr>
            </w:pPr>
            <w:r>
              <w:rPr>
                <w:kern w:val="0"/>
                <w:sz w:val="20"/>
                <w:lang w:val="ru-RU" w:bidi="ar-SA"/>
              </w:rPr>
            </w:r>
          </w:p>
        </w:tc>
        <w:tc>
          <w:tcPr>
            <w:tcW w:w="5569" w:type="dxa"/>
            <w:tcBorders/>
            <w:vAlign w:val="center"/>
          </w:tcPr>
          <w:p>
            <w:pPr>
              <w:pStyle w:val="Normal"/>
              <w:widowControl/>
              <w:spacing w:lineRule="auto" w:line="240" w:before="0" w:after="0"/>
              <w:ind w:left="0" w:right="0" w:firstLine="68"/>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Приватизация земельных участков в пределах береговой полосы запрещается.</w:t>
            </w:r>
          </w:p>
        </w:tc>
        <w:tc>
          <w:tcPr>
            <w:tcW w:w="2401" w:type="dxa"/>
            <w:tcBorders/>
          </w:tcPr>
          <w:p>
            <w:pPr>
              <w:pStyle w:val="Normal"/>
              <w:widowControl/>
              <w:spacing w:lineRule="auto" w:line="240" w:before="0" w:after="0"/>
              <w:jc w:val="both"/>
              <w:rPr>
                <w:rFonts w:ascii="Times New Roman" w:hAnsi="Times New Roman" w:cs="Times New Roman"/>
                <w:bCs/>
                <w:sz w:val="20"/>
                <w:szCs w:val="20"/>
              </w:rPr>
            </w:pPr>
            <w:r>
              <w:rPr>
                <w:rFonts w:eastAsia="Calibri" w:cs="Times New Roman" w:ascii="Times New Roman" w:hAnsi="Times New Roman"/>
                <w:bCs/>
                <w:kern w:val="0"/>
                <w:sz w:val="20"/>
                <w:szCs w:val="20"/>
                <w:lang w:val="ru-RU" w:eastAsia="en-US" w:bidi="ar-SA"/>
              </w:rPr>
              <w:t xml:space="preserve">ст.27 Земельный кодекс РФ </w:t>
            </w:r>
          </w:p>
        </w:tc>
      </w:tr>
      <w:tr>
        <w:trPr>
          <w:trHeight w:val="983" w:hRule="atLeast"/>
        </w:trPr>
        <w:tc>
          <w:tcPr>
            <w:tcW w:w="1951" w:type="dxa"/>
            <w:tcBorders/>
            <w:vAlign w:val="center"/>
          </w:tcPr>
          <w:p>
            <w:pPr>
              <w:pStyle w:val="Style38"/>
              <w:widowControl/>
              <w:spacing w:before="0" w:after="0"/>
              <w:ind w:left="0" w:right="0" w:hanging="0"/>
              <w:contextualSpacing/>
              <w:jc w:val="center"/>
              <w:rPr>
                <w:sz w:val="20"/>
              </w:rPr>
            </w:pPr>
            <w:r>
              <w:rPr>
                <w:kern w:val="0"/>
                <w:sz w:val="20"/>
                <w:lang w:val="ru-RU" w:bidi="ar-SA"/>
              </w:rPr>
              <w:t>Береговая полоса (50 м) водохранилищ</w:t>
            </w:r>
          </w:p>
        </w:tc>
        <w:tc>
          <w:tcPr>
            <w:tcW w:w="5569" w:type="dxa"/>
            <w:tcBorders/>
            <w:vAlign w:val="center"/>
          </w:tcPr>
          <w:p>
            <w:pPr>
              <w:pStyle w:val="Normal"/>
              <w:widowControl/>
              <w:spacing w:lineRule="auto" w:line="240" w:before="0" w:after="0"/>
              <w:ind w:left="0" w:right="0" w:firstLine="68"/>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Органам местного самоуправления предложено осуществлять предоставление земельных участков, расположенных в границах 50-метровой береговой полосы Куйбышевского и Нижнекамского водохранилищ, при условии соблюдения требований водного и земельного законодательств Российской Федерации, а также с учетом мнения Министерства земельных и имущественных отношений Республики Татарстан, Управления Федеральной службы по надзору в сфере природопользования по Республике Татарстан и Министерства экологии и природных ресурсов Республики Татарстан.</w:t>
            </w:r>
          </w:p>
          <w:p>
            <w:pPr>
              <w:pStyle w:val="Normal"/>
              <w:widowControl/>
              <w:spacing w:lineRule="auto" w:line="240" w:before="0" w:after="0"/>
              <w:ind w:left="0" w:right="0" w:firstLine="68"/>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r>
          </w:p>
        </w:tc>
        <w:tc>
          <w:tcPr>
            <w:tcW w:w="2401" w:type="dxa"/>
            <w:tcBorders/>
          </w:tcPr>
          <w:p>
            <w:pPr>
              <w:pStyle w:val="Normal"/>
              <w:widowControl/>
              <w:spacing w:lineRule="auto" w:line="240" w:before="0" w:after="0"/>
              <w:jc w:val="both"/>
              <w:rPr>
                <w:rFonts w:ascii="Times New Roman" w:hAnsi="Times New Roman" w:cs="Times New Roman"/>
                <w:bCs/>
                <w:sz w:val="20"/>
                <w:szCs w:val="20"/>
              </w:rPr>
            </w:pPr>
            <w:r>
              <w:rPr>
                <w:rFonts w:eastAsia="Calibri" w:cs="Times New Roman" w:ascii="Times New Roman" w:hAnsi="Times New Roman"/>
                <w:bCs/>
                <w:kern w:val="0"/>
                <w:sz w:val="20"/>
                <w:szCs w:val="20"/>
                <w:lang w:val="ru-RU" w:eastAsia="en-US" w:bidi="ar-SA"/>
              </w:rPr>
              <w:t>Распоряжение КМ РТ от 18.07.2018 № 1772-р «О принятии во внимание информации, содержащейся в Едином государственном реестре недвижимости, относительно земельных участков, расположенных в границах 50-метровой береговой полосы Куйбышевского и Нижнекамского водохранилищ»</w:t>
            </w:r>
          </w:p>
        </w:tc>
      </w:tr>
      <w:tr>
        <w:trPr>
          <w:trHeight w:val="983" w:hRule="atLeast"/>
        </w:trPr>
        <w:tc>
          <w:tcPr>
            <w:tcW w:w="1951" w:type="dxa"/>
            <w:tcBorders/>
            <w:vAlign w:val="center"/>
          </w:tcPr>
          <w:p>
            <w:pPr>
              <w:pStyle w:val="Style38"/>
              <w:widowControl/>
              <w:spacing w:before="0" w:after="0"/>
              <w:ind w:left="0" w:right="0" w:hanging="0"/>
              <w:contextualSpacing/>
              <w:jc w:val="center"/>
              <w:rPr>
                <w:sz w:val="20"/>
              </w:rPr>
            </w:pPr>
            <w:r>
              <w:rPr>
                <w:kern w:val="0"/>
                <w:sz w:val="20"/>
                <w:lang w:val="ru-RU" w:bidi="ar-SA"/>
              </w:rPr>
              <w:t>Прибрежная защитная полоса</w:t>
            </w:r>
          </w:p>
        </w:tc>
        <w:tc>
          <w:tcPr>
            <w:tcW w:w="5569" w:type="dxa"/>
            <w:tcBorders/>
            <w:vAlign w:val="center"/>
          </w:tcPr>
          <w:p>
            <w:pPr>
              <w:pStyle w:val="Normal"/>
              <w:widowControl/>
              <w:spacing w:lineRule="auto" w:line="240" w:before="0" w:after="0"/>
              <w:ind w:left="0" w:right="0" w:firstLine="68"/>
              <w:jc w:val="both"/>
              <w:rPr>
                <w:rFonts w:ascii="Times New Roman" w:hAnsi="Times New Roman" w:cs="Times New Roman"/>
                <w:bCs/>
                <w:sz w:val="20"/>
                <w:szCs w:val="20"/>
              </w:rPr>
            </w:pPr>
            <w:r>
              <w:rPr>
                <w:rFonts w:eastAsia="Calibri" w:cs="Times New Roman" w:ascii="Times New Roman" w:hAnsi="Times New Roman"/>
                <w:kern w:val="0"/>
                <w:sz w:val="20"/>
                <w:szCs w:val="20"/>
                <w:lang w:val="ru-RU" w:eastAsia="en-US" w:bidi="ar-SA"/>
              </w:rPr>
              <w:t xml:space="preserve">В границах прибрежных защитных полос наряду с установленными для водоохранной зоны ограничениями </w:t>
            </w:r>
            <w:r>
              <w:rPr>
                <w:rFonts w:eastAsia="Calibri" w:cs="Times New Roman" w:ascii="Times New Roman" w:hAnsi="Times New Roman"/>
                <w:bCs/>
                <w:kern w:val="0"/>
                <w:sz w:val="20"/>
                <w:szCs w:val="20"/>
                <w:lang w:val="ru-RU" w:eastAsia="en-US" w:bidi="ar-SA"/>
              </w:rPr>
              <w:t>запрещаются:</w:t>
            </w:r>
          </w:p>
          <w:p>
            <w:pPr>
              <w:pStyle w:val="Normal"/>
              <w:widowControl/>
              <w:spacing w:lineRule="auto" w:line="240" w:before="0" w:after="0"/>
              <w:ind w:left="0" w:right="0" w:firstLine="68"/>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-распашка земель;</w:t>
            </w:r>
          </w:p>
          <w:p>
            <w:pPr>
              <w:pStyle w:val="Normal"/>
              <w:widowControl/>
              <w:spacing w:lineRule="auto" w:line="240" w:before="0" w:after="0"/>
              <w:ind w:left="0" w:right="0" w:firstLine="68"/>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-размещение отвалов размываемых грунтов;</w:t>
            </w:r>
          </w:p>
          <w:p>
            <w:pPr>
              <w:pStyle w:val="Normal"/>
              <w:widowControl/>
              <w:spacing w:lineRule="auto" w:line="240" w:before="0" w:after="0"/>
              <w:ind w:left="0" w:right="0" w:firstLine="68"/>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 выпас сельскохозяйственных животных и организация для них летних лагерей, ванн</w:t>
            </w:r>
          </w:p>
          <w:p>
            <w:pPr>
              <w:pStyle w:val="Normal"/>
              <w:widowControl/>
              <w:spacing w:lineRule="auto" w:line="240" w:before="0" w:after="0"/>
              <w:ind w:left="0" w:right="0" w:firstLine="68"/>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r>
          </w:p>
        </w:tc>
        <w:tc>
          <w:tcPr>
            <w:tcW w:w="2401" w:type="dxa"/>
            <w:tcBorders/>
          </w:tcPr>
          <w:p>
            <w:pPr>
              <w:pStyle w:val="Normal"/>
              <w:widowControl/>
              <w:spacing w:lineRule="auto" w:line="240" w:before="0" w:after="0"/>
              <w:jc w:val="both"/>
              <w:rPr>
                <w:rFonts w:ascii="Times New Roman" w:hAnsi="Times New Roman" w:cs="Times New Roman"/>
                <w:bCs/>
                <w:sz w:val="20"/>
                <w:szCs w:val="20"/>
              </w:rPr>
            </w:pPr>
            <w:r>
              <w:rPr>
                <w:rFonts w:eastAsia="Calibri" w:cs="Times New Roman" w:ascii="Times New Roman" w:hAnsi="Times New Roman"/>
                <w:bCs/>
                <w:kern w:val="0"/>
                <w:sz w:val="20"/>
                <w:szCs w:val="20"/>
                <w:lang w:val="ru-RU" w:eastAsia="en-US" w:bidi="ar-SA"/>
              </w:rPr>
              <w:t xml:space="preserve">ст.65 Водный кодекс РФ </w:t>
            </w:r>
          </w:p>
        </w:tc>
      </w:tr>
      <w:tr>
        <w:trPr>
          <w:trHeight w:val="983" w:hRule="atLeast"/>
        </w:trPr>
        <w:tc>
          <w:tcPr>
            <w:tcW w:w="1951" w:type="dxa"/>
            <w:tcBorders/>
            <w:vAlign w:val="center"/>
          </w:tcPr>
          <w:p>
            <w:pPr>
              <w:pStyle w:val="Style38"/>
              <w:widowControl/>
              <w:spacing w:before="0" w:after="0"/>
              <w:ind w:left="0" w:right="0" w:hanging="0"/>
              <w:contextualSpacing/>
              <w:jc w:val="center"/>
              <w:rPr>
                <w:sz w:val="20"/>
              </w:rPr>
            </w:pPr>
            <w:r>
              <w:rPr>
                <w:kern w:val="0"/>
                <w:sz w:val="20"/>
                <w:lang w:val="ru-RU" w:bidi="ar-SA"/>
              </w:rPr>
              <w:t>Водоохранная зона</w:t>
            </w:r>
          </w:p>
        </w:tc>
        <w:tc>
          <w:tcPr>
            <w:tcW w:w="5569" w:type="dxa"/>
            <w:tcBorders/>
            <w:vAlign w:val="center"/>
          </w:tcPr>
          <w:p>
            <w:pPr>
              <w:pStyle w:val="Normal"/>
              <w:widowControl/>
              <w:spacing w:lineRule="auto" w:line="240" w:before="0" w:after="0"/>
              <w:ind w:left="0" w:right="0" w:firstLine="68"/>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В границах водоохранных зон запрещаются:</w:t>
            </w:r>
          </w:p>
          <w:p>
            <w:pPr>
              <w:pStyle w:val="Normal"/>
              <w:keepLines/>
              <w:widowControl w:val="false"/>
              <w:numPr>
                <w:ilvl w:val="0"/>
                <w:numId w:val="47"/>
              </w:numPr>
              <w:tabs>
                <w:tab w:val="clear" w:pos="709"/>
                <w:tab w:val="left" w:pos="88" w:leader="none"/>
                <w:tab w:val="left" w:pos="367" w:leader="none"/>
              </w:tabs>
              <w:spacing w:lineRule="auto" w:line="240" w:before="0" w:after="0"/>
              <w:ind w:left="0" w:right="0" w:firstLine="68"/>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использование сточных вод в целях регулирования плодородия почв;</w:t>
            </w:r>
          </w:p>
          <w:p>
            <w:pPr>
              <w:pStyle w:val="Normal"/>
              <w:widowControl/>
              <w:spacing w:lineRule="auto" w:line="240" w:before="0" w:after="0"/>
              <w:ind w:left="0" w:right="0" w:firstLine="68"/>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pPr>
              <w:pStyle w:val="Normal"/>
              <w:keepLines/>
              <w:widowControl w:val="false"/>
              <w:numPr>
                <w:ilvl w:val="0"/>
                <w:numId w:val="47"/>
              </w:numPr>
              <w:tabs>
                <w:tab w:val="clear" w:pos="709"/>
                <w:tab w:val="left" w:pos="88" w:leader="none"/>
                <w:tab w:val="left" w:pos="367" w:leader="none"/>
              </w:tabs>
              <w:spacing w:lineRule="auto" w:line="240" w:before="0" w:after="0"/>
              <w:ind w:left="0" w:right="0" w:firstLine="68"/>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осуществление авиационных мер по борьбе с вредными организмами;</w:t>
            </w:r>
          </w:p>
          <w:p>
            <w:pPr>
              <w:pStyle w:val="Normal"/>
              <w:keepLines/>
              <w:widowControl w:val="false"/>
              <w:numPr>
                <w:ilvl w:val="0"/>
                <w:numId w:val="47"/>
              </w:numPr>
              <w:tabs>
                <w:tab w:val="clear" w:pos="709"/>
                <w:tab w:val="left" w:pos="88" w:leader="none"/>
                <w:tab w:val="left" w:pos="367" w:leader="none"/>
              </w:tabs>
              <w:spacing w:lineRule="auto" w:line="240" w:before="0" w:after="0"/>
              <w:ind w:left="0" w:right="0" w:firstLine="68"/>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pPr>
              <w:pStyle w:val="Normal"/>
              <w:keepLines/>
              <w:widowControl w:val="false"/>
              <w:numPr>
                <w:ilvl w:val="0"/>
                <w:numId w:val="47"/>
              </w:numPr>
              <w:tabs>
                <w:tab w:val="clear" w:pos="709"/>
                <w:tab w:val="left" w:pos="88" w:leader="none"/>
                <w:tab w:val="left" w:pos="367" w:leader="none"/>
              </w:tabs>
              <w:spacing w:lineRule="auto" w:line="240" w:before="0" w:after="0"/>
              <w:ind w:left="0" w:right="0" w:firstLine="68"/>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pPr>
              <w:pStyle w:val="Normal"/>
              <w:keepLines/>
              <w:widowControl w:val="false"/>
              <w:numPr>
                <w:ilvl w:val="0"/>
                <w:numId w:val="47"/>
              </w:numPr>
              <w:tabs>
                <w:tab w:val="clear" w:pos="709"/>
                <w:tab w:val="left" w:pos="88" w:leader="none"/>
                <w:tab w:val="left" w:pos="367" w:leader="none"/>
              </w:tabs>
              <w:spacing w:lineRule="auto" w:line="240" w:before="0" w:after="0"/>
              <w:ind w:left="0" w:right="0" w:firstLine="68"/>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pPr>
              <w:pStyle w:val="Normal"/>
              <w:keepLines/>
              <w:widowControl w:val="false"/>
              <w:numPr>
                <w:ilvl w:val="0"/>
                <w:numId w:val="47"/>
              </w:numPr>
              <w:tabs>
                <w:tab w:val="clear" w:pos="709"/>
                <w:tab w:val="left" w:pos="88" w:leader="none"/>
                <w:tab w:val="left" w:pos="367" w:leader="none"/>
              </w:tabs>
              <w:spacing w:lineRule="auto" w:line="240" w:before="0" w:after="0"/>
              <w:ind w:left="0" w:right="0" w:firstLine="68"/>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сброс сточных, в том числе дренажных, вод;</w:t>
            </w:r>
          </w:p>
          <w:p>
            <w:pPr>
              <w:pStyle w:val="Normal"/>
              <w:keepLines/>
              <w:widowControl w:val="false"/>
              <w:numPr>
                <w:ilvl w:val="0"/>
                <w:numId w:val="47"/>
              </w:numPr>
              <w:tabs>
                <w:tab w:val="clear" w:pos="709"/>
                <w:tab w:val="left" w:pos="88" w:leader="none"/>
                <w:tab w:val="left" w:pos="367" w:leader="none"/>
              </w:tabs>
              <w:spacing w:lineRule="auto" w:line="240" w:before="0" w:after="0"/>
              <w:ind w:left="0" w:right="0" w:firstLine="68"/>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РФ о недрах горных отводов и (или) геологических отводов на основании утвержденного технического проекта в соответствии со статьей 19.1 ФЗ от 21.02.1992 № 2395-1-ФЗ)</w:t>
            </w:r>
          </w:p>
          <w:p>
            <w:pPr>
              <w:pStyle w:val="Normal"/>
              <w:widowControl/>
              <w:spacing w:lineRule="auto" w:line="240" w:before="0" w:after="0"/>
              <w:ind w:left="0" w:right="0" w:firstLine="68"/>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pPr>
              <w:pStyle w:val="Normal"/>
              <w:widowControl/>
              <w:spacing w:lineRule="auto" w:line="240" w:before="0" w:after="0"/>
              <w:ind w:left="0" w:right="0" w:firstLine="68"/>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Под сооружениями, обеспечивающими охрану водных объектов от загрязнения, засорения, заиления и истощения вод, понимаются:</w:t>
            </w:r>
          </w:p>
          <w:p>
            <w:pPr>
              <w:pStyle w:val="Normal"/>
              <w:keepLines/>
              <w:widowControl w:val="false"/>
              <w:numPr>
                <w:ilvl w:val="0"/>
                <w:numId w:val="47"/>
              </w:numPr>
              <w:tabs>
                <w:tab w:val="clear" w:pos="709"/>
                <w:tab w:val="left" w:pos="88" w:leader="none"/>
                <w:tab w:val="left" w:pos="367" w:leader="none"/>
              </w:tabs>
              <w:spacing w:lineRule="auto" w:line="240" w:before="0" w:after="0"/>
              <w:ind w:left="0" w:right="0" w:firstLine="68"/>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централизованные системы водоотведения (канализации), централизованные ливневые системы водоотведения;</w:t>
            </w:r>
          </w:p>
          <w:p>
            <w:pPr>
              <w:pStyle w:val="Normal"/>
              <w:keepLines/>
              <w:widowControl w:val="false"/>
              <w:numPr>
                <w:ilvl w:val="0"/>
                <w:numId w:val="47"/>
              </w:numPr>
              <w:tabs>
                <w:tab w:val="clear" w:pos="709"/>
                <w:tab w:val="left" w:pos="88" w:leader="none"/>
                <w:tab w:val="left" w:pos="367" w:leader="none"/>
              </w:tabs>
              <w:spacing w:lineRule="auto" w:line="240" w:before="0" w:after="0"/>
              <w:ind w:left="0" w:right="0" w:firstLine="68"/>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pPr>
              <w:pStyle w:val="Normal"/>
              <w:keepLines/>
              <w:widowControl w:val="false"/>
              <w:numPr>
                <w:ilvl w:val="0"/>
                <w:numId w:val="47"/>
              </w:numPr>
              <w:tabs>
                <w:tab w:val="clear" w:pos="709"/>
                <w:tab w:val="left" w:pos="88" w:leader="none"/>
                <w:tab w:val="left" w:pos="367" w:leader="none"/>
              </w:tabs>
              <w:spacing w:lineRule="auto" w:line="240" w:before="0" w:after="0"/>
              <w:ind w:left="0" w:right="0" w:firstLine="68"/>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w:t>
            </w:r>
          </w:p>
          <w:p>
            <w:pPr>
              <w:pStyle w:val="Normal"/>
              <w:keepLines/>
              <w:widowControl w:val="false"/>
              <w:numPr>
                <w:ilvl w:val="0"/>
                <w:numId w:val="47"/>
              </w:numPr>
              <w:tabs>
                <w:tab w:val="clear" w:pos="709"/>
                <w:tab w:val="left" w:pos="88" w:leader="none"/>
                <w:tab w:val="left" w:pos="367" w:leader="none"/>
              </w:tabs>
              <w:spacing w:lineRule="auto" w:line="240" w:before="0" w:after="0"/>
              <w:ind w:left="0" w:right="0" w:firstLine="68"/>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pPr>
              <w:pStyle w:val="Normal"/>
              <w:widowControl/>
              <w:spacing w:lineRule="auto" w:line="240" w:before="0" w:after="0"/>
              <w:ind w:left="0" w:right="0" w:firstLine="68"/>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pPr>
              <w:pStyle w:val="Normal"/>
              <w:widowControl/>
              <w:spacing w:lineRule="auto" w:line="240" w:before="0" w:after="0"/>
              <w:ind w:left="0" w:right="0" w:firstLine="68"/>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tc>
        <w:tc>
          <w:tcPr>
            <w:tcW w:w="2401" w:type="dxa"/>
            <w:tcBorders/>
          </w:tcPr>
          <w:p>
            <w:pPr>
              <w:pStyle w:val="Normal"/>
              <w:widowControl/>
              <w:spacing w:lineRule="auto" w:line="240" w:before="0" w:after="0"/>
              <w:jc w:val="center"/>
              <w:rPr>
                <w:rFonts w:ascii="Times New Roman" w:hAnsi="Times New Roman" w:cs="Times New Roman"/>
                <w:bCs/>
                <w:sz w:val="20"/>
                <w:szCs w:val="20"/>
              </w:rPr>
            </w:pPr>
            <w:r>
              <w:rPr>
                <w:rFonts w:eastAsia="Calibri" w:cs="Times New Roman" w:ascii="Times New Roman" w:hAnsi="Times New Roman"/>
                <w:bCs/>
                <w:kern w:val="0"/>
                <w:sz w:val="20"/>
                <w:szCs w:val="20"/>
                <w:lang w:val="ru-RU" w:eastAsia="en-US" w:bidi="ar-SA"/>
              </w:rPr>
              <w:t xml:space="preserve">ст.65 Водный кодекс РФ </w:t>
            </w:r>
          </w:p>
        </w:tc>
      </w:tr>
    </w:tbl>
    <w:p>
      <w:pPr>
        <w:pStyle w:val="117"/>
        <w:rPr/>
      </w:pPr>
      <w:r>
        <w:rPr/>
      </w:r>
    </w:p>
    <w:p>
      <w:pPr>
        <w:pStyle w:val="2"/>
        <w:keepNext w:val="false"/>
        <w:keepLines w:val="false"/>
        <w:widowControl w:val="false"/>
        <w:numPr>
          <w:ilvl w:val="1"/>
          <w:numId w:val="46"/>
        </w:numPr>
        <w:suppressAutoHyphens w:val="true"/>
        <w:spacing w:lineRule="auto" w:line="240" w:before="0" w:after="160"/>
        <w:ind w:left="0" w:hanging="0"/>
        <w:jc w:val="center"/>
        <w:rPr>
          <w:rFonts w:ascii="Times New Roman" w:hAnsi="Times New Roman" w:cs="Times New Roman"/>
          <w:b/>
          <w:color w:val="auto"/>
          <w:sz w:val="28"/>
          <w:szCs w:val="28"/>
          <w:lang w:eastAsia="ru-RU"/>
        </w:rPr>
      </w:pPr>
      <w:bookmarkStart w:id="174" w:name="_Toc147740068"/>
      <w:r>
        <w:rPr>
          <w:rFonts w:cs="Times New Roman" w:ascii="Times New Roman" w:hAnsi="Times New Roman"/>
          <w:b/>
          <w:color w:val="auto"/>
          <w:sz w:val="28"/>
          <w:szCs w:val="28"/>
          <w:lang w:eastAsia="ru-RU"/>
        </w:rPr>
        <w:t>Зоны затопления и подтопления</w:t>
      </w:r>
      <w:bookmarkEnd w:id="174"/>
    </w:p>
    <w:p>
      <w:pPr>
        <w:pStyle w:val="ListParagraph"/>
        <w:widowControl w:val="false"/>
        <w:suppressAutoHyphens w:val="true"/>
        <w:spacing w:lineRule="auto" w:line="240" w:before="0" w:after="0"/>
        <w:ind w:left="0" w:firstLine="708"/>
        <w:contextualSpacing w:val="false"/>
        <w:jc w:val="both"/>
        <w:rPr>
          <w:rFonts w:ascii="Times New Roman" w:hAnsi="Times New Roman" w:cs="Times New Roman"/>
          <w:sz w:val="28"/>
          <w:szCs w:val="28"/>
          <w:lang w:eastAsia="ru-RU"/>
        </w:rPr>
      </w:pPr>
      <w:r>
        <w:rPr>
          <w:rFonts w:cs="Times New Roman" w:ascii="Times New Roman" w:hAnsi="Times New Roman"/>
          <w:sz w:val="28"/>
          <w:szCs w:val="28"/>
          <w:lang w:eastAsia="ru-RU"/>
        </w:rPr>
        <w:t>Населенные пункты поселения не включены в «Перечень населенных пунктов Республики Татарстан, попадающих в зоны возможного затопления (подтопления) в паводковый период», утвержденный распоряжением Кабинета Министров Республики Татарстан от 29.08.2013 №1625-р (далее – Распоряжение КМ РТ от 29.08.2013 №1625-р)</w:t>
      </w:r>
    </w:p>
    <w:p>
      <w:pPr>
        <w:pStyle w:val="ListParagraph"/>
        <w:widowControl w:val="false"/>
        <w:suppressAutoHyphens w:val="true"/>
        <w:spacing w:lineRule="auto" w:line="240" w:before="0" w:after="0"/>
        <w:ind w:left="0" w:firstLine="709"/>
        <w:contextualSpacing w:val="false"/>
        <w:jc w:val="both"/>
        <w:rPr>
          <w:rFonts w:ascii="Times New Roman" w:hAnsi="Times New Roman" w:cs="Times New Roman"/>
          <w:sz w:val="28"/>
          <w:szCs w:val="28"/>
          <w:lang w:eastAsia="ru-RU"/>
        </w:rPr>
      </w:pPr>
      <w:r>
        <w:rPr>
          <w:rFonts w:cs="Times New Roman" w:ascii="Times New Roman" w:hAnsi="Times New Roman"/>
          <w:sz w:val="28"/>
          <w:szCs w:val="28"/>
          <w:lang w:eastAsia="ru-RU"/>
        </w:rPr>
        <w:t>Согласно Положению о зонах затопления, подтопления, утвержденному Постановлением Правительства РФ от 18.04.2014 № 360 (далее - Положение о зонах затопления, подтопления), определение границ зон затопления и подтопления должно осуществляться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и сведений о границах такой зоны. Границы зон затопления и подтопления должны быть включены в государственный кадастр недвижимости и государственный водный реестр.</w:t>
      </w:r>
    </w:p>
    <w:p>
      <w:pPr>
        <w:pStyle w:val="ListParagraph"/>
        <w:widowControl w:val="false"/>
        <w:suppressAutoHyphens w:val="true"/>
        <w:spacing w:lineRule="auto" w:line="240" w:before="0" w:after="0"/>
        <w:ind w:left="0" w:firstLine="709"/>
        <w:contextualSpacing w:val="false"/>
        <w:jc w:val="both"/>
        <w:rPr>
          <w:rFonts w:ascii="Times New Roman" w:hAnsi="Times New Roman" w:cs="Times New Roman"/>
          <w:sz w:val="28"/>
          <w:szCs w:val="28"/>
          <w:lang w:eastAsia="ru-RU"/>
        </w:rPr>
      </w:pPr>
      <w:r>
        <w:rPr>
          <w:rFonts w:cs="Times New Roman" w:ascii="Times New Roman" w:hAnsi="Times New Roman"/>
          <w:sz w:val="28"/>
          <w:szCs w:val="28"/>
          <w:lang w:eastAsia="ru-RU"/>
        </w:rPr>
        <w:t xml:space="preserve">В настоящее время в поселении границы зон подтопления и затопления не определены в порядке, установленном указанным Положением о зонах затопления, подтопления. </w:t>
      </w:r>
    </w:p>
    <w:p>
      <w:pPr>
        <w:pStyle w:val="ListParagraph"/>
        <w:widowControl w:val="false"/>
        <w:suppressAutoHyphens w:val="true"/>
        <w:spacing w:lineRule="auto" w:line="240" w:before="0" w:after="0"/>
        <w:ind w:left="0" w:firstLine="709"/>
        <w:contextualSpacing w:val="false"/>
        <w:jc w:val="center"/>
        <w:rPr>
          <w:rFonts w:ascii="Times New Roman" w:hAnsi="Times New Roman" w:cs="Times New Roman"/>
          <w:sz w:val="28"/>
          <w:szCs w:val="28"/>
          <w:lang w:eastAsia="ru-RU"/>
        </w:rPr>
      </w:pPr>
      <w:r>
        <w:rPr>
          <w:rFonts w:cs="Times New Roman" w:ascii="Times New Roman" w:hAnsi="Times New Roman"/>
          <w:sz w:val="28"/>
          <w:szCs w:val="28"/>
          <w:lang w:eastAsia="ru-RU"/>
        </w:rPr>
      </w:r>
    </w:p>
    <w:p>
      <w:pPr>
        <w:pStyle w:val="2"/>
        <w:keepNext w:val="false"/>
        <w:keepLines w:val="false"/>
        <w:widowControl w:val="false"/>
        <w:numPr>
          <w:ilvl w:val="1"/>
          <w:numId w:val="46"/>
        </w:numPr>
        <w:suppressAutoHyphens w:val="true"/>
        <w:spacing w:lineRule="auto" w:line="240" w:before="0" w:after="160"/>
        <w:ind w:left="0" w:firstLine="709"/>
        <w:jc w:val="center"/>
        <w:rPr>
          <w:rFonts w:ascii="Times New Roman" w:hAnsi="Times New Roman" w:cs="Times New Roman"/>
          <w:b/>
          <w:color w:val="auto"/>
          <w:sz w:val="28"/>
          <w:szCs w:val="28"/>
          <w:lang w:eastAsia="ru-RU"/>
        </w:rPr>
      </w:pPr>
      <w:bookmarkStart w:id="175" w:name="_Hlk140484557"/>
      <w:bookmarkStart w:id="176" w:name="_Toc147740069"/>
      <w:r>
        <w:rPr>
          <w:rFonts w:cs="Times New Roman" w:ascii="Times New Roman" w:hAnsi="Times New Roman"/>
          <w:b/>
          <w:color w:val="auto"/>
          <w:sz w:val="28"/>
          <w:szCs w:val="28"/>
          <w:lang w:eastAsia="ru-RU"/>
        </w:rPr>
        <w:t>Зоны санитарной охраны источников питьевого и хозяйственно-бытового водоснабжения</w:t>
      </w:r>
      <w:bookmarkEnd w:id="175"/>
      <w:bookmarkEnd w:id="176"/>
    </w:p>
    <w:p>
      <w:pPr>
        <w:pStyle w:val="Normal"/>
        <w:ind w:firstLine="709"/>
        <w:jc w:val="both"/>
        <w:rPr>
          <w:rFonts w:ascii="Times New Roman" w:hAnsi="Times New Roman" w:cs="Times New Roman"/>
          <w:sz w:val="28"/>
          <w:szCs w:val="28"/>
        </w:rPr>
      </w:pPr>
      <w:r>
        <w:rPr>
          <w:rFonts w:cs="Times New Roman" w:ascii="Times New Roman" w:hAnsi="Times New Roman"/>
          <w:sz w:val="28"/>
          <w:szCs w:val="28"/>
          <w:lang w:eastAsia="ru-RU"/>
        </w:rPr>
        <w:t>Информация о местоположении водозаборных скважин представлена органами местного самоуправления. Электронный каталог учетных карточек буровых на воду скважин опубликован на сайте Российского Федерального Геологического Фонда (rfgf.ru)</w:t>
      </w:r>
      <w:r>
        <w:rPr/>
        <w:t>.</w:t>
      </w:r>
    </w:p>
    <w:p>
      <w:pPr>
        <w:pStyle w:val="Normal"/>
        <w:spacing w:before="0" w:after="0"/>
        <w:ind w:firstLine="709"/>
        <w:jc w:val="both"/>
        <w:rPr/>
      </w:pPr>
      <w:r>
        <w:rPr>
          <w:rFonts w:cs="Times New Roman" w:ascii="Times New Roman" w:hAnsi="Times New Roman"/>
          <w:sz w:val="28"/>
          <w:szCs w:val="28"/>
          <w:lang w:eastAsia="ru-RU"/>
        </w:rPr>
        <w:t xml:space="preserve">Для скважин, используемых для хозяйственно-питьевых целей населения, разработаны проекты зон санитарной охраны. </w:t>
      </w:r>
    </w:p>
    <w:p>
      <w:pPr>
        <w:pStyle w:val="Normal"/>
        <w:tabs>
          <w:tab w:val="clear" w:pos="709"/>
          <w:tab w:val="left" w:pos="851" w:leader="none"/>
        </w:tabs>
        <w:suppressAutoHyphens w:val="true"/>
        <w:spacing w:lineRule="auto" w:line="240" w:before="0" w:after="0"/>
        <w:ind w:firstLine="709"/>
        <w:jc w:val="both"/>
        <w:rPr>
          <w:rFonts w:ascii="Times New Roman" w:hAnsi="Times New Roman" w:cs="Times New Roman"/>
          <w:sz w:val="28"/>
          <w:szCs w:val="28"/>
          <w:lang w:eastAsia="ru-RU"/>
        </w:rPr>
      </w:pPr>
      <w:r>
        <w:rPr>
          <w:rFonts w:cs="Times New Roman" w:ascii="Times New Roman" w:hAnsi="Times New Roman"/>
          <w:sz w:val="28"/>
          <w:szCs w:val="28"/>
          <w:lang w:eastAsia="ru-RU"/>
        </w:rPr>
        <w:t>Ввиду того, что сточные воды хозяйственно-бытовой канализации сливаются на рельеф, возможно их влияние на качество подземных вод.</w:t>
      </w:r>
    </w:p>
    <w:p>
      <w:pPr>
        <w:pStyle w:val="Normal"/>
        <w:tabs>
          <w:tab w:val="clear" w:pos="709"/>
          <w:tab w:val="left" w:pos="851" w:leader="none"/>
        </w:tabs>
        <w:suppressAutoHyphens w:val="true"/>
        <w:spacing w:lineRule="auto" w:line="240" w:before="0" w:after="0"/>
        <w:ind w:firstLine="709"/>
        <w:jc w:val="both"/>
        <w:rPr>
          <w:rFonts w:ascii="Times New Roman" w:hAnsi="Times New Roman" w:cs="Times New Roman"/>
          <w:sz w:val="28"/>
          <w:szCs w:val="28"/>
          <w:lang w:eastAsia="ru-RU"/>
        </w:rPr>
      </w:pPr>
      <w:r>
        <w:rPr>
          <w:rFonts w:cs="Times New Roman" w:ascii="Times New Roman" w:hAnsi="Times New Roman"/>
          <w:sz w:val="28"/>
          <w:szCs w:val="28"/>
          <w:lang w:eastAsia="ru-RU"/>
        </w:rPr>
        <w:t xml:space="preserve">Информация о зонах санитарной охраны источников водоснабжения по первому, второму и третьему поясам, регламентах их использования и фактическом состоянии представлена в таблицах 6.11.1 и 6.11.2. </w:t>
      </w:r>
    </w:p>
    <w:p>
      <w:pPr>
        <w:pStyle w:val="Normal"/>
        <w:tabs>
          <w:tab w:val="clear" w:pos="709"/>
          <w:tab w:val="left" w:pos="851" w:leader="none"/>
        </w:tabs>
        <w:suppressAutoHyphens w:val="true"/>
        <w:spacing w:lineRule="auto" w:line="240" w:before="0" w:after="0"/>
        <w:ind w:firstLine="709"/>
        <w:jc w:val="both"/>
        <w:rPr>
          <w:rFonts w:ascii="Times New Roman" w:hAnsi="Times New Roman" w:cs="Times New Roman"/>
          <w:b/>
          <w:sz w:val="28"/>
          <w:szCs w:val="28"/>
          <w:lang w:eastAsia="ru-RU"/>
        </w:rPr>
      </w:pPr>
      <w:r>
        <w:rPr>
          <w:rFonts w:cs="Times New Roman" w:ascii="Times New Roman" w:hAnsi="Times New Roman"/>
          <w:sz w:val="28"/>
          <w:szCs w:val="28"/>
          <w:lang w:eastAsia="ru-RU"/>
        </w:rPr>
        <w:t>Согласование размещения новых объектов в пределах 2, 3 поясов ЗСО с Роспотребнадзором не требуется (письмо Управления Роспотребнадзора по РТ от 08.06.2023 № 11/10729).</w:t>
      </w:r>
    </w:p>
    <w:p>
      <w:pPr>
        <w:pStyle w:val="Normal"/>
        <w:widowControl w:val="false"/>
        <w:suppressAutoHyphens w:val="true"/>
        <w:spacing w:lineRule="auto" w:line="240" w:before="0" w:after="0"/>
        <w:ind w:firstLine="709"/>
        <w:jc w:val="right"/>
        <w:rPr>
          <w:rFonts w:ascii="Times New Roman" w:hAnsi="Times New Roman" w:cs="Times New Roman"/>
          <w:sz w:val="28"/>
          <w:szCs w:val="28"/>
          <w:lang w:eastAsia="ru-RU"/>
        </w:rPr>
      </w:pPr>
      <w:r>
        <w:rPr>
          <w:rFonts w:cs="Times New Roman" w:ascii="Times New Roman" w:hAnsi="Times New Roman"/>
          <w:sz w:val="28"/>
          <w:szCs w:val="28"/>
          <w:lang w:eastAsia="ru-RU"/>
        </w:rPr>
      </w:r>
    </w:p>
    <w:p>
      <w:pPr>
        <w:pStyle w:val="Normal"/>
        <w:widowControl w:val="false"/>
        <w:suppressAutoHyphens w:val="true"/>
        <w:spacing w:lineRule="auto" w:line="240" w:before="0" w:after="0"/>
        <w:ind w:firstLine="709"/>
        <w:jc w:val="right"/>
        <w:rPr>
          <w:rFonts w:ascii="Times New Roman" w:hAnsi="Times New Roman" w:cs="Times New Roman"/>
          <w:sz w:val="28"/>
          <w:szCs w:val="28"/>
          <w:lang w:eastAsia="ru-RU"/>
        </w:rPr>
      </w:pPr>
      <w:r>
        <w:rPr>
          <w:rFonts w:cs="Times New Roman" w:ascii="Times New Roman" w:hAnsi="Times New Roman"/>
          <w:sz w:val="28"/>
          <w:szCs w:val="28"/>
          <w:lang w:eastAsia="ru-RU"/>
        </w:rPr>
        <w:t>Таблица 6.11.1</w:t>
      </w:r>
    </w:p>
    <w:p>
      <w:pPr>
        <w:pStyle w:val="Normal"/>
        <w:widowControl w:val="false"/>
        <w:suppressAutoHyphens w:val="true"/>
        <w:spacing w:lineRule="auto" w:line="240"/>
        <w:ind w:firstLine="709"/>
        <w:jc w:val="center"/>
        <w:rPr>
          <w:rFonts w:ascii="Times New Roman" w:hAnsi="Times New Roman" w:cs="Times New Roman"/>
          <w:sz w:val="28"/>
          <w:szCs w:val="28"/>
        </w:rPr>
      </w:pPr>
      <w:r>
        <w:rPr>
          <w:rFonts w:cs="Times New Roman" w:ascii="Times New Roman" w:hAnsi="Times New Roman"/>
          <w:spacing w:val="2"/>
          <w:sz w:val="28"/>
          <w:szCs w:val="28"/>
          <w:shd w:fill="FFFFFF" w:val="clear"/>
        </w:rPr>
        <w:t xml:space="preserve">Зоны санитарной охраны источников питьевого и хозяйственно-бытового водоснабжения, расположенные </w:t>
      </w:r>
      <w:r>
        <w:rPr>
          <w:rFonts w:cs="Times New Roman" w:ascii="Times New Roman" w:hAnsi="Times New Roman"/>
          <w:sz w:val="28"/>
          <w:szCs w:val="28"/>
        </w:rPr>
        <w:t>на территории поселения</w:t>
      </w:r>
    </w:p>
    <w:tbl>
      <w:tblPr>
        <w:tblStyle w:val="27"/>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1840"/>
        <w:gridCol w:w="942"/>
        <w:gridCol w:w="970"/>
        <w:gridCol w:w="1059"/>
        <w:gridCol w:w="1570"/>
        <w:gridCol w:w="1843"/>
        <w:gridCol w:w="1696"/>
      </w:tblGrid>
      <w:tr>
        <w:trPr>
          <w:trHeight w:val="1230" w:hRule="atLeast"/>
        </w:trPr>
        <w:tc>
          <w:tcPr>
            <w:tcW w:w="1840" w:type="dxa"/>
            <w:vMerge w:val="restart"/>
            <w:tcBorders/>
            <w:vAlign w:val="center"/>
          </w:tcPr>
          <w:p>
            <w:pPr>
              <w:pStyle w:val="Normal"/>
              <w:widowControl w:val="false"/>
              <w:suppressAutoHyphens w:val="true"/>
              <w:spacing w:lineRule="auto" w:line="240" w:before="0" w:after="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Наименование объекта, для которого устанавливается зона</w:t>
            </w:r>
          </w:p>
        </w:tc>
        <w:tc>
          <w:tcPr>
            <w:tcW w:w="2971" w:type="dxa"/>
            <w:gridSpan w:val="3"/>
            <w:tcBorders/>
            <w:vAlign w:val="center"/>
          </w:tcPr>
          <w:p>
            <w:pPr>
              <w:pStyle w:val="Normal"/>
              <w:widowControl w:val="false"/>
              <w:suppressAutoHyphens w:val="true"/>
              <w:spacing w:lineRule="auto" w:line="240" w:before="0" w:after="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Зоны санитарной охраны,м</w:t>
            </w:r>
          </w:p>
        </w:tc>
        <w:tc>
          <w:tcPr>
            <w:tcW w:w="1570" w:type="dxa"/>
            <w:vMerge w:val="restart"/>
            <w:tcBorders/>
            <w:vAlign w:val="center"/>
          </w:tcPr>
          <w:p>
            <w:pPr>
              <w:pStyle w:val="Normal"/>
              <w:widowControl w:val="false"/>
              <w:suppressAutoHyphens w:val="true"/>
              <w:spacing w:lineRule="auto" w:line="240" w:before="0" w:after="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Источник данных</w:t>
            </w:r>
          </w:p>
        </w:tc>
        <w:tc>
          <w:tcPr>
            <w:tcW w:w="1843" w:type="dxa"/>
            <w:vMerge w:val="restart"/>
            <w:tcBorders/>
            <w:vAlign w:val="center"/>
          </w:tcPr>
          <w:p>
            <w:pPr>
              <w:pStyle w:val="Normal"/>
              <w:widowControl w:val="false"/>
              <w:suppressAutoHyphens w:val="true"/>
              <w:spacing w:lineRule="auto" w:line="240" w:before="0" w:after="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Сведения в ЕГРН</w:t>
            </w:r>
          </w:p>
        </w:tc>
        <w:tc>
          <w:tcPr>
            <w:tcW w:w="1696" w:type="dxa"/>
            <w:vMerge w:val="restart"/>
            <w:tcBorders/>
            <w:vAlign w:val="center"/>
          </w:tcPr>
          <w:p>
            <w:pPr>
              <w:pStyle w:val="Normal"/>
              <w:widowControl w:val="false"/>
              <w:suppressAutoHyphens w:val="true"/>
              <w:spacing w:lineRule="auto" w:line="240" w:before="0" w:after="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Фактическое  соблюдение режима использования зоны</w:t>
            </w:r>
          </w:p>
        </w:tc>
      </w:tr>
      <w:tr>
        <w:trPr>
          <w:trHeight w:val="345" w:hRule="atLeast"/>
        </w:trPr>
        <w:tc>
          <w:tcPr>
            <w:tcW w:w="1840" w:type="dxa"/>
            <w:vMerge w:val="continue"/>
            <w:tcBorders/>
            <w:vAlign w:val="center"/>
          </w:tcPr>
          <w:p>
            <w:pPr>
              <w:pStyle w:val="Normal"/>
              <w:widowControl w:val="false"/>
              <w:suppressAutoHyphens w:val="true"/>
              <w:spacing w:lineRule="auto" w:line="240" w:before="0" w:after="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r>
          </w:p>
        </w:tc>
        <w:tc>
          <w:tcPr>
            <w:tcW w:w="942" w:type="dxa"/>
            <w:tcBorders/>
            <w:vAlign w:val="center"/>
          </w:tcPr>
          <w:p>
            <w:pPr>
              <w:pStyle w:val="Normal"/>
              <w:widowControl w:val="false"/>
              <w:suppressAutoHyphens w:val="true"/>
              <w:spacing w:lineRule="auto" w:line="240" w:before="0" w:after="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1 пояса</w:t>
            </w:r>
          </w:p>
        </w:tc>
        <w:tc>
          <w:tcPr>
            <w:tcW w:w="970" w:type="dxa"/>
            <w:tcBorders/>
            <w:vAlign w:val="center"/>
          </w:tcPr>
          <w:p>
            <w:pPr>
              <w:pStyle w:val="Normal"/>
              <w:widowControl w:val="false"/>
              <w:suppressAutoHyphens w:val="true"/>
              <w:spacing w:lineRule="auto" w:line="240" w:before="0" w:after="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2 пояса</w:t>
            </w:r>
          </w:p>
        </w:tc>
        <w:tc>
          <w:tcPr>
            <w:tcW w:w="1059" w:type="dxa"/>
            <w:tcBorders/>
            <w:vAlign w:val="center"/>
          </w:tcPr>
          <w:p>
            <w:pPr>
              <w:pStyle w:val="Normal"/>
              <w:widowControl w:val="false"/>
              <w:suppressAutoHyphens w:val="true"/>
              <w:spacing w:lineRule="auto" w:line="240" w:before="0" w:after="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3 пояса</w:t>
            </w:r>
          </w:p>
        </w:tc>
        <w:tc>
          <w:tcPr>
            <w:tcW w:w="1570" w:type="dxa"/>
            <w:vMerge w:val="continue"/>
            <w:tcBorders/>
            <w:vAlign w:val="center"/>
          </w:tcPr>
          <w:p>
            <w:pPr>
              <w:pStyle w:val="Normal"/>
              <w:widowControl w:val="false"/>
              <w:suppressAutoHyphens w:val="true"/>
              <w:spacing w:lineRule="auto" w:line="240" w:before="0" w:after="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r>
          </w:p>
        </w:tc>
        <w:tc>
          <w:tcPr>
            <w:tcW w:w="1843" w:type="dxa"/>
            <w:vMerge w:val="continue"/>
            <w:tcBorders/>
            <w:vAlign w:val="center"/>
          </w:tcPr>
          <w:p>
            <w:pPr>
              <w:pStyle w:val="Normal"/>
              <w:widowControl w:val="false"/>
              <w:suppressAutoHyphens w:val="true"/>
              <w:spacing w:lineRule="auto" w:line="240" w:before="0" w:after="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r>
          </w:p>
        </w:tc>
        <w:tc>
          <w:tcPr>
            <w:tcW w:w="1696" w:type="dxa"/>
            <w:vMerge w:val="continue"/>
            <w:tcBorders/>
            <w:vAlign w:val="center"/>
          </w:tcPr>
          <w:p>
            <w:pPr>
              <w:pStyle w:val="Normal"/>
              <w:widowControl w:val="false"/>
              <w:suppressAutoHyphens w:val="true"/>
              <w:spacing w:lineRule="auto" w:line="240" w:before="0" w:after="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r>
          </w:p>
        </w:tc>
      </w:tr>
      <w:tr>
        <w:trPr>
          <w:trHeight w:val="345" w:hRule="atLeast"/>
        </w:trPr>
        <w:tc>
          <w:tcPr>
            <w:tcW w:w="1840" w:type="dxa"/>
            <w:tcBorders/>
            <w:vAlign w:val="center"/>
          </w:tcPr>
          <w:p>
            <w:pPr>
              <w:pStyle w:val="Normal"/>
              <w:widowControl w:val="false"/>
              <w:suppressAutoHyphens w:val="true"/>
              <w:spacing w:lineRule="auto" w:line="240" w:before="0" w:after="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Артезианская скважина с. Ташевка</w:t>
            </w:r>
          </w:p>
        </w:tc>
        <w:tc>
          <w:tcPr>
            <w:tcW w:w="942" w:type="dxa"/>
            <w:tcBorders/>
            <w:vAlign w:val="center"/>
          </w:tcPr>
          <w:p>
            <w:pPr>
              <w:pStyle w:val="Normal"/>
              <w:widowControl w:val="false"/>
              <w:suppressAutoHyphens w:val="true"/>
              <w:spacing w:lineRule="auto" w:line="240" w:before="0" w:after="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50</w:t>
            </w:r>
          </w:p>
        </w:tc>
        <w:tc>
          <w:tcPr>
            <w:tcW w:w="970" w:type="dxa"/>
            <w:tcBorders/>
            <w:vAlign w:val="center"/>
          </w:tcPr>
          <w:p>
            <w:pPr>
              <w:pStyle w:val="Normal"/>
              <w:widowControl w:val="false"/>
              <w:suppressAutoHyphens w:val="true"/>
              <w:spacing w:lineRule="auto" w:line="240" w:before="0" w:after="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w:t>
            </w:r>
          </w:p>
        </w:tc>
        <w:tc>
          <w:tcPr>
            <w:tcW w:w="1059" w:type="dxa"/>
            <w:tcBorders/>
            <w:vAlign w:val="center"/>
          </w:tcPr>
          <w:p>
            <w:pPr>
              <w:pStyle w:val="Normal"/>
              <w:widowControl w:val="false"/>
              <w:suppressAutoHyphens w:val="true"/>
              <w:spacing w:lineRule="auto" w:line="240" w:before="0" w:after="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w:t>
            </w:r>
          </w:p>
        </w:tc>
        <w:tc>
          <w:tcPr>
            <w:tcW w:w="1570" w:type="dxa"/>
            <w:tcBorders/>
            <w:vAlign w:val="center"/>
          </w:tcPr>
          <w:p>
            <w:pPr>
              <w:pStyle w:val="Normal"/>
              <w:widowControl w:val="false"/>
              <w:suppressAutoHyphens w:val="true"/>
              <w:spacing w:lineRule="auto" w:line="240" w:before="0" w:after="0"/>
              <w:contextualSpacing/>
              <w:jc w:val="center"/>
              <w:rPr>
                <w:rFonts w:ascii="Times New Roman" w:hAnsi="Times New Roman" w:eastAsia="Times New Roman" w:cs="Times New Roman"/>
                <w:sz w:val="20"/>
                <w:szCs w:val="20"/>
                <w:lang w:eastAsia="ru-RU"/>
              </w:rPr>
            </w:pPr>
            <w:r>
              <w:rPr>
                <w:rFonts w:eastAsia="Calibri" w:cs="Times New Roman" w:ascii="Times New Roman" w:hAnsi="Times New Roman"/>
                <w:kern w:val="0"/>
                <w:sz w:val="22"/>
                <w:szCs w:val="22"/>
                <w:lang w:val="ru-RU" w:eastAsia="en-US" w:bidi="ar-SA"/>
              </w:rPr>
              <w:t>СанПиН 2.1.4.1110-02</w:t>
            </w:r>
          </w:p>
        </w:tc>
        <w:tc>
          <w:tcPr>
            <w:tcW w:w="1843" w:type="dxa"/>
            <w:tcBorders/>
            <w:vAlign w:val="center"/>
          </w:tcPr>
          <w:p>
            <w:pPr>
              <w:pStyle w:val="Normal"/>
              <w:widowControl w:val="false"/>
              <w:suppressAutoHyphens w:val="true"/>
              <w:spacing w:lineRule="auto" w:line="240" w:before="0" w:after="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w:t>
            </w:r>
          </w:p>
        </w:tc>
        <w:tc>
          <w:tcPr>
            <w:tcW w:w="1696" w:type="dxa"/>
            <w:tcBorders/>
            <w:vAlign w:val="center"/>
          </w:tcPr>
          <w:p>
            <w:pPr>
              <w:pStyle w:val="Normal"/>
              <w:widowControl w:val="false"/>
              <w:suppressAutoHyphens w:val="true"/>
              <w:spacing w:lineRule="auto" w:line="240" w:before="0" w:after="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Соблюдается</w:t>
            </w:r>
          </w:p>
        </w:tc>
      </w:tr>
      <w:tr>
        <w:trPr>
          <w:trHeight w:val="345" w:hRule="atLeast"/>
        </w:trPr>
        <w:tc>
          <w:tcPr>
            <w:tcW w:w="1840" w:type="dxa"/>
            <w:tcBorders/>
            <w:vAlign w:val="center"/>
          </w:tcPr>
          <w:p>
            <w:pPr>
              <w:pStyle w:val="Normal"/>
              <w:widowControl w:val="false"/>
              <w:suppressAutoHyphens w:val="true"/>
              <w:spacing w:lineRule="auto" w:line="240" w:before="0" w:after="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Артезианская скважина с. Бакча-Сарай</w:t>
            </w:r>
          </w:p>
        </w:tc>
        <w:tc>
          <w:tcPr>
            <w:tcW w:w="942" w:type="dxa"/>
            <w:tcBorders/>
            <w:vAlign w:val="center"/>
          </w:tcPr>
          <w:p>
            <w:pPr>
              <w:pStyle w:val="Normal"/>
              <w:widowControl w:val="false"/>
              <w:suppressAutoHyphens w:val="true"/>
              <w:spacing w:lineRule="auto" w:line="240" w:before="0" w:after="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50</w:t>
            </w:r>
          </w:p>
        </w:tc>
        <w:tc>
          <w:tcPr>
            <w:tcW w:w="970" w:type="dxa"/>
            <w:tcBorders/>
            <w:vAlign w:val="center"/>
          </w:tcPr>
          <w:p>
            <w:pPr>
              <w:pStyle w:val="Normal"/>
              <w:widowControl w:val="false"/>
              <w:suppressAutoHyphens w:val="true"/>
              <w:spacing w:lineRule="auto" w:line="240" w:before="0" w:after="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w:t>
            </w:r>
          </w:p>
        </w:tc>
        <w:tc>
          <w:tcPr>
            <w:tcW w:w="1059" w:type="dxa"/>
            <w:tcBorders/>
            <w:vAlign w:val="center"/>
          </w:tcPr>
          <w:p>
            <w:pPr>
              <w:pStyle w:val="Normal"/>
              <w:widowControl w:val="false"/>
              <w:suppressAutoHyphens w:val="true"/>
              <w:spacing w:lineRule="auto" w:line="240" w:before="0" w:after="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w:t>
            </w:r>
          </w:p>
        </w:tc>
        <w:tc>
          <w:tcPr>
            <w:tcW w:w="1570" w:type="dxa"/>
            <w:tcBorders/>
            <w:vAlign w:val="center"/>
          </w:tcPr>
          <w:p>
            <w:pPr>
              <w:pStyle w:val="Normal"/>
              <w:widowControl w:val="false"/>
              <w:suppressAutoHyphens w:val="true"/>
              <w:spacing w:lineRule="auto" w:line="240" w:before="0" w:after="0"/>
              <w:contextualSpacing/>
              <w:jc w:val="center"/>
              <w:rPr>
                <w:rFonts w:ascii="Times New Roman" w:hAnsi="Times New Roman" w:eastAsia="Times New Roman" w:cs="Times New Roman"/>
                <w:sz w:val="20"/>
                <w:szCs w:val="20"/>
                <w:lang w:eastAsia="ru-RU"/>
              </w:rPr>
            </w:pPr>
            <w:r>
              <w:rPr>
                <w:rFonts w:eastAsia="Calibri" w:cs="Times New Roman" w:ascii="Times New Roman" w:hAnsi="Times New Roman"/>
                <w:kern w:val="0"/>
                <w:sz w:val="22"/>
                <w:szCs w:val="22"/>
                <w:lang w:val="ru-RU" w:eastAsia="en-US" w:bidi="ar-SA"/>
              </w:rPr>
              <w:t>СанПиН 2.1.4.1110-02</w:t>
            </w:r>
          </w:p>
        </w:tc>
        <w:tc>
          <w:tcPr>
            <w:tcW w:w="1843" w:type="dxa"/>
            <w:tcBorders/>
            <w:vAlign w:val="center"/>
          </w:tcPr>
          <w:p>
            <w:pPr>
              <w:pStyle w:val="Normal"/>
              <w:widowControl w:val="false"/>
              <w:suppressAutoHyphens w:val="true"/>
              <w:spacing w:lineRule="auto" w:line="240" w:before="0" w:after="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16:15:030202:175</w:t>
            </w:r>
          </w:p>
        </w:tc>
        <w:tc>
          <w:tcPr>
            <w:tcW w:w="1696" w:type="dxa"/>
            <w:tcBorders/>
            <w:vAlign w:val="center"/>
          </w:tcPr>
          <w:p>
            <w:pPr>
              <w:pStyle w:val="Normal"/>
              <w:widowControl w:val="false"/>
              <w:suppressAutoHyphens w:val="tru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Попадает зона застройки индивидуальными жилыми домами</w:t>
            </w:r>
          </w:p>
        </w:tc>
      </w:tr>
      <w:tr>
        <w:trPr>
          <w:trHeight w:val="345" w:hRule="atLeast"/>
        </w:trPr>
        <w:tc>
          <w:tcPr>
            <w:tcW w:w="1840"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Артезианская скважина с. Ватан</w:t>
            </w:r>
          </w:p>
        </w:tc>
        <w:tc>
          <w:tcPr>
            <w:tcW w:w="942"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50</w:t>
            </w:r>
          </w:p>
        </w:tc>
        <w:tc>
          <w:tcPr>
            <w:tcW w:w="970"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b/>
                <w:sz w:val="20"/>
                <w:szCs w:val="20"/>
              </w:rPr>
            </w:pPr>
            <w:r>
              <w:rPr>
                <w:rFonts w:eastAsia="Times New Roman" w:cs="Times New Roman" w:ascii="Times New Roman" w:hAnsi="Times New Roman"/>
                <w:kern w:val="0"/>
                <w:sz w:val="20"/>
                <w:szCs w:val="20"/>
                <w:lang w:val="ru-RU" w:eastAsia="ru-RU" w:bidi="ar-SA"/>
              </w:rPr>
              <w:t>-</w:t>
            </w:r>
          </w:p>
        </w:tc>
        <w:tc>
          <w:tcPr>
            <w:tcW w:w="1059"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Times New Roman" w:cs="Times New Roman" w:ascii="Times New Roman" w:hAnsi="Times New Roman"/>
                <w:kern w:val="0"/>
                <w:sz w:val="20"/>
                <w:szCs w:val="20"/>
                <w:lang w:val="ru-RU" w:eastAsia="ru-RU" w:bidi="ar-SA"/>
              </w:rPr>
              <w:t>-</w:t>
            </w:r>
          </w:p>
        </w:tc>
        <w:tc>
          <w:tcPr>
            <w:tcW w:w="1570" w:type="dxa"/>
            <w:tcBorders/>
            <w:vAlign w:val="center"/>
          </w:tcPr>
          <w:p>
            <w:pPr>
              <w:pStyle w:val="ConsPlusTitle"/>
              <w:widowControl w:val="false"/>
              <w:spacing w:before="0" w:after="0"/>
              <w:jc w:val="center"/>
              <w:rPr>
                <w:rFonts w:ascii="Times New Roman" w:hAnsi="Times New Roman" w:cs="Times New Roman"/>
                <w:b w:val="false"/>
                <w:sz w:val="20"/>
                <w:szCs w:val="20"/>
              </w:rPr>
            </w:pPr>
            <w:r>
              <w:rPr>
                <w:rFonts w:cs="Times New Roman" w:ascii="Times New Roman" w:hAnsi="Times New Roman"/>
                <w:b w:val="false"/>
                <w:kern w:val="0"/>
                <w:sz w:val="22"/>
                <w:szCs w:val="22"/>
                <w:lang w:val="ru-RU" w:bidi="ar-SA"/>
              </w:rPr>
              <w:t>СанПиН 2.1.4.1110-02</w:t>
            </w:r>
          </w:p>
        </w:tc>
        <w:tc>
          <w:tcPr>
            <w:tcW w:w="1843" w:type="dxa"/>
            <w:tcBorders/>
            <w:vAlign w:val="center"/>
          </w:tcPr>
          <w:p>
            <w:pPr>
              <w:pStyle w:val="Normal"/>
              <w:widowControl w:val="false"/>
              <w:suppressAutoHyphens w:val="true"/>
              <w:spacing w:lineRule="auto" w:line="240" w:before="0" w:after="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16:15:030301:103</w:t>
            </w:r>
          </w:p>
        </w:tc>
        <w:tc>
          <w:tcPr>
            <w:tcW w:w="1696" w:type="dxa"/>
            <w:tcBorders/>
            <w:vAlign w:val="center"/>
          </w:tcPr>
          <w:p>
            <w:pPr>
              <w:pStyle w:val="Normal"/>
              <w:widowControl w:val="false"/>
              <w:suppressAutoHyphens w:val="tru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Попадает зона застройки индивидуальными жилыми домами</w:t>
            </w:r>
          </w:p>
        </w:tc>
      </w:tr>
      <w:tr>
        <w:trPr>
          <w:trHeight w:val="345" w:hRule="atLeast"/>
        </w:trPr>
        <w:tc>
          <w:tcPr>
            <w:tcW w:w="1840"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Артезианская скважина д. им. Мулланура Вахитова</w:t>
            </w:r>
          </w:p>
        </w:tc>
        <w:tc>
          <w:tcPr>
            <w:tcW w:w="942"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50</w:t>
            </w:r>
          </w:p>
        </w:tc>
        <w:tc>
          <w:tcPr>
            <w:tcW w:w="970"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Times New Roman" w:cs="Times New Roman" w:ascii="Times New Roman" w:hAnsi="Times New Roman"/>
                <w:kern w:val="0"/>
                <w:sz w:val="20"/>
                <w:szCs w:val="20"/>
                <w:lang w:val="ru-RU" w:eastAsia="ru-RU" w:bidi="ar-SA"/>
              </w:rPr>
              <w:t>-</w:t>
            </w:r>
          </w:p>
        </w:tc>
        <w:tc>
          <w:tcPr>
            <w:tcW w:w="1059"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Times New Roman" w:cs="Times New Roman" w:ascii="Times New Roman" w:hAnsi="Times New Roman"/>
                <w:kern w:val="0"/>
                <w:sz w:val="20"/>
                <w:szCs w:val="20"/>
                <w:lang w:val="ru-RU" w:eastAsia="ru-RU" w:bidi="ar-SA"/>
              </w:rPr>
              <w:t>-</w:t>
            </w:r>
          </w:p>
        </w:tc>
        <w:tc>
          <w:tcPr>
            <w:tcW w:w="1570" w:type="dxa"/>
            <w:tcBorders/>
            <w:vAlign w:val="center"/>
          </w:tcPr>
          <w:p>
            <w:pPr>
              <w:pStyle w:val="BalloonText"/>
              <w:widowControl/>
              <w:spacing w:before="0" w:after="0"/>
              <w:jc w:val="center"/>
              <w:rPr>
                <w:rFonts w:ascii="Times New Roman" w:hAnsi="Times New Roman" w:cs="Times New Roman"/>
                <w:sz w:val="20"/>
                <w:szCs w:val="20"/>
              </w:rPr>
            </w:pPr>
            <w:r>
              <w:rPr>
                <w:rFonts w:eastAsia="Calibri" w:cs="Times New Roman" w:ascii="Times New Roman" w:hAnsi="Times New Roman"/>
                <w:kern w:val="0"/>
                <w:sz w:val="22"/>
                <w:szCs w:val="22"/>
                <w:lang w:val="ru-RU" w:eastAsia="en-US" w:bidi="ar-SA"/>
              </w:rPr>
              <w:t>СанПиН 2.1.4.1110-02</w:t>
            </w:r>
          </w:p>
        </w:tc>
        <w:tc>
          <w:tcPr>
            <w:tcW w:w="1843"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16:15:030101:109</w:t>
            </w:r>
          </w:p>
        </w:tc>
        <w:tc>
          <w:tcPr>
            <w:tcW w:w="1696"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Попадает зона застройки индивидуальными жилыми домами</w:t>
            </w:r>
          </w:p>
        </w:tc>
      </w:tr>
      <w:tr>
        <w:trPr>
          <w:trHeight w:val="345" w:hRule="atLeast"/>
        </w:trPr>
        <w:tc>
          <w:tcPr>
            <w:tcW w:w="1840"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 xml:space="preserve">Водонапорная башня </w:t>
            </w:r>
            <w:r>
              <w:rPr>
                <w:rFonts w:eastAsia="Times New Roman" w:cs="Times New Roman" w:ascii="Times New Roman" w:hAnsi="Times New Roman"/>
                <w:kern w:val="0"/>
                <w:sz w:val="20"/>
                <w:szCs w:val="20"/>
                <w:lang w:val="ru-RU" w:eastAsia="ru-RU" w:bidi="ar-SA"/>
              </w:rPr>
              <w:t>с. Ташевка</w:t>
            </w:r>
          </w:p>
        </w:tc>
        <w:tc>
          <w:tcPr>
            <w:tcW w:w="942"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10</w:t>
            </w:r>
          </w:p>
        </w:tc>
        <w:tc>
          <w:tcPr>
            <w:tcW w:w="970"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Times New Roman" w:cs="Times New Roman" w:ascii="Times New Roman" w:hAnsi="Times New Roman"/>
                <w:kern w:val="0"/>
                <w:sz w:val="20"/>
                <w:szCs w:val="20"/>
                <w:lang w:val="ru-RU" w:eastAsia="ru-RU" w:bidi="ar-SA"/>
              </w:rPr>
              <w:t>-</w:t>
            </w:r>
          </w:p>
        </w:tc>
        <w:tc>
          <w:tcPr>
            <w:tcW w:w="1059"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Times New Roman" w:cs="Times New Roman" w:ascii="Times New Roman" w:hAnsi="Times New Roman"/>
                <w:kern w:val="0"/>
                <w:sz w:val="20"/>
                <w:szCs w:val="20"/>
                <w:lang w:val="ru-RU" w:eastAsia="ru-RU" w:bidi="ar-SA"/>
              </w:rPr>
              <w:t>-</w:t>
            </w:r>
          </w:p>
        </w:tc>
        <w:tc>
          <w:tcPr>
            <w:tcW w:w="1570" w:type="dxa"/>
            <w:tcBorders/>
            <w:vAlign w:val="center"/>
          </w:tcPr>
          <w:p>
            <w:pPr>
              <w:pStyle w:val="BalloonText"/>
              <w:widowControl/>
              <w:spacing w:before="0" w:after="0"/>
              <w:jc w:val="center"/>
              <w:rPr>
                <w:rFonts w:ascii="Times New Roman" w:hAnsi="Times New Roman" w:cs="Times New Roman"/>
                <w:sz w:val="20"/>
                <w:szCs w:val="20"/>
              </w:rPr>
            </w:pPr>
            <w:r>
              <w:rPr>
                <w:rFonts w:eastAsia="Calibri" w:cs="Times New Roman" w:ascii="Times New Roman" w:hAnsi="Times New Roman"/>
                <w:kern w:val="0"/>
                <w:sz w:val="22"/>
                <w:szCs w:val="22"/>
                <w:lang w:val="ru-RU" w:eastAsia="en-US" w:bidi="ar-SA"/>
              </w:rPr>
              <w:t>СанПиН 2.1.4.1110-02</w:t>
            </w:r>
          </w:p>
        </w:tc>
        <w:tc>
          <w:tcPr>
            <w:tcW w:w="1843"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r>
          </w:p>
        </w:tc>
        <w:tc>
          <w:tcPr>
            <w:tcW w:w="1696"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Times New Roman" w:cs="Times New Roman" w:ascii="Times New Roman" w:hAnsi="Times New Roman"/>
                <w:kern w:val="0"/>
                <w:sz w:val="20"/>
                <w:szCs w:val="20"/>
                <w:lang w:val="ru-RU" w:eastAsia="ru-RU" w:bidi="ar-SA"/>
              </w:rPr>
              <w:t>Соблюдается</w:t>
            </w:r>
          </w:p>
        </w:tc>
      </w:tr>
      <w:tr>
        <w:trPr>
          <w:trHeight w:val="345" w:hRule="atLeast"/>
        </w:trPr>
        <w:tc>
          <w:tcPr>
            <w:tcW w:w="1840"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Водонапорная башня д. им. Мулланура Вахитова</w:t>
            </w:r>
          </w:p>
        </w:tc>
        <w:tc>
          <w:tcPr>
            <w:tcW w:w="942"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10</w:t>
            </w:r>
          </w:p>
        </w:tc>
        <w:tc>
          <w:tcPr>
            <w:tcW w:w="970"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Times New Roman" w:cs="Times New Roman" w:ascii="Times New Roman" w:hAnsi="Times New Roman"/>
                <w:kern w:val="0"/>
                <w:sz w:val="20"/>
                <w:szCs w:val="20"/>
                <w:lang w:val="ru-RU" w:eastAsia="ru-RU" w:bidi="ar-SA"/>
              </w:rPr>
              <w:t>-</w:t>
            </w:r>
          </w:p>
        </w:tc>
        <w:tc>
          <w:tcPr>
            <w:tcW w:w="1059"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Times New Roman" w:cs="Times New Roman" w:ascii="Times New Roman" w:hAnsi="Times New Roman"/>
                <w:kern w:val="0"/>
                <w:sz w:val="20"/>
                <w:szCs w:val="20"/>
                <w:lang w:val="ru-RU" w:eastAsia="ru-RU" w:bidi="ar-SA"/>
              </w:rPr>
              <w:t>-</w:t>
            </w:r>
          </w:p>
        </w:tc>
        <w:tc>
          <w:tcPr>
            <w:tcW w:w="1570" w:type="dxa"/>
            <w:tcBorders/>
            <w:vAlign w:val="center"/>
          </w:tcPr>
          <w:p>
            <w:pPr>
              <w:pStyle w:val="BalloonText"/>
              <w:widowControl/>
              <w:spacing w:before="0" w:after="0"/>
              <w:jc w:val="center"/>
              <w:rPr>
                <w:rFonts w:ascii="Times New Roman" w:hAnsi="Times New Roman" w:cs="Times New Roman"/>
                <w:sz w:val="20"/>
                <w:szCs w:val="20"/>
              </w:rPr>
            </w:pPr>
            <w:r>
              <w:rPr>
                <w:rFonts w:eastAsia="Calibri" w:cs="Times New Roman" w:ascii="Times New Roman" w:hAnsi="Times New Roman"/>
                <w:kern w:val="0"/>
                <w:sz w:val="22"/>
                <w:szCs w:val="22"/>
                <w:lang w:val="ru-RU" w:eastAsia="en-US" w:bidi="ar-SA"/>
              </w:rPr>
              <w:t>СанПиН 2.1.4.1110-02</w:t>
            </w:r>
          </w:p>
        </w:tc>
        <w:tc>
          <w:tcPr>
            <w:tcW w:w="1843"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16:15:030101:109</w:t>
            </w:r>
          </w:p>
        </w:tc>
        <w:tc>
          <w:tcPr>
            <w:tcW w:w="1696"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Times New Roman" w:cs="Times New Roman" w:ascii="Times New Roman" w:hAnsi="Times New Roman"/>
                <w:kern w:val="0"/>
                <w:sz w:val="20"/>
                <w:szCs w:val="20"/>
                <w:lang w:val="ru-RU" w:eastAsia="ru-RU" w:bidi="ar-SA"/>
              </w:rPr>
              <w:t>Соблюдается</w:t>
            </w:r>
          </w:p>
        </w:tc>
      </w:tr>
      <w:tr>
        <w:trPr>
          <w:trHeight w:val="345" w:hRule="atLeast"/>
        </w:trPr>
        <w:tc>
          <w:tcPr>
            <w:tcW w:w="1840"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 xml:space="preserve">Водонапорная башня </w:t>
            </w:r>
            <w:r>
              <w:rPr>
                <w:rFonts w:eastAsia="Times New Roman" w:cs="Times New Roman" w:ascii="Times New Roman" w:hAnsi="Times New Roman"/>
                <w:kern w:val="0"/>
                <w:sz w:val="20"/>
                <w:szCs w:val="20"/>
                <w:lang w:val="ru-RU" w:eastAsia="ru-RU" w:bidi="ar-SA"/>
              </w:rPr>
              <w:t>с. Бакча-Сарай</w:t>
            </w:r>
          </w:p>
        </w:tc>
        <w:tc>
          <w:tcPr>
            <w:tcW w:w="942"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10</w:t>
            </w:r>
          </w:p>
        </w:tc>
        <w:tc>
          <w:tcPr>
            <w:tcW w:w="970"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Times New Roman" w:cs="Times New Roman" w:ascii="Times New Roman" w:hAnsi="Times New Roman"/>
                <w:kern w:val="0"/>
                <w:sz w:val="20"/>
                <w:szCs w:val="20"/>
                <w:lang w:val="ru-RU" w:eastAsia="ru-RU" w:bidi="ar-SA"/>
              </w:rPr>
              <w:t>-</w:t>
            </w:r>
          </w:p>
        </w:tc>
        <w:tc>
          <w:tcPr>
            <w:tcW w:w="1059"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Times New Roman" w:cs="Times New Roman" w:ascii="Times New Roman" w:hAnsi="Times New Roman"/>
                <w:kern w:val="0"/>
                <w:sz w:val="20"/>
                <w:szCs w:val="20"/>
                <w:lang w:val="ru-RU" w:eastAsia="ru-RU" w:bidi="ar-SA"/>
              </w:rPr>
              <w:t>-</w:t>
            </w:r>
          </w:p>
        </w:tc>
        <w:tc>
          <w:tcPr>
            <w:tcW w:w="1570" w:type="dxa"/>
            <w:tcBorders/>
            <w:vAlign w:val="center"/>
          </w:tcPr>
          <w:p>
            <w:pPr>
              <w:pStyle w:val="BalloonText"/>
              <w:widowControl/>
              <w:spacing w:before="0" w:after="0"/>
              <w:jc w:val="center"/>
              <w:rPr>
                <w:rFonts w:ascii="Times New Roman" w:hAnsi="Times New Roman" w:cs="Times New Roman"/>
                <w:sz w:val="20"/>
                <w:szCs w:val="20"/>
              </w:rPr>
            </w:pPr>
            <w:r>
              <w:rPr>
                <w:rFonts w:eastAsia="Calibri" w:cs="Times New Roman" w:ascii="Times New Roman" w:hAnsi="Times New Roman"/>
                <w:kern w:val="0"/>
                <w:sz w:val="22"/>
                <w:szCs w:val="22"/>
                <w:lang w:val="ru-RU" w:eastAsia="en-US" w:bidi="ar-SA"/>
              </w:rPr>
              <w:t>СанПиН 2.1.4.1110-02</w:t>
            </w:r>
          </w:p>
        </w:tc>
        <w:tc>
          <w:tcPr>
            <w:tcW w:w="1843"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Times New Roman" w:cs="Times New Roman" w:ascii="Times New Roman" w:hAnsi="Times New Roman"/>
                <w:kern w:val="0"/>
                <w:sz w:val="20"/>
                <w:szCs w:val="20"/>
                <w:lang w:val="ru-RU" w:eastAsia="ru-RU" w:bidi="ar-SA"/>
              </w:rPr>
              <w:t>16:15:030202:175</w:t>
            </w:r>
          </w:p>
        </w:tc>
        <w:tc>
          <w:tcPr>
            <w:tcW w:w="1696"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Times New Roman" w:cs="Times New Roman" w:ascii="Times New Roman" w:hAnsi="Times New Roman"/>
                <w:kern w:val="0"/>
                <w:sz w:val="20"/>
                <w:szCs w:val="20"/>
                <w:lang w:val="ru-RU" w:eastAsia="ru-RU" w:bidi="ar-SA"/>
              </w:rPr>
              <w:t>Соблюдается</w:t>
            </w:r>
          </w:p>
        </w:tc>
      </w:tr>
      <w:tr>
        <w:trPr>
          <w:trHeight w:val="345" w:hRule="atLeast"/>
        </w:trPr>
        <w:tc>
          <w:tcPr>
            <w:tcW w:w="1840"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Водонапорная башня с. Ватан</w:t>
            </w:r>
          </w:p>
        </w:tc>
        <w:tc>
          <w:tcPr>
            <w:tcW w:w="942"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10</w:t>
            </w:r>
          </w:p>
        </w:tc>
        <w:tc>
          <w:tcPr>
            <w:tcW w:w="970"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Times New Roman" w:cs="Times New Roman" w:ascii="Times New Roman" w:hAnsi="Times New Roman"/>
                <w:kern w:val="0"/>
                <w:sz w:val="20"/>
                <w:szCs w:val="20"/>
                <w:lang w:val="ru-RU" w:eastAsia="ru-RU" w:bidi="ar-SA"/>
              </w:rPr>
              <w:t>-</w:t>
            </w:r>
          </w:p>
        </w:tc>
        <w:tc>
          <w:tcPr>
            <w:tcW w:w="1059"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Times New Roman" w:cs="Times New Roman" w:ascii="Times New Roman" w:hAnsi="Times New Roman"/>
                <w:kern w:val="0"/>
                <w:sz w:val="20"/>
                <w:szCs w:val="20"/>
                <w:lang w:val="ru-RU" w:eastAsia="ru-RU" w:bidi="ar-SA"/>
              </w:rPr>
              <w:t>-</w:t>
            </w:r>
          </w:p>
        </w:tc>
        <w:tc>
          <w:tcPr>
            <w:tcW w:w="1570" w:type="dxa"/>
            <w:tcBorders/>
            <w:vAlign w:val="center"/>
          </w:tcPr>
          <w:p>
            <w:pPr>
              <w:pStyle w:val="BalloonText"/>
              <w:widowControl/>
              <w:spacing w:before="0" w:after="0"/>
              <w:jc w:val="center"/>
              <w:rPr>
                <w:rFonts w:ascii="Times New Roman" w:hAnsi="Times New Roman" w:cs="Times New Roman"/>
                <w:sz w:val="20"/>
                <w:szCs w:val="20"/>
              </w:rPr>
            </w:pPr>
            <w:r>
              <w:rPr>
                <w:rFonts w:eastAsia="Calibri" w:cs="Times New Roman" w:ascii="Times New Roman" w:hAnsi="Times New Roman"/>
                <w:kern w:val="0"/>
                <w:sz w:val="22"/>
                <w:szCs w:val="22"/>
                <w:lang w:val="ru-RU" w:eastAsia="en-US" w:bidi="ar-SA"/>
              </w:rPr>
              <w:t>СанПиН 2.1.4.1110-02</w:t>
            </w:r>
          </w:p>
        </w:tc>
        <w:tc>
          <w:tcPr>
            <w:tcW w:w="1843"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16:15:030301:103</w:t>
            </w:r>
          </w:p>
        </w:tc>
        <w:tc>
          <w:tcPr>
            <w:tcW w:w="1696"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Times New Roman" w:cs="Times New Roman" w:ascii="Times New Roman" w:hAnsi="Times New Roman"/>
                <w:kern w:val="0"/>
                <w:sz w:val="20"/>
                <w:szCs w:val="20"/>
                <w:lang w:val="ru-RU" w:eastAsia="ru-RU" w:bidi="ar-SA"/>
              </w:rPr>
              <w:t>Соблюдается</w:t>
            </w:r>
          </w:p>
        </w:tc>
      </w:tr>
      <w:tr>
        <w:trPr>
          <w:trHeight w:val="345" w:hRule="atLeast"/>
        </w:trPr>
        <w:tc>
          <w:tcPr>
            <w:tcW w:w="1840"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Водонапорная башня им. Мулланура Вахитова</w:t>
            </w:r>
          </w:p>
        </w:tc>
        <w:tc>
          <w:tcPr>
            <w:tcW w:w="942"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10</w:t>
            </w:r>
          </w:p>
        </w:tc>
        <w:tc>
          <w:tcPr>
            <w:tcW w:w="970"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Times New Roman" w:cs="Times New Roman" w:ascii="Times New Roman" w:hAnsi="Times New Roman"/>
                <w:kern w:val="0"/>
                <w:sz w:val="20"/>
                <w:szCs w:val="20"/>
                <w:lang w:val="ru-RU" w:eastAsia="ru-RU" w:bidi="ar-SA"/>
              </w:rPr>
              <w:t>-</w:t>
            </w:r>
          </w:p>
        </w:tc>
        <w:tc>
          <w:tcPr>
            <w:tcW w:w="1059"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Times New Roman" w:cs="Times New Roman" w:ascii="Times New Roman" w:hAnsi="Times New Roman"/>
                <w:kern w:val="0"/>
                <w:sz w:val="20"/>
                <w:szCs w:val="20"/>
                <w:lang w:val="ru-RU" w:eastAsia="ru-RU" w:bidi="ar-SA"/>
              </w:rPr>
              <w:t>-</w:t>
            </w:r>
          </w:p>
        </w:tc>
        <w:tc>
          <w:tcPr>
            <w:tcW w:w="1570" w:type="dxa"/>
            <w:tcBorders/>
            <w:vAlign w:val="center"/>
          </w:tcPr>
          <w:p>
            <w:pPr>
              <w:pStyle w:val="BalloonText"/>
              <w:widowControl/>
              <w:spacing w:before="0" w:after="0"/>
              <w:jc w:val="center"/>
              <w:rPr>
                <w:rFonts w:ascii="Times New Roman" w:hAnsi="Times New Roman" w:cs="Times New Roman"/>
                <w:sz w:val="20"/>
                <w:szCs w:val="20"/>
              </w:rPr>
            </w:pPr>
            <w:r>
              <w:rPr>
                <w:rFonts w:eastAsia="Calibri" w:cs="Times New Roman" w:ascii="Times New Roman" w:hAnsi="Times New Roman"/>
                <w:kern w:val="0"/>
                <w:sz w:val="22"/>
                <w:szCs w:val="22"/>
                <w:lang w:val="ru-RU" w:eastAsia="en-US" w:bidi="ar-SA"/>
              </w:rPr>
              <w:t>СанПиН 2.1.4.1110-02</w:t>
            </w:r>
          </w:p>
        </w:tc>
        <w:tc>
          <w:tcPr>
            <w:tcW w:w="1843"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Calibri" w:cs="" w:ascii="Calibri" w:hAnsi="Calibri"/>
                <w:kern w:val="0"/>
                <w:sz w:val="22"/>
                <w:szCs w:val="22"/>
                <w:lang w:val="ru-RU" w:eastAsia="en-US" w:bidi="ar-SA"/>
              </w:rPr>
              <w:t>-</w:t>
            </w:r>
          </w:p>
        </w:tc>
        <w:tc>
          <w:tcPr>
            <w:tcW w:w="1696"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Times New Roman" w:cs="Times New Roman" w:ascii="Times New Roman" w:hAnsi="Times New Roman"/>
                <w:kern w:val="0"/>
                <w:sz w:val="20"/>
                <w:szCs w:val="20"/>
                <w:lang w:val="ru-RU" w:eastAsia="ru-RU" w:bidi="ar-SA"/>
              </w:rPr>
              <w:t>Соблюдается</w:t>
            </w:r>
          </w:p>
        </w:tc>
      </w:tr>
      <w:tr>
        <w:trPr>
          <w:trHeight w:val="345" w:hRule="atLeast"/>
        </w:trPr>
        <w:tc>
          <w:tcPr>
            <w:tcW w:w="1840"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Водонапорная башня</w:t>
            </w:r>
          </w:p>
        </w:tc>
        <w:tc>
          <w:tcPr>
            <w:tcW w:w="942"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10</w:t>
            </w:r>
          </w:p>
        </w:tc>
        <w:tc>
          <w:tcPr>
            <w:tcW w:w="970" w:type="dxa"/>
            <w:tcBorders/>
            <w:vAlign w:val="center"/>
          </w:tcPr>
          <w:p>
            <w:pPr>
              <w:pStyle w:val="Normal"/>
              <w:widowControl w:val="false"/>
              <w:suppressAutoHyphens w:val="true"/>
              <w:spacing w:lineRule="auto" w:line="240" w:before="0" w:after="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w:t>
            </w:r>
          </w:p>
        </w:tc>
        <w:tc>
          <w:tcPr>
            <w:tcW w:w="1059" w:type="dxa"/>
            <w:tcBorders/>
            <w:vAlign w:val="center"/>
          </w:tcPr>
          <w:p>
            <w:pPr>
              <w:pStyle w:val="Normal"/>
              <w:widowControl w:val="false"/>
              <w:suppressAutoHyphens w:val="true"/>
              <w:spacing w:lineRule="auto" w:line="240" w:before="0" w:after="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w:t>
            </w:r>
          </w:p>
        </w:tc>
        <w:tc>
          <w:tcPr>
            <w:tcW w:w="1570" w:type="dxa"/>
            <w:tcBorders/>
            <w:vAlign w:val="center"/>
          </w:tcPr>
          <w:p>
            <w:pPr>
              <w:pStyle w:val="BalloonText"/>
              <w:widowControl/>
              <w:spacing w:before="0" w:after="0"/>
              <w:jc w:val="center"/>
              <w:rPr>
                <w:rFonts w:ascii="Times New Roman" w:hAnsi="Times New Roman" w:cs="Times New Roman"/>
                <w:sz w:val="22"/>
                <w:szCs w:val="22"/>
              </w:rPr>
            </w:pPr>
            <w:r>
              <w:rPr>
                <w:rFonts w:eastAsia="Calibri" w:cs="Times New Roman" w:ascii="Times New Roman" w:hAnsi="Times New Roman"/>
                <w:kern w:val="0"/>
                <w:sz w:val="22"/>
                <w:szCs w:val="22"/>
                <w:lang w:val="ru-RU" w:eastAsia="en-US" w:bidi="ar-SA"/>
              </w:rPr>
              <w:t>СанПиН 2.1.4.1110-02</w:t>
            </w:r>
          </w:p>
        </w:tc>
        <w:tc>
          <w:tcPr>
            <w:tcW w:w="1843" w:type="dxa"/>
            <w:tcBorders/>
            <w:vAlign w:val="center"/>
          </w:tcPr>
          <w:p>
            <w:pPr>
              <w:pStyle w:val="Normal"/>
              <w:widowControl w:val="false"/>
              <w:suppressAutoHyphens w:val="true"/>
              <w:spacing w:lineRule="auto" w:line="240" w:before="0" w:after="0"/>
              <w:contextualSpacing/>
              <w:jc w:val="center"/>
              <w:rPr>
                <w:rFonts w:ascii="Calibri" w:hAnsi="Calibri" w:eastAsia="Calibri" w:cs=""/>
                <w:kern w:val="0"/>
                <w:sz w:val="22"/>
                <w:szCs w:val="22"/>
                <w:lang w:val="ru-RU" w:eastAsia="en-US" w:bidi="ar-SA"/>
              </w:rPr>
            </w:pPr>
            <w:r>
              <w:rPr>
                <w:rFonts w:eastAsia="Calibri" w:cs="" w:ascii="Calibri" w:hAnsi="Calibri"/>
                <w:kern w:val="0"/>
                <w:sz w:val="22"/>
                <w:szCs w:val="22"/>
                <w:lang w:val="ru-RU" w:eastAsia="en-US" w:bidi="ar-SA"/>
              </w:rPr>
              <w:t>-</w:t>
            </w:r>
          </w:p>
        </w:tc>
        <w:tc>
          <w:tcPr>
            <w:tcW w:w="1696" w:type="dxa"/>
            <w:tcBorders/>
            <w:vAlign w:val="center"/>
          </w:tcPr>
          <w:p>
            <w:pPr>
              <w:pStyle w:val="Normal"/>
              <w:widowControl w:val="false"/>
              <w:suppressAutoHyphens w:val="true"/>
              <w:spacing w:lineRule="auto" w:line="240" w:before="0" w:after="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Соблюдается</w:t>
            </w:r>
          </w:p>
        </w:tc>
      </w:tr>
      <w:tr>
        <w:trPr>
          <w:trHeight w:val="345" w:hRule="atLeast"/>
        </w:trPr>
        <w:tc>
          <w:tcPr>
            <w:tcW w:w="1840"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Резервуар с. Ватан</w:t>
            </w:r>
          </w:p>
        </w:tc>
        <w:tc>
          <w:tcPr>
            <w:tcW w:w="942"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10</w:t>
            </w:r>
          </w:p>
        </w:tc>
        <w:tc>
          <w:tcPr>
            <w:tcW w:w="970"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Times New Roman" w:cs="Times New Roman" w:ascii="Times New Roman" w:hAnsi="Times New Roman"/>
                <w:kern w:val="0"/>
                <w:sz w:val="20"/>
                <w:szCs w:val="20"/>
                <w:lang w:val="ru-RU" w:eastAsia="ru-RU" w:bidi="ar-SA"/>
              </w:rPr>
              <w:t>-</w:t>
            </w:r>
          </w:p>
        </w:tc>
        <w:tc>
          <w:tcPr>
            <w:tcW w:w="1059"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Times New Roman" w:cs="Times New Roman" w:ascii="Times New Roman" w:hAnsi="Times New Roman"/>
                <w:kern w:val="0"/>
                <w:sz w:val="20"/>
                <w:szCs w:val="20"/>
                <w:lang w:val="ru-RU" w:eastAsia="ru-RU" w:bidi="ar-SA"/>
              </w:rPr>
              <w:t>-</w:t>
            </w:r>
          </w:p>
        </w:tc>
        <w:tc>
          <w:tcPr>
            <w:tcW w:w="1570" w:type="dxa"/>
            <w:tcBorders/>
            <w:vAlign w:val="center"/>
          </w:tcPr>
          <w:p>
            <w:pPr>
              <w:pStyle w:val="BalloonText"/>
              <w:widowControl/>
              <w:spacing w:before="0" w:after="0"/>
              <w:jc w:val="center"/>
              <w:rPr>
                <w:rFonts w:ascii="Times New Roman" w:hAnsi="Times New Roman" w:cs="Times New Roman"/>
                <w:sz w:val="20"/>
                <w:szCs w:val="20"/>
              </w:rPr>
            </w:pPr>
            <w:r>
              <w:rPr>
                <w:rFonts w:eastAsia="Calibri" w:cs="Times New Roman" w:ascii="Times New Roman" w:hAnsi="Times New Roman"/>
                <w:kern w:val="0"/>
                <w:sz w:val="22"/>
                <w:szCs w:val="22"/>
                <w:lang w:val="ru-RU" w:eastAsia="en-US" w:bidi="ar-SA"/>
              </w:rPr>
              <w:t>СанПиН 2.1.4.1110-02</w:t>
            </w:r>
          </w:p>
        </w:tc>
        <w:tc>
          <w:tcPr>
            <w:tcW w:w="1843"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Calibri" w:cs="" w:ascii="Calibri" w:hAnsi="Calibri"/>
                <w:kern w:val="0"/>
                <w:sz w:val="22"/>
                <w:szCs w:val="22"/>
                <w:lang w:val="ru-RU" w:eastAsia="en-US" w:bidi="ar-SA"/>
              </w:rPr>
              <w:t>-</w:t>
            </w:r>
          </w:p>
        </w:tc>
        <w:tc>
          <w:tcPr>
            <w:tcW w:w="1696"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Times New Roman" w:cs="Times New Roman" w:ascii="Times New Roman" w:hAnsi="Times New Roman"/>
                <w:kern w:val="0"/>
                <w:sz w:val="20"/>
                <w:szCs w:val="20"/>
                <w:lang w:val="ru-RU" w:eastAsia="ru-RU" w:bidi="ar-SA"/>
              </w:rPr>
              <w:t>Соблюдается</w:t>
            </w:r>
          </w:p>
        </w:tc>
      </w:tr>
      <w:tr>
        <w:trPr>
          <w:trHeight w:val="345" w:hRule="atLeast"/>
        </w:trPr>
        <w:tc>
          <w:tcPr>
            <w:tcW w:w="1840"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Родник д. им. Мулланура Вахитова</w:t>
            </w:r>
          </w:p>
        </w:tc>
        <w:tc>
          <w:tcPr>
            <w:tcW w:w="942"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50</w:t>
            </w:r>
          </w:p>
        </w:tc>
        <w:tc>
          <w:tcPr>
            <w:tcW w:w="970"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Times New Roman" w:cs="Times New Roman" w:ascii="Times New Roman" w:hAnsi="Times New Roman"/>
                <w:kern w:val="0"/>
                <w:sz w:val="20"/>
                <w:szCs w:val="20"/>
                <w:lang w:val="ru-RU" w:eastAsia="ru-RU" w:bidi="ar-SA"/>
              </w:rPr>
              <w:t>-</w:t>
            </w:r>
          </w:p>
        </w:tc>
        <w:tc>
          <w:tcPr>
            <w:tcW w:w="1059"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Times New Roman" w:cs="Times New Roman" w:ascii="Times New Roman" w:hAnsi="Times New Roman"/>
                <w:kern w:val="0"/>
                <w:sz w:val="20"/>
                <w:szCs w:val="20"/>
                <w:lang w:val="ru-RU" w:eastAsia="ru-RU" w:bidi="ar-SA"/>
              </w:rPr>
              <w:t>-</w:t>
            </w:r>
          </w:p>
        </w:tc>
        <w:tc>
          <w:tcPr>
            <w:tcW w:w="1570" w:type="dxa"/>
            <w:tcBorders/>
            <w:vAlign w:val="center"/>
          </w:tcPr>
          <w:p>
            <w:pPr>
              <w:pStyle w:val="BalloonText"/>
              <w:widowControl/>
              <w:spacing w:before="0" w:after="0"/>
              <w:jc w:val="center"/>
              <w:rPr>
                <w:rFonts w:ascii="Times New Roman" w:hAnsi="Times New Roman" w:cs="Times New Roman"/>
                <w:sz w:val="20"/>
                <w:szCs w:val="20"/>
              </w:rPr>
            </w:pPr>
            <w:r>
              <w:rPr>
                <w:rFonts w:eastAsia="Calibri" w:cs="Times New Roman" w:ascii="Times New Roman" w:hAnsi="Times New Roman"/>
                <w:kern w:val="0"/>
                <w:sz w:val="22"/>
                <w:szCs w:val="22"/>
                <w:lang w:val="ru-RU" w:eastAsia="en-US" w:bidi="ar-SA"/>
              </w:rPr>
              <w:t>СанПиН 2.1.4.1110-02</w:t>
            </w:r>
          </w:p>
        </w:tc>
        <w:tc>
          <w:tcPr>
            <w:tcW w:w="1843"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Calibri" w:cs="" w:ascii="Calibri" w:hAnsi="Calibri"/>
                <w:kern w:val="0"/>
                <w:sz w:val="22"/>
                <w:szCs w:val="22"/>
                <w:lang w:val="ru-RU" w:eastAsia="en-US" w:bidi="ar-SA"/>
              </w:rPr>
              <w:t>-</w:t>
            </w:r>
          </w:p>
        </w:tc>
        <w:tc>
          <w:tcPr>
            <w:tcW w:w="1696"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Times New Roman" w:cs="Times New Roman" w:ascii="Times New Roman" w:hAnsi="Times New Roman"/>
                <w:kern w:val="0"/>
                <w:sz w:val="20"/>
                <w:szCs w:val="20"/>
                <w:lang w:val="ru-RU" w:eastAsia="ru-RU" w:bidi="ar-SA"/>
              </w:rPr>
              <w:t>Соблюдается</w:t>
            </w:r>
          </w:p>
        </w:tc>
      </w:tr>
      <w:tr>
        <w:trPr>
          <w:trHeight w:val="345" w:hRule="atLeast"/>
        </w:trPr>
        <w:tc>
          <w:tcPr>
            <w:tcW w:w="1840"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Родник с. Ватан</w:t>
            </w:r>
          </w:p>
        </w:tc>
        <w:tc>
          <w:tcPr>
            <w:tcW w:w="942"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50</w:t>
            </w:r>
          </w:p>
        </w:tc>
        <w:tc>
          <w:tcPr>
            <w:tcW w:w="970"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Times New Roman" w:cs="Times New Roman" w:ascii="Times New Roman" w:hAnsi="Times New Roman"/>
                <w:kern w:val="0"/>
                <w:sz w:val="20"/>
                <w:szCs w:val="20"/>
                <w:lang w:val="ru-RU" w:eastAsia="ru-RU" w:bidi="ar-SA"/>
              </w:rPr>
              <w:t>-</w:t>
            </w:r>
          </w:p>
        </w:tc>
        <w:tc>
          <w:tcPr>
            <w:tcW w:w="1059"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Times New Roman" w:cs="Times New Roman" w:ascii="Times New Roman" w:hAnsi="Times New Roman"/>
                <w:kern w:val="0"/>
                <w:sz w:val="20"/>
                <w:szCs w:val="20"/>
                <w:lang w:val="ru-RU" w:eastAsia="ru-RU" w:bidi="ar-SA"/>
              </w:rPr>
              <w:t>-</w:t>
            </w:r>
          </w:p>
        </w:tc>
        <w:tc>
          <w:tcPr>
            <w:tcW w:w="1570" w:type="dxa"/>
            <w:tcBorders/>
            <w:vAlign w:val="center"/>
          </w:tcPr>
          <w:p>
            <w:pPr>
              <w:pStyle w:val="BalloonText"/>
              <w:widowControl/>
              <w:spacing w:before="0" w:after="0"/>
              <w:jc w:val="center"/>
              <w:rPr>
                <w:rFonts w:ascii="Times New Roman" w:hAnsi="Times New Roman" w:cs="Times New Roman"/>
                <w:sz w:val="20"/>
                <w:szCs w:val="20"/>
              </w:rPr>
            </w:pPr>
            <w:r>
              <w:rPr>
                <w:rFonts w:eastAsia="Calibri" w:cs="Times New Roman" w:ascii="Times New Roman" w:hAnsi="Times New Roman"/>
                <w:kern w:val="0"/>
                <w:sz w:val="22"/>
                <w:szCs w:val="22"/>
                <w:lang w:val="ru-RU" w:eastAsia="en-US" w:bidi="ar-SA"/>
              </w:rPr>
              <w:t>СанПиН 2.1.4.1110-02</w:t>
            </w:r>
          </w:p>
        </w:tc>
        <w:tc>
          <w:tcPr>
            <w:tcW w:w="1843"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Calibri" w:cs="" w:ascii="Calibri" w:hAnsi="Calibri"/>
                <w:kern w:val="0"/>
                <w:sz w:val="22"/>
                <w:szCs w:val="22"/>
                <w:lang w:val="ru-RU" w:eastAsia="en-US" w:bidi="ar-SA"/>
              </w:rPr>
              <w:t>-</w:t>
            </w:r>
          </w:p>
        </w:tc>
        <w:tc>
          <w:tcPr>
            <w:tcW w:w="1696"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Times New Roman" w:cs="Times New Roman" w:ascii="Times New Roman" w:hAnsi="Times New Roman"/>
                <w:kern w:val="0"/>
                <w:sz w:val="20"/>
                <w:szCs w:val="20"/>
                <w:lang w:val="ru-RU" w:eastAsia="ru-RU" w:bidi="ar-SA"/>
              </w:rPr>
              <w:t>Соблюдается</w:t>
            </w:r>
          </w:p>
        </w:tc>
      </w:tr>
      <w:tr>
        <w:trPr>
          <w:trHeight w:val="345" w:hRule="atLeast"/>
        </w:trPr>
        <w:tc>
          <w:tcPr>
            <w:tcW w:w="1840"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Родник д. Гребени</w:t>
            </w:r>
          </w:p>
        </w:tc>
        <w:tc>
          <w:tcPr>
            <w:tcW w:w="942"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50</w:t>
            </w:r>
          </w:p>
        </w:tc>
        <w:tc>
          <w:tcPr>
            <w:tcW w:w="970"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Times New Roman" w:cs="Times New Roman" w:ascii="Times New Roman" w:hAnsi="Times New Roman"/>
                <w:kern w:val="0"/>
                <w:sz w:val="20"/>
                <w:szCs w:val="20"/>
                <w:lang w:val="ru-RU" w:eastAsia="ru-RU" w:bidi="ar-SA"/>
              </w:rPr>
              <w:t>-</w:t>
            </w:r>
          </w:p>
        </w:tc>
        <w:tc>
          <w:tcPr>
            <w:tcW w:w="1059"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Times New Roman" w:cs="Times New Roman" w:ascii="Times New Roman" w:hAnsi="Times New Roman"/>
                <w:kern w:val="0"/>
                <w:sz w:val="20"/>
                <w:szCs w:val="20"/>
                <w:lang w:val="ru-RU" w:eastAsia="ru-RU" w:bidi="ar-SA"/>
              </w:rPr>
              <w:t>-</w:t>
            </w:r>
          </w:p>
        </w:tc>
        <w:tc>
          <w:tcPr>
            <w:tcW w:w="1570" w:type="dxa"/>
            <w:tcBorders/>
            <w:vAlign w:val="center"/>
          </w:tcPr>
          <w:p>
            <w:pPr>
              <w:pStyle w:val="BalloonText"/>
              <w:widowControl/>
              <w:spacing w:before="0" w:after="0"/>
              <w:jc w:val="center"/>
              <w:rPr>
                <w:rFonts w:ascii="Times New Roman" w:hAnsi="Times New Roman" w:cs="Times New Roman"/>
                <w:sz w:val="20"/>
                <w:szCs w:val="20"/>
              </w:rPr>
            </w:pPr>
            <w:r>
              <w:rPr>
                <w:rFonts w:eastAsia="Calibri" w:cs="Times New Roman" w:ascii="Times New Roman" w:hAnsi="Times New Roman"/>
                <w:kern w:val="0"/>
                <w:sz w:val="22"/>
                <w:szCs w:val="22"/>
                <w:lang w:val="ru-RU" w:eastAsia="en-US" w:bidi="ar-SA"/>
              </w:rPr>
              <w:t>СанПиН 2.1.4.1110-02</w:t>
            </w:r>
          </w:p>
        </w:tc>
        <w:tc>
          <w:tcPr>
            <w:tcW w:w="1843"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Calibri" w:cs="" w:ascii="Calibri" w:hAnsi="Calibri"/>
                <w:kern w:val="0"/>
                <w:sz w:val="22"/>
                <w:szCs w:val="22"/>
                <w:lang w:val="ru-RU" w:eastAsia="en-US" w:bidi="ar-SA"/>
              </w:rPr>
              <w:t>-</w:t>
            </w:r>
          </w:p>
        </w:tc>
        <w:tc>
          <w:tcPr>
            <w:tcW w:w="1696" w:type="dxa"/>
            <w:tcBorders/>
            <w:vAlign w:val="center"/>
          </w:tcPr>
          <w:p>
            <w:pPr>
              <w:pStyle w:val="Normal"/>
              <w:widowControl w:val="false"/>
              <w:suppressAutoHyphens w:val="true"/>
              <w:spacing w:lineRule="auto" w:line="240" w:before="0" w:after="0"/>
              <w:contextualSpacing/>
              <w:jc w:val="center"/>
              <w:rPr>
                <w:rFonts w:ascii="Times New Roman" w:hAnsi="Times New Roman" w:cs="Times New Roman"/>
                <w:sz w:val="20"/>
                <w:szCs w:val="20"/>
              </w:rPr>
            </w:pPr>
            <w:r>
              <w:rPr>
                <w:rFonts w:eastAsia="Times New Roman" w:cs="Times New Roman" w:ascii="Times New Roman" w:hAnsi="Times New Roman"/>
                <w:kern w:val="0"/>
                <w:sz w:val="20"/>
                <w:szCs w:val="20"/>
                <w:lang w:val="ru-RU" w:eastAsia="ru-RU" w:bidi="ar-SA"/>
              </w:rPr>
              <w:t>Соблюдается</w:t>
            </w:r>
          </w:p>
        </w:tc>
      </w:tr>
    </w:tbl>
    <w:p>
      <w:pPr>
        <w:pStyle w:val="Normal"/>
        <w:ind w:firstLine="567"/>
        <w:jc w:val="both"/>
        <w:rPr/>
      </w:pPr>
      <w:r>
        <w:rPr/>
        <w:t>* Т.к. зоны санитарной охраны не поставлены на кадастровый учет, отсутствуют координаты границ, на картах генплана границы зон отображены согласно гидрогеологическому заключению.</w:t>
      </w:r>
    </w:p>
    <w:p>
      <w:pPr>
        <w:pStyle w:val="Normal"/>
        <w:ind w:firstLine="567"/>
        <w:jc w:val="both"/>
        <w:rPr>
          <w:sz w:val="28"/>
          <w:szCs w:val="28"/>
        </w:rPr>
      </w:pPr>
      <w:r>
        <w:rPr/>
        <w:t xml:space="preserve">** В случае, когда водозабор состоит из нескольких скважин, 2- ой и 3-ий пояса откладываются от геометрического центра единого 1-го пояса всех скважин. </w:t>
      </w:r>
    </w:p>
    <w:p>
      <w:pPr>
        <w:pStyle w:val="Normal"/>
        <w:widowControl w:val="false"/>
        <w:spacing w:lineRule="auto" w:line="240" w:before="0" w:after="0"/>
        <w:ind w:firstLine="540"/>
        <w:jc w:val="both"/>
        <w:rPr>
          <w:rFonts w:ascii="Times New Roman" w:hAnsi="Times New Roman" w:eastAsia="" w:cs="Times New Roman" w:eastAsiaTheme="minorEastAsia"/>
          <w:sz w:val="28"/>
          <w:szCs w:val="28"/>
          <w:lang w:eastAsia="ru-RU"/>
        </w:rPr>
      </w:pPr>
      <w:r>
        <w:rPr>
          <w:rFonts w:eastAsia="" w:cs="Times New Roman" w:ascii="Times New Roman" w:hAnsi="Times New Roman" w:eastAsiaTheme="minorEastAsia"/>
          <w:sz w:val="28"/>
          <w:szCs w:val="28"/>
          <w:lang w:eastAsia="ru-RU"/>
        </w:rPr>
        <w:t>Ширина санитарно - защитной полосы водопровода по обе стороны от крайних линий при отсутствии грунтовых вод составляет не менее 10 м при диаметре водоводов до 1000 мм.</w:t>
      </w:r>
    </w:p>
    <w:p>
      <w:pPr>
        <w:pStyle w:val="Normal"/>
        <w:widowControl w:val="false"/>
        <w:suppressAutoHyphens w:val="true"/>
        <w:spacing w:lineRule="auto" w:line="240" w:before="0" w:after="0"/>
        <w:ind w:firstLine="709"/>
        <w:jc w:val="right"/>
        <w:rPr>
          <w:rFonts w:ascii="Times New Roman" w:hAnsi="Times New Roman" w:cs="Times New Roman"/>
          <w:sz w:val="28"/>
          <w:szCs w:val="28"/>
          <w:lang w:eastAsia="ru-RU"/>
        </w:rPr>
      </w:pPr>
      <w:r>
        <w:rPr>
          <w:rFonts w:cs="Times New Roman" w:ascii="Times New Roman" w:hAnsi="Times New Roman"/>
          <w:sz w:val="28"/>
          <w:szCs w:val="28"/>
          <w:lang w:eastAsia="ru-RU"/>
        </w:rPr>
        <w:t>Таблица 6.11.2</w:t>
      </w:r>
    </w:p>
    <w:p>
      <w:pPr>
        <w:pStyle w:val="Normal"/>
        <w:widowControl w:val="false"/>
        <w:suppressAutoHyphens w:val="true"/>
        <w:spacing w:lineRule="auto" w:line="240"/>
        <w:ind w:firstLine="709"/>
        <w:jc w:val="center"/>
        <w:rPr>
          <w:rFonts w:ascii="Times New Roman" w:hAnsi="Times New Roman" w:cs="Times New Roman"/>
          <w:sz w:val="28"/>
          <w:szCs w:val="28"/>
          <w:lang w:eastAsia="ru-RU"/>
        </w:rPr>
      </w:pPr>
      <w:r>
        <w:rPr>
          <w:rFonts w:cs="Times New Roman" w:ascii="Times New Roman" w:hAnsi="Times New Roman"/>
          <w:spacing w:val="2"/>
          <w:sz w:val="28"/>
          <w:szCs w:val="28"/>
          <w:shd w:fill="FFFFFF" w:val="clear"/>
        </w:rPr>
        <w:t>Регламенты использования зон санитарной охраны источников питьевого и хозяйственно-бытового водоснабжения</w:t>
      </w:r>
    </w:p>
    <w:tbl>
      <w:tblPr>
        <w:tblStyle w:val="27"/>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1954"/>
        <w:gridCol w:w="4786"/>
        <w:gridCol w:w="3181"/>
      </w:tblGrid>
      <w:tr>
        <w:trPr>
          <w:tblHeader w:val="true"/>
        </w:trPr>
        <w:tc>
          <w:tcPr>
            <w:tcW w:w="1954" w:type="dxa"/>
            <w:tcBorders/>
            <w:vAlign w:val="center"/>
          </w:tcPr>
          <w:p>
            <w:pPr>
              <w:pStyle w:val="Normal"/>
              <w:widowControl w:val="false"/>
              <w:suppressAutoHyphens w:val="true"/>
              <w:spacing w:lineRule="auto" w:line="240" w:before="0" w:after="0"/>
              <w:jc w:val="center"/>
              <w:rPr>
                <w:rFonts w:ascii="Times New Roman" w:hAnsi="Times New Roman" w:cs="Times New Roman"/>
                <w:sz w:val="20"/>
                <w:szCs w:val="20"/>
                <w:lang w:eastAsia="ru-RU"/>
              </w:rPr>
            </w:pPr>
            <w:r>
              <w:rPr>
                <w:rFonts w:eastAsia="Calibri" w:cs="Times New Roman" w:ascii="Times New Roman" w:hAnsi="Times New Roman"/>
                <w:kern w:val="0"/>
                <w:sz w:val="20"/>
                <w:szCs w:val="20"/>
                <w:lang w:val="ru-RU" w:eastAsia="ru-RU" w:bidi="ar-SA"/>
              </w:rPr>
              <w:t>Наименование зоны</w:t>
            </w:r>
          </w:p>
        </w:tc>
        <w:tc>
          <w:tcPr>
            <w:tcW w:w="4786" w:type="dxa"/>
            <w:tcBorders/>
            <w:vAlign w:val="center"/>
          </w:tcPr>
          <w:p>
            <w:pPr>
              <w:pStyle w:val="Normal"/>
              <w:widowControl w:val="false"/>
              <w:suppressAutoHyphens w:val="true"/>
              <w:spacing w:lineRule="auto" w:line="240" w:before="0" w:after="0"/>
              <w:jc w:val="center"/>
              <w:rPr>
                <w:rFonts w:ascii="Times New Roman" w:hAnsi="Times New Roman" w:cs="Times New Roman"/>
                <w:sz w:val="20"/>
                <w:szCs w:val="20"/>
                <w:lang w:eastAsia="ru-RU"/>
              </w:rPr>
            </w:pPr>
            <w:r>
              <w:rPr>
                <w:rFonts w:eastAsia="Calibri" w:cs="Times New Roman" w:ascii="Times New Roman" w:hAnsi="Times New Roman"/>
                <w:kern w:val="0"/>
                <w:sz w:val="20"/>
                <w:szCs w:val="20"/>
                <w:lang w:val="ru-RU" w:eastAsia="en-US" w:bidi="ar-SA"/>
              </w:rPr>
              <w:t>Правовой режим использования зоны</w:t>
            </w:r>
          </w:p>
        </w:tc>
        <w:tc>
          <w:tcPr>
            <w:tcW w:w="3181" w:type="dxa"/>
            <w:tcBorders/>
            <w:vAlign w:val="center"/>
          </w:tcPr>
          <w:p>
            <w:pPr>
              <w:pStyle w:val="Normal"/>
              <w:widowControl w:val="false"/>
              <w:suppressAutoHyphens w:val="true"/>
              <w:spacing w:lineRule="auto" w:line="240" w:before="0" w:after="0"/>
              <w:contextualSpacing/>
              <w:jc w:val="center"/>
              <w:rPr>
                <w:rFonts w:ascii="Times New Roman" w:hAnsi="Times New Roman" w:eastAsia="Times New Roman" w:cs="Times New Roman"/>
                <w:sz w:val="20"/>
                <w:szCs w:val="20"/>
                <w:lang w:eastAsia="ru-RU"/>
              </w:rPr>
            </w:pPr>
            <w:r>
              <w:rPr>
                <w:rFonts w:eastAsia="Times New Roman" w:cs="Times New Roman" w:ascii="Times New Roman" w:hAnsi="Times New Roman"/>
                <w:kern w:val="0"/>
                <w:sz w:val="20"/>
                <w:szCs w:val="20"/>
                <w:lang w:val="ru-RU" w:eastAsia="ru-RU" w:bidi="ar-SA"/>
              </w:rPr>
              <w:t>Обоснование</w:t>
            </w:r>
          </w:p>
          <w:p>
            <w:pPr>
              <w:pStyle w:val="Normal"/>
              <w:widowControl w:val="false"/>
              <w:suppressAutoHyphens w:val="true"/>
              <w:spacing w:lineRule="auto" w:line="240" w:before="0" w:after="0"/>
              <w:jc w:val="center"/>
              <w:rPr>
                <w:rFonts w:ascii="Times New Roman" w:hAnsi="Times New Roman" w:cs="Times New Roman"/>
                <w:sz w:val="20"/>
                <w:szCs w:val="20"/>
                <w:lang w:eastAsia="ru-RU"/>
              </w:rPr>
            </w:pPr>
            <w:r>
              <w:rPr>
                <w:rFonts w:eastAsia="Calibri" w:cs="Times New Roman" w:ascii="Times New Roman" w:hAnsi="Times New Roman"/>
                <w:kern w:val="0"/>
                <w:sz w:val="20"/>
                <w:szCs w:val="20"/>
                <w:lang w:val="ru-RU" w:eastAsia="en-US" w:bidi="ar-SA"/>
              </w:rPr>
              <w:t>(нормативные документы)</w:t>
            </w:r>
          </w:p>
        </w:tc>
      </w:tr>
      <w:tr>
        <w:trPr/>
        <w:tc>
          <w:tcPr>
            <w:tcW w:w="1954" w:type="dxa"/>
            <w:tcBorders/>
            <w:vAlign w:val="center"/>
          </w:tcPr>
          <w:p>
            <w:pPr>
              <w:pStyle w:val="Normal"/>
              <w:widowControl w:val="false"/>
              <w:suppressAutoHyphens w:val="true"/>
              <w:spacing w:lineRule="auto" w:line="240" w:before="0" w:after="0"/>
              <w:jc w:val="center"/>
              <w:rPr>
                <w:rFonts w:ascii="Times New Roman" w:hAnsi="Times New Roman" w:cs="Times New Roman"/>
                <w:sz w:val="20"/>
                <w:szCs w:val="20"/>
                <w:lang w:eastAsia="ru-RU"/>
              </w:rPr>
            </w:pPr>
            <w:r>
              <w:rPr>
                <w:rFonts w:eastAsia="Calibri" w:cs="Times New Roman" w:ascii="Times New Roman" w:hAnsi="Times New Roman"/>
                <w:kern w:val="0"/>
                <w:sz w:val="20"/>
                <w:szCs w:val="20"/>
                <w:lang w:val="ru-RU" w:eastAsia="ru-RU" w:bidi="ar-SA"/>
              </w:rPr>
              <w:t>Зона санитарной охраны</w:t>
            </w:r>
          </w:p>
        </w:tc>
        <w:tc>
          <w:tcPr>
            <w:tcW w:w="4786" w:type="dxa"/>
            <w:tcBorders/>
          </w:tcPr>
          <w:p>
            <w:pPr>
              <w:pStyle w:val="Normal"/>
              <w:widowControl w:val="false"/>
              <w:suppressAutoHyphens w:val="true"/>
              <w:spacing w:lineRule="auto" w:line="240" w:before="0" w:after="0"/>
              <w:ind w:left="0" w:right="0" w:firstLine="68"/>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В пределах I пояса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т.ч.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pPr>
              <w:pStyle w:val="Normal"/>
              <w:widowControl w:val="false"/>
              <w:suppressAutoHyphens w:val="true"/>
              <w:spacing w:lineRule="auto" w:line="240" w:before="0" w:after="0"/>
              <w:ind w:left="0" w:right="0" w:firstLine="68"/>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1-го пояса ЗСО с учетом санитарного режима на территории второго пояса.</w:t>
            </w:r>
          </w:p>
          <w:p>
            <w:pPr>
              <w:pStyle w:val="Normal"/>
              <w:widowControl w:val="false"/>
              <w:suppressAutoHyphens w:val="true"/>
              <w:spacing w:lineRule="auto" w:line="240" w:before="0" w:after="0"/>
              <w:ind w:left="0" w:right="0" w:firstLine="68"/>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В пределах 2-го и 3-го поясов зоны санитарной охраны запрещается: бурение новых скважин и новое строительство, связанное с нарушением почвенного покрова (производится при обязательном согласовании с ТО Управления Роспотребнадзора</w:t>
            </w:r>
            <w:r>
              <w:rPr>
                <w:rStyle w:val="Style8"/>
                <w:rFonts w:eastAsia="Calibri" w:cs="Times New Roman" w:ascii="Times New Roman" w:hAnsi="Times New Roman"/>
                <w:kern w:val="0"/>
                <w:sz w:val="20"/>
                <w:szCs w:val="20"/>
                <w:lang w:val="ru-RU" w:eastAsia="en-US" w:bidi="ar-SA"/>
              </w:rPr>
              <w:footnoteReference w:id="3"/>
            </w:r>
            <w:r>
              <w:rPr>
                <w:rFonts w:eastAsia="Calibri" w:cs="Times New Roman" w:ascii="Times New Roman" w:hAnsi="Times New Roman"/>
                <w:kern w:val="0"/>
                <w:sz w:val="20"/>
                <w:szCs w:val="20"/>
                <w:lang w:val="ru-RU" w:eastAsia="en-US" w:bidi="ar-SA"/>
              </w:rPr>
              <w:t>); закачка отработанных вод в подземные горизонты и подземное складирование твердых отходов, разработки недр земли; размещение складов ГСМ, ядохимикатов и минеральных удобрений, накопителей промстоков, шламохранилищ и др. объектов, обусловливающих опасность химического загрязнения подземных вод. В пределах 3-го пояса зоны санитарной охраны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Роспотребнадзора, выданного с учетом заключения органов геологического контроля.</w:t>
            </w:r>
          </w:p>
        </w:tc>
        <w:tc>
          <w:tcPr>
            <w:tcW w:w="3181" w:type="dxa"/>
            <w:tcBorders/>
            <w:vAlign w:val="center"/>
          </w:tcPr>
          <w:p>
            <w:pPr>
              <w:pStyle w:val="Normal"/>
              <w:widowControl w:val="false"/>
              <w:suppressAutoHyphens w:val="true"/>
              <w:spacing w:lineRule="auto" w:line="240" w:before="0" w:after="0"/>
              <w:ind w:left="0" w:right="0" w:firstLine="142"/>
              <w:jc w:val="center"/>
              <w:rPr>
                <w:rFonts w:ascii="Times New Roman" w:hAnsi="Times New Roman" w:cs="Times New Roman"/>
                <w:sz w:val="20"/>
                <w:szCs w:val="20"/>
                <w:lang w:eastAsia="ru-RU"/>
              </w:rPr>
            </w:pPr>
            <w:r>
              <w:rPr>
                <w:rFonts w:eastAsia="Calibri" w:cs="Times New Roman" w:ascii="Times New Roman" w:hAnsi="Times New Roman"/>
                <w:bCs/>
                <w:kern w:val="0"/>
                <w:sz w:val="22"/>
                <w:szCs w:val="20"/>
                <w:lang w:val="ru-RU" w:eastAsia="en-US" w:bidi="ar-SA"/>
              </w:rPr>
              <w:t>СанПиН 2.1.4.1110-02</w:t>
            </w:r>
          </w:p>
        </w:tc>
      </w:tr>
      <w:tr>
        <w:trPr/>
        <w:tc>
          <w:tcPr>
            <w:tcW w:w="1954" w:type="dxa"/>
            <w:tcBorders/>
            <w:vAlign w:val="center"/>
          </w:tcPr>
          <w:p>
            <w:pPr>
              <w:pStyle w:val="Normal"/>
              <w:widowControl w:val="false"/>
              <w:suppressAutoHyphens w:val="true"/>
              <w:spacing w:lineRule="auto" w:line="240" w:before="0" w:after="0"/>
              <w:jc w:val="center"/>
              <w:rPr>
                <w:rFonts w:ascii="Times New Roman" w:hAnsi="Times New Roman" w:cs="Times New Roman"/>
                <w:sz w:val="20"/>
                <w:szCs w:val="20"/>
                <w:lang w:eastAsia="ru-RU"/>
              </w:rPr>
            </w:pPr>
            <w:r>
              <w:rPr>
                <w:rFonts w:eastAsia="Calibri" w:cs="Times New Roman" w:ascii="Times New Roman" w:hAnsi="Times New Roman"/>
                <w:kern w:val="0"/>
                <w:sz w:val="20"/>
                <w:szCs w:val="20"/>
                <w:lang w:val="ru-RU" w:eastAsia="ru-RU" w:bidi="ar-SA"/>
              </w:rPr>
            </w:r>
          </w:p>
        </w:tc>
        <w:tc>
          <w:tcPr>
            <w:tcW w:w="4786" w:type="dxa"/>
            <w:tcBorders/>
          </w:tcPr>
          <w:p>
            <w:pPr>
              <w:pStyle w:val="Normal"/>
              <w:widowControl w:val="false"/>
              <w:suppressAutoHyphens w:val="true"/>
              <w:spacing w:lineRule="auto" w:line="240" w:before="0" w:after="0"/>
              <w:ind w:left="0" w:right="0" w:firstLine="68"/>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Также в пределах II пояса запрещается: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 объектов, обусловливающих опасность микробного загрязнения подземных вод; применение удобрений и ядохимикатов; рубка леса главного пользования.</w:t>
            </w:r>
          </w:p>
        </w:tc>
        <w:tc>
          <w:tcPr>
            <w:tcW w:w="3181" w:type="dxa"/>
            <w:tcBorders/>
            <w:vAlign w:val="center"/>
          </w:tcPr>
          <w:p>
            <w:pPr>
              <w:pStyle w:val="Normal"/>
              <w:widowControl w:val="false"/>
              <w:suppressAutoHyphens w:val="true"/>
              <w:spacing w:lineRule="auto" w:line="240" w:before="0" w:after="0"/>
              <w:jc w:val="center"/>
              <w:rPr>
                <w:rFonts w:ascii="Times New Roman" w:hAnsi="Times New Roman" w:cs="Times New Roman"/>
                <w:sz w:val="20"/>
                <w:szCs w:val="20"/>
                <w:lang w:eastAsia="ru-RU"/>
              </w:rPr>
            </w:pPr>
            <w:r>
              <w:rPr>
                <w:rFonts w:eastAsia="Calibri" w:cs="Times New Roman" w:ascii="Times New Roman" w:hAnsi="Times New Roman"/>
                <w:kern w:val="0"/>
                <w:sz w:val="20"/>
                <w:szCs w:val="20"/>
                <w:lang w:val="ru-RU" w:eastAsia="ru-RU" w:bidi="ar-SA"/>
              </w:rPr>
            </w:r>
          </w:p>
        </w:tc>
      </w:tr>
      <w:tr>
        <w:trPr/>
        <w:tc>
          <w:tcPr>
            <w:tcW w:w="1954" w:type="dxa"/>
            <w:tcBorders/>
            <w:vAlign w:val="center"/>
          </w:tcPr>
          <w:p>
            <w:pPr>
              <w:pStyle w:val="Normal"/>
              <w:widowControl w:val="false"/>
              <w:suppressAutoHyphens w:val="true"/>
              <w:spacing w:lineRule="auto" w:line="240" w:before="0" w:after="0"/>
              <w:jc w:val="center"/>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Санитарно-защитная полоса водоводов</w:t>
            </w:r>
          </w:p>
        </w:tc>
        <w:tc>
          <w:tcPr>
            <w:tcW w:w="4786" w:type="dxa"/>
            <w:tcBorders/>
          </w:tcPr>
          <w:p>
            <w:pPr>
              <w:pStyle w:val="ConsPlusNormal"/>
              <w:widowControl w:val="false"/>
              <w:spacing w:before="0" w:after="0"/>
              <w:ind w:left="0" w:right="0" w:firstLine="68"/>
              <w:jc w:val="both"/>
              <w:rPr>
                <w:rFonts w:ascii="Times New Roman" w:hAnsi="Times New Roman" w:eastAsia="Calibri" w:cs="Times New Roman" w:eastAsiaTheme="minorHAnsi"/>
                <w:sz w:val="20"/>
                <w:lang w:eastAsia="en-US"/>
              </w:rPr>
            </w:pPr>
            <w:r>
              <w:rPr>
                <w:rFonts w:eastAsia="Calibri" w:cs="Times New Roman" w:ascii="Times New Roman" w:hAnsi="Times New Roman" w:eastAsiaTheme="minorHAnsi"/>
                <w:kern w:val="0"/>
                <w:sz w:val="20"/>
                <w:lang w:val="ru-RU" w:eastAsia="en-US" w:bidi="ar-SA"/>
              </w:rPr>
              <w:t>В пределах санитарно - защитной полосы водоводов должны отсутствовать источники загрязнения почвы и грунтовых вод.</w:t>
            </w:r>
          </w:p>
          <w:p>
            <w:pPr>
              <w:pStyle w:val="Normal"/>
              <w:widowControl w:val="false"/>
              <w:suppressAutoHyphens w:val="true"/>
              <w:spacing w:lineRule="auto" w:line="240" w:before="0" w:after="0"/>
              <w:ind w:left="0" w:right="0" w:firstLine="68"/>
              <w:jc w:val="both"/>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tc>
        <w:tc>
          <w:tcPr>
            <w:tcW w:w="3181" w:type="dxa"/>
            <w:tcBorders/>
            <w:vAlign w:val="center"/>
          </w:tcPr>
          <w:p>
            <w:pPr>
              <w:pStyle w:val="Normal"/>
              <w:widowControl w:val="false"/>
              <w:suppressAutoHyphens w:val="true"/>
              <w:spacing w:lineRule="auto" w:line="240" w:before="0" w:after="0"/>
              <w:jc w:val="center"/>
              <w:rPr>
                <w:rFonts w:ascii="Times New Roman" w:hAnsi="Times New Roman" w:cs="Times New Roman"/>
                <w:sz w:val="20"/>
                <w:szCs w:val="20"/>
                <w:lang w:eastAsia="ru-RU"/>
              </w:rPr>
            </w:pPr>
            <w:r>
              <w:rPr>
                <w:rFonts w:eastAsia="Calibri" w:cs="Times New Roman" w:ascii="Times New Roman" w:hAnsi="Times New Roman"/>
                <w:kern w:val="0"/>
                <w:sz w:val="20"/>
                <w:szCs w:val="20"/>
                <w:lang w:val="ru-RU" w:eastAsia="ru-RU" w:bidi="ar-SA"/>
              </w:rPr>
            </w:r>
          </w:p>
        </w:tc>
      </w:tr>
    </w:tbl>
    <w:p>
      <w:pPr>
        <w:pStyle w:val="Normal"/>
        <w:widowControl w:val="false"/>
        <w:suppressAutoHyphens w:val="true"/>
        <w:spacing w:lineRule="auto" w:line="240" w:before="0" w:after="0"/>
        <w:ind w:firstLine="709"/>
        <w:rPr>
          <w:rFonts w:ascii="Times New Roman" w:hAnsi="Times New Roman" w:cs="Times New Roman"/>
          <w:b/>
          <w:sz w:val="28"/>
          <w:szCs w:val="28"/>
          <w:lang w:eastAsia="ru-RU"/>
        </w:rPr>
      </w:pPr>
      <w:r>
        <w:rPr>
          <w:rFonts w:cs="Times New Roman" w:ascii="Times New Roman" w:hAnsi="Times New Roman"/>
          <w:b/>
          <w:sz w:val="28"/>
          <w:szCs w:val="28"/>
          <w:lang w:eastAsia="ru-RU"/>
        </w:rPr>
      </w:r>
    </w:p>
    <w:p>
      <w:pPr>
        <w:pStyle w:val="2"/>
        <w:keepNext w:val="false"/>
        <w:keepLines w:val="false"/>
        <w:widowControl w:val="false"/>
        <w:numPr>
          <w:ilvl w:val="1"/>
          <w:numId w:val="46"/>
        </w:numPr>
        <w:suppressAutoHyphens w:val="true"/>
        <w:spacing w:lineRule="auto" w:line="240" w:before="0" w:after="160"/>
        <w:ind w:left="0" w:hanging="0"/>
        <w:jc w:val="center"/>
        <w:rPr>
          <w:rFonts w:ascii="Times New Roman" w:hAnsi="Times New Roman" w:cs="Times New Roman"/>
          <w:b/>
          <w:color w:val="auto"/>
          <w:sz w:val="28"/>
          <w:szCs w:val="28"/>
          <w:lang w:eastAsia="ru-RU"/>
        </w:rPr>
      </w:pPr>
      <w:bookmarkStart w:id="177" w:name="_Toc147740070"/>
      <w:r>
        <w:rPr>
          <w:rFonts w:cs="Times New Roman" w:ascii="Times New Roman" w:hAnsi="Times New Roman"/>
          <w:b/>
          <w:color w:val="auto"/>
          <w:sz w:val="28"/>
          <w:szCs w:val="28"/>
          <w:lang w:eastAsia="ru-RU"/>
        </w:rPr>
        <w:t>Округа санитарной (горно-санитарной) охраны лечебно-оздоровительных местностей, курортов и природных лечебных ресурсов</w:t>
      </w:r>
      <w:bookmarkEnd w:id="177"/>
    </w:p>
    <w:p>
      <w:pPr>
        <w:pStyle w:val="ListParagraph"/>
        <w:widowControl w:val="false"/>
        <w:suppressAutoHyphens w:val="true"/>
        <w:spacing w:lineRule="auto" w:line="240" w:before="0" w:after="0"/>
        <w:ind w:left="0" w:firstLine="709"/>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 xml:space="preserve">На территории поселения отсутствуют данные виды объектов. </w:t>
      </w:r>
    </w:p>
    <w:p>
      <w:pPr>
        <w:pStyle w:val="ListParagraph"/>
        <w:widowControl w:val="false"/>
        <w:suppressAutoHyphens w:val="true"/>
        <w:spacing w:lineRule="auto" w:line="240" w:before="0" w:after="0"/>
        <w:ind w:left="284" w:firstLine="709"/>
        <w:contextualSpacing/>
        <w:jc w:val="both"/>
        <w:rPr>
          <w:rFonts w:ascii="Times New Roman" w:hAnsi="Times New Roman" w:cs="Times New Roman"/>
          <w:b/>
          <w:sz w:val="28"/>
          <w:szCs w:val="28"/>
          <w:lang w:eastAsia="ru-RU"/>
        </w:rPr>
      </w:pPr>
      <w:r>
        <w:rPr>
          <w:rFonts w:cs="Times New Roman" w:ascii="Times New Roman" w:hAnsi="Times New Roman"/>
          <w:b/>
          <w:sz w:val="28"/>
          <w:szCs w:val="28"/>
          <w:lang w:eastAsia="ru-RU"/>
        </w:rPr>
      </w:r>
    </w:p>
    <w:p>
      <w:pPr>
        <w:pStyle w:val="2"/>
        <w:keepNext w:val="false"/>
        <w:keepLines w:val="false"/>
        <w:widowControl w:val="false"/>
        <w:numPr>
          <w:ilvl w:val="1"/>
          <w:numId w:val="46"/>
        </w:numPr>
        <w:suppressAutoHyphens w:val="true"/>
        <w:spacing w:lineRule="auto" w:line="240" w:before="0" w:after="160"/>
        <w:ind w:left="0" w:hanging="0"/>
        <w:jc w:val="center"/>
        <w:rPr>
          <w:rFonts w:ascii="Times New Roman" w:hAnsi="Times New Roman" w:cs="Times New Roman"/>
          <w:b/>
          <w:color w:val="auto"/>
          <w:sz w:val="28"/>
          <w:szCs w:val="28"/>
          <w:lang w:eastAsia="ru-RU"/>
        </w:rPr>
      </w:pPr>
      <w:bookmarkStart w:id="178" w:name="_Toc147740071"/>
      <w:r>
        <w:rPr>
          <w:rFonts w:cs="Times New Roman" w:ascii="Times New Roman" w:hAnsi="Times New Roman"/>
          <w:b/>
          <w:color w:val="auto"/>
          <w:sz w:val="28"/>
          <w:szCs w:val="28"/>
          <w:lang w:eastAsia="ru-RU"/>
        </w:rPr>
        <w:t>Зоны охраняемых объектов, зоны охраняемых военных объектов, охранные зоны военных объектов</w:t>
      </w:r>
      <w:bookmarkEnd w:id="178"/>
    </w:p>
    <w:p>
      <w:pPr>
        <w:pStyle w:val="Normal"/>
        <w:widowControl w:val="false"/>
        <w:suppressAutoHyphens w:val="true"/>
        <w:spacing w:lineRule="auto" w:line="240" w:before="0" w:after="0"/>
        <w:ind w:firstLine="709"/>
        <w:contextualSpacing/>
        <w:jc w:val="both"/>
        <w:rPr>
          <w:rFonts w:ascii="Times New Roman" w:hAnsi="Times New Roman" w:cs="Times New Roman"/>
          <w:b/>
          <w:sz w:val="28"/>
          <w:szCs w:val="28"/>
          <w:lang w:eastAsia="ru-RU"/>
        </w:rPr>
      </w:pPr>
      <w:r>
        <w:rPr>
          <w:rFonts w:cs="Times New Roman" w:ascii="Times New Roman" w:hAnsi="Times New Roman"/>
          <w:sz w:val="28"/>
          <w:szCs w:val="28"/>
          <w:lang w:eastAsia="ru-RU"/>
        </w:rPr>
        <w:t>Согласно открытым источникам данных, на территории поселения охраняемые военные объекты отсутствуют.</w:t>
      </w:r>
    </w:p>
    <w:p>
      <w:pPr>
        <w:pStyle w:val="Normal"/>
        <w:widowControl w:val="false"/>
        <w:suppressAutoHyphens w:val="true"/>
        <w:spacing w:lineRule="auto" w:line="240" w:before="0" w:after="0"/>
        <w:rPr>
          <w:rFonts w:ascii="Times New Roman" w:hAnsi="Times New Roman" w:cs="Times New Roman"/>
          <w:b/>
          <w:sz w:val="28"/>
          <w:szCs w:val="28"/>
          <w:lang w:eastAsia="ru-RU"/>
        </w:rPr>
      </w:pPr>
      <w:r>
        <w:rPr>
          <w:rFonts w:cs="Times New Roman" w:ascii="Times New Roman" w:hAnsi="Times New Roman"/>
          <w:b/>
          <w:sz w:val="28"/>
          <w:szCs w:val="28"/>
          <w:lang w:eastAsia="ru-RU"/>
        </w:rPr>
      </w:r>
    </w:p>
    <w:p>
      <w:pPr>
        <w:pStyle w:val="Normal"/>
        <w:widowControl w:val="false"/>
        <w:suppressAutoHyphens w:val="true"/>
        <w:spacing w:lineRule="auto" w:line="240" w:before="0" w:after="0"/>
        <w:rPr>
          <w:rFonts w:ascii="Times New Roman" w:hAnsi="Times New Roman" w:cs="Times New Roman"/>
          <w:b/>
          <w:sz w:val="28"/>
          <w:szCs w:val="28"/>
          <w:lang w:eastAsia="ru-RU"/>
        </w:rPr>
      </w:pPr>
      <w:r>
        <w:rPr>
          <w:rFonts w:cs="Times New Roman" w:ascii="Times New Roman" w:hAnsi="Times New Roman"/>
          <w:b/>
          <w:sz w:val="28"/>
          <w:szCs w:val="28"/>
          <w:lang w:eastAsia="ru-RU"/>
        </w:rPr>
      </w:r>
    </w:p>
    <w:p>
      <w:pPr>
        <w:pStyle w:val="2"/>
        <w:keepNext w:val="false"/>
        <w:keepLines w:val="false"/>
        <w:widowControl w:val="false"/>
        <w:numPr>
          <w:ilvl w:val="1"/>
          <w:numId w:val="46"/>
        </w:numPr>
        <w:suppressAutoHyphens w:val="true"/>
        <w:spacing w:lineRule="auto" w:line="240" w:before="0" w:after="160"/>
        <w:ind w:left="0" w:hanging="0"/>
        <w:jc w:val="center"/>
        <w:rPr>
          <w:rFonts w:ascii="Times New Roman" w:hAnsi="Times New Roman" w:cs="Times New Roman"/>
          <w:b/>
          <w:color w:val="auto"/>
          <w:sz w:val="28"/>
          <w:szCs w:val="28"/>
          <w:lang w:eastAsia="ru-RU"/>
        </w:rPr>
      </w:pPr>
      <w:bookmarkStart w:id="179" w:name="_Toc147740072"/>
      <w:r>
        <w:rPr>
          <w:rFonts w:cs="Times New Roman" w:ascii="Times New Roman" w:hAnsi="Times New Roman"/>
          <w:b/>
          <w:color w:val="auto"/>
          <w:sz w:val="28"/>
          <w:szCs w:val="28"/>
          <w:lang w:eastAsia="ru-RU"/>
        </w:rPr>
        <w:t>Охранные зоны стационарных пунктов наблюдений за состоянием окружающей среды, охранные зоны</w:t>
      </w:r>
      <w:r>
        <w:rPr>
          <w:color w:val="auto"/>
        </w:rPr>
        <w:t xml:space="preserve"> </w:t>
      </w:r>
      <w:r>
        <w:rPr>
          <w:rFonts w:cs="Times New Roman" w:ascii="Times New Roman" w:hAnsi="Times New Roman"/>
          <w:b/>
          <w:color w:val="auto"/>
          <w:sz w:val="28"/>
          <w:szCs w:val="28"/>
          <w:lang w:eastAsia="ru-RU"/>
        </w:rPr>
        <w:t>пунктов государственной геодезической сети, государственной нивелирной сети и государственной гравиметрической сети</w:t>
      </w:r>
      <w:bookmarkEnd w:id="179"/>
    </w:p>
    <w:p>
      <w:pPr>
        <w:pStyle w:val="Style72"/>
        <w:rPr>
          <w:rFonts w:eastAsia="Calibri" w:eastAsiaTheme="minorHAnsi"/>
          <w:szCs w:val="28"/>
        </w:rPr>
      </w:pPr>
      <w:r>
        <w:rPr>
          <w:rFonts w:eastAsia="Calibri" w:eastAsiaTheme="minorHAnsi"/>
          <w:szCs w:val="28"/>
        </w:rPr>
        <w:t xml:space="preserve">На территории поселения расположен один пункт государственной геодезической сети: сигнал Семенов Куст (ЗОУИТ 16:15-6.1108). </w:t>
      </w:r>
    </w:p>
    <w:p>
      <w:pPr>
        <w:pStyle w:val="ConsPlusNormal"/>
        <w:ind w:firstLine="709"/>
        <w:jc w:val="both"/>
        <w:rPr>
          <w:rFonts w:ascii="Times New Roman" w:hAnsi="Times New Roman" w:eastAsia="Calibri" w:cs="Times New Roman" w:eastAsiaTheme="minorHAnsi"/>
          <w:sz w:val="28"/>
          <w:szCs w:val="28"/>
        </w:rPr>
      </w:pPr>
      <w:r>
        <w:rPr>
          <w:rFonts w:eastAsia="Calibri" w:cs="Times New Roman" w:ascii="Times New Roman" w:hAnsi="Times New Roman" w:eastAsiaTheme="minorHAnsi"/>
          <w:sz w:val="28"/>
          <w:szCs w:val="28"/>
        </w:rPr>
        <w:t xml:space="preserve">В соответствии с </w:t>
      </w:r>
      <w:r>
        <w:rPr>
          <w:rFonts w:cs="Times New Roman" w:ascii="Times New Roman" w:hAnsi="Times New Roman"/>
          <w:sz w:val="28"/>
          <w:szCs w:val="28"/>
        </w:rPr>
        <w:t>Положением об охранных зонах пунктов государственной геодезической сети, государственной нивелирной сети и государственной гравиметрической сети, утвержденным Постановлением Правительства РФ от 21.08.2019 №1080 (далее – Положение об охранных зонах пунктов государственной геодезической сети)</w:t>
      </w:r>
      <w:r>
        <w:rPr>
          <w:rFonts w:eastAsia="Calibri" w:cs="Times New Roman" w:ascii="Times New Roman" w:hAnsi="Times New Roman" w:eastAsiaTheme="minorHAnsi"/>
          <w:sz w:val="28"/>
          <w:szCs w:val="28"/>
        </w:rPr>
        <w:t>, границы охранной зоны каждого из пунктов на местности определяются как квадрат. Стороны квадрата должны быть равны 4 метрам, ориентированы по сторонам света и иметь центральную точку (точку пересечения диагоналей) - центр пункта. Регламент использования охранной зоны пунктов государственной геодезической сети приведен в таблице 6.14.1.</w:t>
      </w:r>
    </w:p>
    <w:p>
      <w:pPr>
        <w:pStyle w:val="ConsPlusNormal"/>
        <w:ind w:firstLine="709"/>
        <w:jc w:val="both"/>
        <w:rPr>
          <w:rFonts w:ascii="Times New Roman" w:hAnsi="Times New Roman" w:eastAsia="Calibri" w:cs="Times New Roman" w:eastAsiaTheme="minorHAnsi"/>
          <w:sz w:val="28"/>
          <w:szCs w:val="28"/>
        </w:rPr>
      </w:pPr>
      <w:r>
        <w:rPr>
          <w:rFonts w:eastAsia="Calibri" w:cs="Times New Roman" w:ascii="Times New Roman" w:hAnsi="Times New Roman" w:eastAsiaTheme="minorHAnsi"/>
          <w:sz w:val="28"/>
          <w:szCs w:val="28"/>
        </w:rPr>
        <w:t xml:space="preserve">В соответствии с </w:t>
      </w:r>
      <w:r>
        <w:rPr>
          <w:rFonts w:cs="Times New Roman" w:ascii="Times New Roman" w:hAnsi="Times New Roman"/>
          <w:sz w:val="28"/>
          <w:szCs w:val="28"/>
        </w:rPr>
        <w:t>Положением об охранной зоне стационарных пунктов наблюдений за состоянием окружающей среды, ее загрязнением, утвержденным Постановлением Правительства РФ от 17.03.2021 №392 (далее – Положение об охранной зоне стационарных пунктов наблюдений),</w:t>
      </w:r>
      <w:r>
        <w:rPr>
          <w:rFonts w:eastAsia="Calibri" w:cs="Times New Roman" w:ascii="Times New Roman" w:hAnsi="Times New Roman" w:eastAsiaTheme="minorHAnsi"/>
          <w:sz w:val="28"/>
          <w:szCs w:val="28"/>
        </w:rPr>
        <w:t xml:space="preserve"> предельные размеры охранной зоны составляют:</w:t>
      </w:r>
    </w:p>
    <w:p>
      <w:pPr>
        <w:pStyle w:val="ConsPlusNormal"/>
        <w:ind w:firstLine="709"/>
        <w:jc w:val="both"/>
        <w:rPr>
          <w:rFonts w:ascii="Times New Roman" w:hAnsi="Times New Roman" w:eastAsia="Calibri" w:cs="Times New Roman" w:eastAsiaTheme="minorHAnsi"/>
          <w:sz w:val="28"/>
          <w:szCs w:val="28"/>
        </w:rPr>
      </w:pPr>
      <w:bookmarkStart w:id="180" w:name="Par71"/>
      <w:bookmarkEnd w:id="180"/>
      <w:r>
        <w:rPr>
          <w:rFonts w:eastAsia="Calibri" w:cs="Times New Roman" w:ascii="Times New Roman" w:hAnsi="Times New Roman" w:eastAsiaTheme="minorHAnsi"/>
          <w:sz w:val="28"/>
          <w:szCs w:val="28"/>
        </w:rPr>
        <w:t>а) 100 метров во все стороны от места расположения приборов и оборудования стационарного пункта наблюдений - для стационарных пунктов наблюдений, на которых осуществляются гидрологические наблюдения или наблюдения за загрязнением атмосферного воздуха;</w:t>
      </w:r>
    </w:p>
    <w:p>
      <w:pPr>
        <w:pStyle w:val="ConsPlusNormal"/>
        <w:ind w:firstLine="709"/>
        <w:jc w:val="both"/>
        <w:rPr>
          <w:rFonts w:ascii="Times New Roman" w:hAnsi="Times New Roman" w:eastAsia="Calibri" w:cs="Times New Roman" w:eastAsiaTheme="minorHAnsi"/>
          <w:sz w:val="28"/>
          <w:szCs w:val="28"/>
        </w:rPr>
      </w:pPr>
      <w:r>
        <w:rPr>
          <w:rFonts w:eastAsia="Calibri" w:cs="Times New Roman" w:ascii="Times New Roman" w:hAnsi="Times New Roman" w:eastAsiaTheme="minorHAnsi"/>
          <w:sz w:val="28"/>
          <w:szCs w:val="28"/>
        </w:rPr>
        <w:t>б) 200 метров - для стационарных пунктов наблюдений в случаях, не указанных в подпункте «а» настоящего пункта.</w:t>
      </w:r>
    </w:p>
    <w:p>
      <w:pPr>
        <w:pStyle w:val="Normal"/>
        <w:rPr>
          <w:rFonts w:ascii="Times New Roman" w:hAnsi="Times New Roman" w:cs="Times New Roman"/>
          <w:sz w:val="28"/>
          <w:szCs w:val="28"/>
          <w:lang w:eastAsia="ru-RU"/>
        </w:rPr>
      </w:pPr>
      <w:r>
        <w:rPr>
          <w:rFonts w:cs="Times New Roman" w:ascii="Times New Roman" w:hAnsi="Times New Roman"/>
          <w:sz w:val="28"/>
          <w:szCs w:val="28"/>
          <w:lang w:eastAsia="ru-RU"/>
        </w:rPr>
      </w:r>
      <w:r>
        <w:br w:type="page"/>
      </w:r>
    </w:p>
    <w:p>
      <w:pPr>
        <w:pStyle w:val="Normal"/>
        <w:widowControl w:val="false"/>
        <w:suppressAutoHyphens w:val="true"/>
        <w:spacing w:lineRule="auto" w:line="240" w:before="0" w:after="0"/>
        <w:jc w:val="right"/>
        <w:rPr>
          <w:rFonts w:ascii="Times New Roman" w:hAnsi="Times New Roman" w:cs="Times New Roman"/>
          <w:sz w:val="28"/>
          <w:szCs w:val="28"/>
          <w:lang w:eastAsia="ru-RU"/>
        </w:rPr>
      </w:pPr>
      <w:r>
        <w:rPr>
          <w:rFonts w:cs="Times New Roman" w:ascii="Times New Roman" w:hAnsi="Times New Roman"/>
          <w:sz w:val="28"/>
          <w:szCs w:val="28"/>
          <w:lang w:eastAsia="ru-RU"/>
        </w:rPr>
        <w:t>Таблица 6.14.1</w:t>
      </w:r>
    </w:p>
    <w:p>
      <w:pPr>
        <w:pStyle w:val="Normal"/>
        <w:widowControl w:val="false"/>
        <w:suppressAutoHyphens w:val="true"/>
        <w:spacing w:lineRule="auto" w:line="240" w:before="0" w:after="0"/>
        <w:jc w:val="center"/>
        <w:rPr>
          <w:rFonts w:ascii="Times New Roman" w:hAnsi="Times New Roman" w:cs="Times New Roman"/>
          <w:sz w:val="28"/>
          <w:szCs w:val="28"/>
          <w:lang w:eastAsia="ru-RU"/>
        </w:rPr>
      </w:pPr>
      <w:r>
        <w:rPr>
          <w:rFonts w:cs="Times New Roman" w:ascii="Times New Roman" w:hAnsi="Times New Roman"/>
          <w:sz w:val="28"/>
          <w:szCs w:val="28"/>
          <w:lang w:eastAsia="ru-RU"/>
        </w:rPr>
        <w:t xml:space="preserve"> </w:t>
      </w:r>
      <w:r>
        <w:rPr>
          <w:rFonts w:cs="Times New Roman" w:ascii="Times New Roman" w:hAnsi="Times New Roman"/>
          <w:sz w:val="28"/>
          <w:szCs w:val="28"/>
          <w:lang w:eastAsia="ru-RU"/>
        </w:rPr>
        <w:t>Регламенты использования охранных зон пунктов наблюдений за состоянием окружающей среды, пунктов государственной геодезической сети</w:t>
      </w:r>
    </w:p>
    <w:tbl>
      <w:tblPr>
        <w:tblStyle w:val="af0"/>
        <w:tblW w:w="5000" w:type="pct"/>
        <w:jc w:val="left"/>
        <w:tblInd w:w="0" w:type="dxa"/>
        <w:tblLayout w:type="fixed"/>
        <w:tblCellMar>
          <w:top w:w="0" w:type="dxa"/>
          <w:left w:w="108" w:type="dxa"/>
          <w:bottom w:w="0" w:type="dxa"/>
          <w:right w:w="108" w:type="dxa"/>
        </w:tblCellMar>
        <w:tblLook w:noVBand="1" w:val="04a0" w:noHBand="0" w:lastColumn="0" w:firstColumn="1" w:lastRow="0" w:firstRow="1"/>
      </w:tblPr>
      <w:tblGrid>
        <w:gridCol w:w="1659"/>
        <w:gridCol w:w="6479"/>
        <w:gridCol w:w="1783"/>
      </w:tblGrid>
      <w:tr>
        <w:trPr>
          <w:tblHeader w:val="true"/>
          <w:trHeight w:val="983" w:hRule="atLeast"/>
        </w:trPr>
        <w:tc>
          <w:tcPr>
            <w:tcW w:w="1659" w:type="dxa"/>
            <w:tcBorders/>
            <w:vAlign w:val="center"/>
          </w:tcPr>
          <w:p>
            <w:pPr>
              <w:pStyle w:val="Style38"/>
              <w:widowControl w:val="false"/>
              <w:suppressAutoHyphens w:val="true"/>
              <w:spacing w:before="0" w:after="0"/>
              <w:ind w:left="0" w:right="0" w:hanging="0"/>
              <w:contextualSpacing/>
              <w:jc w:val="center"/>
              <w:rPr>
                <w:sz w:val="20"/>
              </w:rPr>
            </w:pPr>
            <w:r>
              <w:rPr>
                <w:kern w:val="0"/>
                <w:sz w:val="20"/>
                <w:lang w:val="ru-RU" w:bidi="ar-SA"/>
              </w:rPr>
              <w:t>Наименование зоны</w:t>
            </w:r>
          </w:p>
        </w:tc>
        <w:tc>
          <w:tcPr>
            <w:tcW w:w="6479" w:type="dxa"/>
            <w:tcBorders/>
            <w:vAlign w:val="center"/>
          </w:tcPr>
          <w:p>
            <w:pPr>
              <w:pStyle w:val="Style38"/>
              <w:widowControl w:val="false"/>
              <w:suppressAutoHyphens w:val="true"/>
              <w:spacing w:before="0" w:after="0"/>
              <w:ind w:left="0" w:right="0" w:hanging="0"/>
              <w:contextualSpacing/>
              <w:jc w:val="center"/>
              <w:rPr>
                <w:sz w:val="20"/>
              </w:rPr>
            </w:pPr>
            <w:r>
              <w:rPr>
                <w:kern w:val="0"/>
                <w:sz w:val="20"/>
                <w:lang w:val="ru-RU" w:bidi="ar-SA"/>
              </w:rPr>
              <w:t>Правовой режим использования зоны</w:t>
            </w:r>
          </w:p>
        </w:tc>
        <w:tc>
          <w:tcPr>
            <w:tcW w:w="1783" w:type="dxa"/>
            <w:tcBorders/>
            <w:vAlign w:val="center"/>
          </w:tcPr>
          <w:p>
            <w:pPr>
              <w:pStyle w:val="Style38"/>
              <w:widowControl w:val="false"/>
              <w:suppressAutoHyphens w:val="true"/>
              <w:spacing w:before="0" w:after="0"/>
              <w:ind w:left="0" w:right="0" w:hanging="0"/>
              <w:contextualSpacing/>
              <w:jc w:val="center"/>
              <w:rPr>
                <w:sz w:val="20"/>
              </w:rPr>
            </w:pPr>
            <w:r>
              <w:rPr>
                <w:kern w:val="0"/>
                <w:sz w:val="20"/>
                <w:lang w:val="ru-RU" w:bidi="ar-SA"/>
              </w:rPr>
              <w:t>Обоснование</w:t>
            </w:r>
          </w:p>
          <w:p>
            <w:pPr>
              <w:pStyle w:val="Style38"/>
              <w:widowControl w:val="false"/>
              <w:suppressAutoHyphens w:val="true"/>
              <w:spacing w:before="0" w:after="0"/>
              <w:ind w:left="0" w:right="0" w:hanging="0"/>
              <w:contextualSpacing/>
              <w:jc w:val="center"/>
              <w:rPr>
                <w:sz w:val="20"/>
              </w:rPr>
            </w:pPr>
            <w:r>
              <w:rPr>
                <w:kern w:val="0"/>
                <w:sz w:val="20"/>
                <w:lang w:val="ru-RU" w:bidi="ar-SA"/>
              </w:rPr>
              <w:t>(нормативные документы)</w:t>
            </w:r>
          </w:p>
        </w:tc>
      </w:tr>
      <w:tr>
        <w:trPr>
          <w:tblHeader w:val="true"/>
          <w:trHeight w:val="983" w:hRule="atLeast"/>
        </w:trPr>
        <w:tc>
          <w:tcPr>
            <w:tcW w:w="1659" w:type="dxa"/>
            <w:tcBorders/>
            <w:vAlign w:val="center"/>
          </w:tcPr>
          <w:p>
            <w:pPr>
              <w:pStyle w:val="Style38"/>
              <w:widowControl w:val="false"/>
              <w:suppressAutoHyphens w:val="true"/>
              <w:spacing w:before="0" w:after="0"/>
              <w:ind w:left="0" w:right="0" w:hanging="0"/>
              <w:contextualSpacing/>
              <w:jc w:val="center"/>
              <w:rPr>
                <w:sz w:val="20"/>
              </w:rPr>
            </w:pPr>
            <w:r>
              <w:rPr>
                <w:kern w:val="0"/>
                <w:sz w:val="20"/>
                <w:lang w:val="ru-RU" w:bidi="ar-SA"/>
              </w:rPr>
              <w:t>Охранная зона пунктов государственной геодезической сети</w:t>
            </w:r>
          </w:p>
        </w:tc>
        <w:tc>
          <w:tcPr>
            <w:tcW w:w="6479" w:type="dxa"/>
            <w:tcBorders/>
            <w:vAlign w:val="center"/>
          </w:tcPr>
          <w:p>
            <w:pPr>
              <w:pStyle w:val="ConsPlusNormal"/>
              <w:widowControl w:val="false"/>
              <w:spacing w:before="0" w:after="0"/>
              <w:jc w:val="both"/>
              <w:rPr>
                <w:rFonts w:ascii="Times New Roman" w:hAnsi="Times New Roman" w:cs="Times New Roman"/>
                <w:sz w:val="20"/>
              </w:rPr>
            </w:pPr>
            <w:r>
              <w:rPr>
                <w:rFonts w:cs="Times New Roman" w:ascii="Times New Roman" w:hAnsi="Times New Roman"/>
                <w:kern w:val="0"/>
                <w:sz w:val="20"/>
                <w:lang w:val="ru-RU" w:bidi="ar-SA"/>
              </w:rPr>
              <w:t xml:space="preserve">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 </w:t>
            </w:r>
          </w:p>
          <w:p>
            <w:pPr>
              <w:pStyle w:val="ConsPlusNormal"/>
              <w:widowControl w:val="false"/>
              <w:spacing w:before="0" w:after="0"/>
              <w:jc w:val="both"/>
              <w:rPr>
                <w:rFonts w:ascii="Times New Roman" w:hAnsi="Times New Roman" w:cs="Times New Roman"/>
                <w:sz w:val="20"/>
              </w:rPr>
            </w:pPr>
            <w:r>
              <w:rPr>
                <w:rFonts w:cs="Times New Roman" w:ascii="Times New Roman" w:hAnsi="Times New Roman"/>
                <w:kern w:val="0"/>
                <w:sz w:val="20"/>
                <w:lang w:val="ru-RU" w:bidi="ar-SA"/>
              </w:rPr>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pPr>
              <w:pStyle w:val="ConsPlusNormal"/>
              <w:widowControl w:val="false"/>
              <w:spacing w:before="0" w:after="0"/>
              <w:jc w:val="both"/>
              <w:rPr>
                <w:rFonts w:ascii="Times New Roman" w:hAnsi="Times New Roman" w:cs="Times New Roman"/>
                <w:sz w:val="20"/>
              </w:rPr>
            </w:pPr>
            <w:r>
              <w:rPr>
                <w:rFonts w:cs="Times New Roman" w:ascii="Times New Roman" w:hAnsi="Times New Roman"/>
                <w:kern w:val="0"/>
                <w:sz w:val="20"/>
                <w:lang w:val="ru-RU" w:bidi="ar-SA"/>
              </w:rPr>
              <w:t>В границах охранной зоны пунктов территории, в отношении которых устанавливаются различные ограничения использования земельных участков, не выделяются.</w:t>
            </w:r>
          </w:p>
          <w:p>
            <w:pPr>
              <w:pStyle w:val="ConsPlusNormal"/>
              <w:widowControl w:val="false"/>
              <w:spacing w:before="0" w:after="0"/>
              <w:jc w:val="both"/>
              <w:rPr>
                <w:rFonts w:ascii="Times New Roman" w:hAnsi="Times New Roman" w:cs="Times New Roman"/>
                <w:sz w:val="20"/>
              </w:rPr>
            </w:pPr>
            <w:r>
              <w:rPr>
                <w:rFonts w:cs="Times New Roman" w:ascii="Times New Roman" w:hAnsi="Times New Roman"/>
                <w:kern w:val="0"/>
                <w:sz w:val="20"/>
                <w:lang w:val="ru-RU" w:bidi="ar-SA"/>
              </w:rPr>
              <w:t>Отдельные ограничения использования земельных участков при установлении охранных зон пунктов в зависимости от характеристик пунктов или их территориального расположения не устанавливаются.</w:t>
            </w:r>
          </w:p>
          <w:p>
            <w:pPr>
              <w:pStyle w:val="ConsPlusNormal"/>
              <w:widowControl w:val="false"/>
              <w:spacing w:before="0" w:after="0"/>
              <w:jc w:val="both"/>
              <w:rPr>
                <w:sz w:val="20"/>
              </w:rPr>
            </w:pPr>
            <w:r>
              <w:rPr>
                <w:rFonts w:cs="Times New Roman" w:ascii="Times New Roman" w:hAnsi="Times New Roman"/>
                <w:kern w:val="0"/>
                <w:sz w:val="20"/>
                <w:lang w:val="ru-RU" w:bidi="ar-SA"/>
              </w:rPr>
              <w:t>В случае необходимости осуществления видов деятельности и работ, указанных в пункте 20 Положения, проводится ликвидация пунктов с одновременным созданием новых пунктов в соответствии с частями 4 - 6 статьи 8 Федерального закона «О геодезии, картографии и пространственных данных и о внесении изменений в отдельные законодательные акты Российской Федерации» лицом, выполняющим указанные работы, на основании решения Федеральной службы государственной регистрации, кадастра и картографии или ее территориальных органов, принимающих в соответствии с пунктом 5 настоящего Положения решения об установлении, изменении или о прекращении существования охранных зон пунктов.</w:t>
            </w:r>
          </w:p>
        </w:tc>
        <w:tc>
          <w:tcPr>
            <w:tcW w:w="1783" w:type="dxa"/>
            <w:tcBorders/>
            <w:vAlign w:val="center"/>
          </w:tcPr>
          <w:p>
            <w:pPr>
              <w:pStyle w:val="Style38"/>
              <w:widowControl w:val="false"/>
              <w:suppressAutoHyphens w:val="true"/>
              <w:spacing w:before="0" w:after="0"/>
              <w:ind w:left="0" w:right="0" w:hanging="0"/>
              <w:contextualSpacing/>
              <w:jc w:val="center"/>
              <w:rPr>
                <w:sz w:val="20"/>
              </w:rPr>
            </w:pPr>
            <w:r>
              <w:rPr>
                <w:kern w:val="0"/>
                <w:sz w:val="20"/>
                <w:lang w:val="ru-RU" w:bidi="ar-SA"/>
              </w:rPr>
              <w:t>Положение об охранных зонах пунктов государственной геодезической сети, государственной нивелирной сети и государственной гравиметрической сети, утверждено Постановлением Правительства РФ от 21.08.2019 №1080</w:t>
            </w:r>
            <w:r>
              <w:rPr>
                <w:b/>
                <w:kern w:val="0"/>
                <w:szCs w:val="28"/>
                <w:lang w:val="ru-RU" w:bidi="ar-SA"/>
              </w:rPr>
              <w:t xml:space="preserve"> </w:t>
            </w:r>
          </w:p>
        </w:tc>
      </w:tr>
      <w:tr>
        <w:trPr>
          <w:tblHeader w:val="true"/>
          <w:trHeight w:val="983" w:hRule="atLeast"/>
        </w:trPr>
        <w:tc>
          <w:tcPr>
            <w:tcW w:w="1659" w:type="dxa"/>
            <w:tcBorders/>
            <w:vAlign w:val="center"/>
          </w:tcPr>
          <w:p>
            <w:pPr>
              <w:pStyle w:val="Style38"/>
              <w:widowControl w:val="false"/>
              <w:suppressAutoHyphens w:val="true"/>
              <w:spacing w:before="0" w:after="0"/>
              <w:ind w:left="0" w:right="0" w:hanging="0"/>
              <w:contextualSpacing/>
              <w:jc w:val="center"/>
              <w:rPr>
                <w:sz w:val="20"/>
              </w:rPr>
            </w:pPr>
            <w:r>
              <w:rPr>
                <w:kern w:val="0"/>
                <w:sz w:val="20"/>
                <w:lang w:val="ru-RU" w:bidi="ar-SA"/>
              </w:rPr>
              <w:t>Охранная зона пунктов наблюдений за состоянием окружающей среды</w:t>
            </w:r>
          </w:p>
        </w:tc>
        <w:tc>
          <w:tcPr>
            <w:tcW w:w="6479" w:type="dxa"/>
            <w:tcBorders/>
            <w:vAlign w:val="center"/>
          </w:tcPr>
          <w:p>
            <w:pPr>
              <w:pStyle w:val="ConsPlusNormal"/>
              <w:widowControl w:val="false"/>
              <w:spacing w:before="0" w:after="0"/>
              <w:jc w:val="both"/>
              <w:rPr>
                <w:rFonts w:ascii="Times New Roman" w:hAnsi="Times New Roman" w:cs="Times New Roman"/>
                <w:sz w:val="20"/>
              </w:rPr>
            </w:pPr>
            <w:r>
              <w:rPr>
                <w:rFonts w:cs="Times New Roman" w:ascii="Times New Roman" w:hAnsi="Times New Roman"/>
                <w:kern w:val="0"/>
                <w:sz w:val="20"/>
                <w:lang w:val="ru-RU" w:bidi="ar-SA"/>
              </w:rPr>
              <w:t>В границах охранной зоны запрещается:</w:t>
            </w:r>
          </w:p>
          <w:p>
            <w:pPr>
              <w:pStyle w:val="ConsPlusNormal"/>
              <w:widowControl w:val="false"/>
              <w:spacing w:before="0" w:after="0"/>
              <w:jc w:val="both"/>
              <w:rPr>
                <w:rFonts w:ascii="Times New Roman" w:hAnsi="Times New Roman" w:cs="Times New Roman"/>
                <w:sz w:val="20"/>
              </w:rPr>
            </w:pPr>
            <w:r>
              <w:rPr>
                <w:rFonts w:cs="Times New Roman" w:ascii="Times New Roman" w:hAnsi="Times New Roman"/>
                <w:kern w:val="0"/>
                <w:sz w:val="20"/>
                <w:lang w:val="ru-RU" w:bidi="ar-SA"/>
              </w:rPr>
              <w:t>а) строительство объектов капитального строительства, возведение некапитальных строений и сооружений, размещение предметов и материалов, посадка деревьев и кустарников (далее - препятствия) на расстоянии менее или равном 10-кратной высоте препятствия вокруг стационарного пункта наблюдений, а для препятствий, образующих непрерывную полосу с общей угловой шириной более 10 градусов, - на расстоянии менее или равном 20-кратной максимальной высоте препятствия вокруг стационарного пункта наблюдений;</w:t>
            </w:r>
          </w:p>
          <w:p>
            <w:pPr>
              <w:pStyle w:val="ConsPlusNormal"/>
              <w:widowControl w:val="false"/>
              <w:spacing w:before="0" w:after="0"/>
              <w:jc w:val="both"/>
              <w:rPr>
                <w:rFonts w:ascii="Times New Roman" w:hAnsi="Times New Roman" w:cs="Times New Roman"/>
                <w:sz w:val="20"/>
              </w:rPr>
            </w:pPr>
            <w:r>
              <w:rPr>
                <w:rFonts w:cs="Times New Roman" w:ascii="Times New Roman" w:hAnsi="Times New Roman"/>
                <w:kern w:val="0"/>
                <w:sz w:val="20"/>
                <w:lang w:val="ru-RU" w:bidi="ar-SA"/>
              </w:rPr>
              <w:t>б) размещение источников искажения температурно-влажностного режима атмосферного воздуха (теплотрассы, котельные, трубопроводы, бетонные, асфальтовые и иные искусственные площадки, искусственные водные объекты, оросительные и осушительные системы, открытые источники огня, дыма);</w:t>
            </w:r>
          </w:p>
          <w:p>
            <w:pPr>
              <w:pStyle w:val="ConsPlusNormal"/>
              <w:widowControl w:val="false"/>
              <w:spacing w:before="0" w:after="0"/>
              <w:jc w:val="both"/>
              <w:rPr>
                <w:rFonts w:ascii="Times New Roman" w:hAnsi="Times New Roman" w:cs="Times New Roman"/>
                <w:sz w:val="20"/>
              </w:rPr>
            </w:pPr>
            <w:r>
              <w:rPr>
                <w:rFonts w:cs="Times New Roman" w:ascii="Times New Roman" w:hAnsi="Times New Roman"/>
                <w:kern w:val="0"/>
                <w:sz w:val="20"/>
                <w:lang w:val="ru-RU" w:bidi="ar-SA"/>
              </w:rPr>
              <w:t>в) проведение горных, геологоразведочных и взрывных работ, а также земляных работ;</w:t>
            </w:r>
          </w:p>
          <w:p>
            <w:pPr>
              <w:pStyle w:val="ConsPlusNormal"/>
              <w:widowControl w:val="false"/>
              <w:spacing w:before="0" w:after="0"/>
              <w:jc w:val="both"/>
              <w:rPr>
                <w:rFonts w:ascii="Times New Roman" w:hAnsi="Times New Roman" w:cs="Times New Roman"/>
                <w:sz w:val="20"/>
              </w:rPr>
            </w:pPr>
            <w:r>
              <w:rPr>
                <w:rFonts w:cs="Times New Roman" w:ascii="Times New Roman" w:hAnsi="Times New Roman"/>
                <w:kern w:val="0"/>
                <w:sz w:val="20"/>
                <w:lang w:val="ru-RU" w:bidi="ar-SA"/>
              </w:rPr>
              <w:t>г) организация стоянки автомобильного и (или) водного транспорта, других механизмов, сооружение причалов и пристаней;</w:t>
            </w:r>
          </w:p>
          <w:p>
            <w:pPr>
              <w:pStyle w:val="ConsPlusNormal"/>
              <w:widowControl w:val="false"/>
              <w:spacing w:before="0" w:after="0"/>
              <w:jc w:val="both"/>
              <w:rPr>
                <w:rFonts w:ascii="Times New Roman" w:hAnsi="Times New Roman" w:cs="Times New Roman"/>
                <w:sz w:val="20"/>
              </w:rPr>
            </w:pPr>
            <w:r>
              <w:rPr>
                <w:rFonts w:cs="Times New Roman" w:ascii="Times New Roman" w:hAnsi="Times New Roman"/>
                <w:kern w:val="0"/>
                <w:sz w:val="20"/>
                <w:lang w:val="ru-RU" w:bidi="ar-SA"/>
              </w:rPr>
              <w:t>д) размещение источников электромагнитного и (или) иного излучения, создающего помехи для получения достоверной информации о состоянии окружающей среды, ее загрязнении, а также стационарные и передвижные источники загрязнения атмосферного воздуха;</w:t>
            </w:r>
          </w:p>
          <w:p>
            <w:pPr>
              <w:pStyle w:val="ConsPlusNormal"/>
              <w:widowControl w:val="false"/>
              <w:spacing w:before="0" w:after="0"/>
              <w:jc w:val="both"/>
              <w:rPr>
                <w:rFonts w:ascii="Times New Roman" w:hAnsi="Times New Roman" w:cs="Times New Roman"/>
                <w:sz w:val="20"/>
              </w:rPr>
            </w:pPr>
            <w:r>
              <w:rPr>
                <w:rFonts w:cs="Times New Roman" w:ascii="Times New Roman" w:hAnsi="Times New Roman"/>
                <w:kern w:val="0"/>
                <w:sz w:val="20"/>
                <w:lang w:val="ru-RU" w:bidi="ar-SA"/>
              </w:rPr>
              <w:t>е) складирование удобрений, отходов производства и потребления.</w:t>
            </w:r>
          </w:p>
        </w:tc>
        <w:tc>
          <w:tcPr>
            <w:tcW w:w="1783" w:type="dxa"/>
            <w:tcBorders/>
            <w:vAlign w:val="center"/>
          </w:tcPr>
          <w:p>
            <w:pPr>
              <w:pStyle w:val="Style38"/>
              <w:widowControl w:val="false"/>
              <w:suppressAutoHyphens w:val="true"/>
              <w:spacing w:before="0" w:after="0"/>
              <w:ind w:left="0" w:right="0" w:hanging="0"/>
              <w:contextualSpacing/>
              <w:jc w:val="center"/>
              <w:rPr>
                <w:sz w:val="20"/>
              </w:rPr>
            </w:pPr>
            <w:r>
              <w:rPr>
                <w:kern w:val="0"/>
                <w:sz w:val="20"/>
                <w:lang w:val="ru-RU" w:bidi="ar-SA"/>
              </w:rPr>
              <w:t>Положение об охранной зоне стационарных пунктов наблюдений за состоянием окружающей среды, ее загрязнением, утверждено Постановлением Правительства РФ от 17.03.2021 №392</w:t>
            </w:r>
            <w:r>
              <w:rPr>
                <w:b/>
                <w:kern w:val="0"/>
                <w:szCs w:val="28"/>
                <w:lang w:val="ru-RU" w:bidi="ar-SA"/>
              </w:rPr>
              <w:t xml:space="preserve"> </w:t>
            </w:r>
          </w:p>
        </w:tc>
      </w:tr>
    </w:tbl>
    <w:p>
      <w:pPr>
        <w:pStyle w:val="Normal"/>
        <w:widowControl w:val="false"/>
        <w:suppressAutoHyphens w:val="true"/>
        <w:spacing w:lineRule="auto" w:line="240" w:before="0" w:after="0"/>
        <w:jc w:val="center"/>
        <w:rPr>
          <w:rFonts w:ascii="Times New Roman" w:hAnsi="Times New Roman" w:cs="Times New Roman"/>
          <w:sz w:val="28"/>
          <w:szCs w:val="28"/>
          <w:lang w:eastAsia="ru-RU"/>
        </w:rPr>
      </w:pPr>
      <w:r>
        <w:rPr>
          <w:rFonts w:cs="Times New Roman" w:ascii="Times New Roman" w:hAnsi="Times New Roman"/>
          <w:sz w:val="28"/>
          <w:szCs w:val="28"/>
          <w:lang w:eastAsia="ru-RU"/>
        </w:rPr>
      </w:r>
    </w:p>
    <w:p>
      <w:pPr>
        <w:pStyle w:val="2"/>
        <w:keepNext w:val="false"/>
        <w:keepLines w:val="false"/>
        <w:widowControl w:val="false"/>
        <w:numPr>
          <w:ilvl w:val="1"/>
          <w:numId w:val="46"/>
        </w:numPr>
        <w:suppressAutoHyphens w:val="true"/>
        <w:spacing w:lineRule="auto" w:line="240" w:before="0" w:after="160"/>
        <w:ind w:left="0" w:firstLine="709"/>
        <w:jc w:val="center"/>
        <w:rPr>
          <w:rFonts w:ascii="Times New Roman" w:hAnsi="Times New Roman" w:cs="Times New Roman"/>
          <w:b/>
          <w:color w:val="auto"/>
          <w:sz w:val="28"/>
          <w:szCs w:val="28"/>
          <w:lang w:eastAsia="ru-RU"/>
        </w:rPr>
      </w:pPr>
      <w:bookmarkStart w:id="181" w:name="_Toc147740073"/>
      <w:r>
        <w:rPr>
          <w:rFonts w:cs="Times New Roman" w:ascii="Times New Roman" w:hAnsi="Times New Roman"/>
          <w:b/>
          <w:color w:val="auto"/>
          <w:sz w:val="28"/>
          <w:szCs w:val="28"/>
          <w:lang w:eastAsia="ru-RU"/>
        </w:rPr>
        <w:t>Охранные зоны особо охраняемых природных территорий (государственного природного заповедника, национального парка, природного парка, памятника природы)</w:t>
      </w:r>
      <w:bookmarkEnd w:id="181"/>
    </w:p>
    <w:p>
      <w:pPr>
        <w:pStyle w:val="Normal"/>
        <w:widowControl w:val="false"/>
        <w:suppressAutoHyphens w:val="true"/>
        <w:spacing w:lineRule="auto" w:line="240" w:before="0" w:after="0"/>
        <w:ind w:firstLine="709"/>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Согласно п.4 ст. 95 Земельного кодекса РФ, пп.10, 11 ст.2 ФЗ от 14.03.1995 №33-ФЗ, для предотвращения неблагоприятных антропогенных воздействий на памятники природы на прилегающих к ним земельных участках и водных объектах устанавливаются охранные зоны. </w:t>
      </w:r>
    </w:p>
    <w:p>
      <w:pPr>
        <w:pStyle w:val="Normal"/>
        <w:widowControl w:val="false"/>
        <w:suppressAutoHyphens w:val="true"/>
        <w:spacing w:lineRule="auto" w:line="240" w:before="0" w:after="0"/>
        <w:ind w:firstLine="709"/>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 (п. 3 ст. 95 Земельного кодекса РФ, п. 1 ст. 27 ФЗ от 14.03.1995 №33-ФЗ. Ответственность за нарушение правил охраны и использования природных ресурсов на территориях памятников природы, либо в их охранных зонах регламентируется статьей 8.39 Кодекса РФ об административных правонарушениях от 30.12.2001 №195-ФЗ.</w:t>
      </w:r>
    </w:p>
    <w:p>
      <w:pPr>
        <w:pStyle w:val="Normal"/>
        <w:widowControl w:val="false"/>
        <w:suppressAutoHyphens w:val="true"/>
        <w:spacing w:lineRule="auto" w:line="240" w:before="0" w:after="0"/>
        <w:ind w:firstLine="709"/>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Собственники, владельцы и пользователи земельных участков, на которых находятся памятники природы, принимают на себя обязательства по обеспечению режима особой охраны памятников природы (п. 2 ст. 27 ФЗ от 14.03.1995 №33-ФЗ).</w:t>
      </w:r>
    </w:p>
    <w:p>
      <w:pPr>
        <w:pStyle w:val="Normal"/>
        <w:widowControl w:val="false"/>
        <w:suppressAutoHyphens w:val="true"/>
        <w:spacing w:lineRule="auto" w:line="240" w:before="0" w:after="0"/>
        <w:ind w:firstLine="709"/>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Правила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 утверждены Постановлением Правительства Российской Федерации от 19 февраля 2015 г. № 138.</w:t>
      </w:r>
    </w:p>
    <w:p>
      <w:pPr>
        <w:pStyle w:val="Normal"/>
        <w:widowControl w:val="false"/>
        <w:suppressAutoHyphens w:val="true"/>
        <w:spacing w:lineRule="auto" w:line="240" w:before="0" w:after="0"/>
        <w:ind w:firstLine="709"/>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Охранные зоны памятников природы регионального значения не могут быть расположены в границах особо охраняемых природных территорий регионального значения.</w:t>
      </w:r>
    </w:p>
    <w:p>
      <w:pPr>
        <w:pStyle w:val="Normal"/>
        <w:widowControl w:val="false"/>
        <w:suppressAutoHyphens w:val="true"/>
        <w:spacing w:lineRule="auto" w:line="240" w:before="0" w:after="0"/>
        <w:ind w:firstLine="709"/>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При определении ширины и конфигурации охранной зоны учитываются в том числе конфигурация водосборных бассейнов и береговой линии водных объектов, расположенных на территории, планируемой для создания охранной зоны.</w:t>
      </w:r>
    </w:p>
    <w:p>
      <w:pPr>
        <w:pStyle w:val="Normal"/>
        <w:widowControl w:val="false"/>
        <w:suppressAutoHyphens w:val="true"/>
        <w:spacing w:lineRule="auto" w:line="240" w:before="0" w:after="0"/>
        <w:ind w:firstLine="709"/>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Решение о создании охранных зон природных парков и памятников природы регионального значения и об установлении их границ принимается высшим должностным лицом субъекта Российской Федерации. Режим охранной зоны устанавливается положением об охранной зоне конкретного памятника природы.</w:t>
      </w:r>
    </w:p>
    <w:p>
      <w:pPr>
        <w:pStyle w:val="Normal"/>
        <w:widowControl w:val="false"/>
        <w:suppressAutoHyphens w:val="true"/>
        <w:spacing w:lineRule="auto" w:line="240" w:before="0" w:after="0"/>
        <w:ind w:firstLine="709"/>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Сведения о границах охранных зон подлежат внесению в государственный кадастр недвижимости (п. 3 ч. 2 ст. 7 Федерального закона от 13.07.2015 № 218-ФЗ «О государственной регистрации недвижимости»). </w:t>
      </w:r>
    </w:p>
    <w:p>
      <w:pPr>
        <w:pStyle w:val="Normal"/>
        <w:widowControl w:val="false"/>
        <w:suppressAutoHyphens w:val="true"/>
        <w:spacing w:lineRule="auto" w:line="240" w:before="0" w:after="0"/>
        <w:ind w:firstLine="709"/>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На территори поселения охранные зоны особо охраняемых природных территорий отсутствуют.</w:t>
      </w:r>
    </w:p>
    <w:p>
      <w:pPr>
        <w:pStyle w:val="Normal"/>
        <w:widowControl w:val="false"/>
        <w:suppressAutoHyphens w:val="true"/>
        <w:spacing w:lineRule="auto" w:line="240" w:before="0" w:after="0"/>
        <w:ind w:firstLine="709"/>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r>
    </w:p>
    <w:p>
      <w:pPr>
        <w:pStyle w:val="2"/>
        <w:numPr>
          <w:ilvl w:val="1"/>
          <w:numId w:val="46"/>
        </w:numPr>
        <w:ind w:left="0" w:hanging="0"/>
        <w:jc w:val="center"/>
        <w:rPr>
          <w:rFonts w:ascii="Times New Roman" w:hAnsi="Times New Roman" w:cs="Times New Roman"/>
          <w:b/>
          <w:color w:val="auto"/>
          <w:sz w:val="28"/>
          <w:szCs w:val="28"/>
          <w:lang w:eastAsia="ru-RU"/>
        </w:rPr>
      </w:pPr>
      <w:bookmarkStart w:id="182" w:name="_Toc147740074"/>
      <w:r>
        <w:rPr>
          <w:rFonts w:cs="Times New Roman" w:ascii="Times New Roman" w:hAnsi="Times New Roman"/>
          <w:b/>
          <w:color w:val="auto"/>
          <w:sz w:val="28"/>
          <w:szCs w:val="28"/>
          <w:lang w:eastAsia="ru-RU"/>
        </w:rPr>
        <w:t>Зоны охраны, защитные зоны объектов культурного наследия</w:t>
      </w:r>
      <w:bookmarkEnd w:id="182"/>
    </w:p>
    <w:p>
      <w:pPr>
        <w:pStyle w:val="Normal"/>
        <w:spacing w:lineRule="auto" w:line="240" w:before="0" w:after="0"/>
        <w:ind w:firstLine="709"/>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По данным Комитета Республики Татарстан по охране объектов культурного наследия (письмо от 14.06.20023 №04А-08/1449), в границах поселения расположен следующий объект, у которого отсутствует охранная зона, защитная зона:</w:t>
      </w:r>
    </w:p>
    <w:p>
      <w:pPr>
        <w:pStyle w:val="ListParagraph"/>
        <w:numPr>
          <w:ilvl w:val="0"/>
          <w:numId w:val="48"/>
        </w:numPr>
        <w:spacing w:lineRule="auto" w:line="240" w:before="0" w:after="0"/>
        <w:ind w:left="0" w:firstLine="709"/>
        <w:contextualSpacing/>
        <w:jc w:val="both"/>
        <w:rPr>
          <w:rFonts w:ascii="Times New Roman" w:hAnsi="Times New Roman" w:cs="Times New Roman"/>
          <w:b/>
          <w:sz w:val="28"/>
          <w:szCs w:val="28"/>
          <w:highlight w:val="lightGray"/>
          <w:lang w:eastAsia="ru-RU"/>
        </w:rPr>
      </w:pPr>
      <w:r>
        <w:rPr>
          <w:rFonts w:cs="Times New Roman" w:ascii="Times New Roman" w:hAnsi="Times New Roman"/>
          <w:sz w:val="28"/>
          <w:szCs w:val="28"/>
        </w:rPr>
        <w:t xml:space="preserve">объект культурного наследия федерального значения (памятник археологии) «Ташевское городище», </w:t>
      </w:r>
      <w:r>
        <w:rPr>
          <w:rFonts w:cs="Times New Roman" w:ascii="Times New Roman" w:hAnsi="Times New Roman"/>
          <w:sz w:val="28"/>
          <w:szCs w:val="28"/>
          <w:lang w:val="en-US"/>
        </w:rPr>
        <w:t>VIII</w:t>
      </w:r>
      <w:r>
        <w:rPr>
          <w:rFonts w:cs="Times New Roman" w:ascii="Times New Roman" w:hAnsi="Times New Roman"/>
          <w:sz w:val="28"/>
          <w:szCs w:val="28"/>
        </w:rPr>
        <w:t xml:space="preserve"> – </w:t>
      </w:r>
      <w:r>
        <w:rPr>
          <w:rFonts w:cs="Times New Roman" w:ascii="Times New Roman" w:hAnsi="Times New Roman"/>
          <w:sz w:val="28"/>
          <w:szCs w:val="28"/>
          <w:lang w:val="en-US"/>
        </w:rPr>
        <w:t>III</w:t>
      </w:r>
      <w:r>
        <w:rPr>
          <w:rFonts w:cs="Times New Roman" w:ascii="Times New Roman" w:hAnsi="Times New Roman"/>
          <w:sz w:val="28"/>
          <w:szCs w:val="28"/>
        </w:rPr>
        <w:t xml:space="preserve"> вв. до н.э., расположенный в Верхнеуслонском муниципальном районе, на мысу образованном правым берегом р. Волги и левым берегом ручья, на северной окраине с. Ташевки.</w:t>
      </w:r>
      <w:r>
        <w:rPr>
          <w:rFonts w:cs="Times New Roman" w:ascii="Times New Roman" w:hAnsi="Times New Roman"/>
          <w:b/>
          <w:sz w:val="28"/>
          <w:szCs w:val="28"/>
          <w:highlight w:val="lightGray"/>
          <w:lang w:eastAsia="ru-RU"/>
        </w:rPr>
        <w:t xml:space="preserve"> </w:t>
      </w:r>
      <w:r>
        <w:br w:type="page"/>
      </w:r>
    </w:p>
    <w:p>
      <w:pPr>
        <w:pStyle w:val="ListParagraph"/>
        <w:widowControl w:val="false"/>
        <w:numPr>
          <w:ilvl w:val="0"/>
          <w:numId w:val="41"/>
        </w:numPr>
        <w:suppressAutoHyphens w:val="true"/>
        <w:spacing w:lineRule="auto" w:line="240"/>
        <w:outlineLvl w:val="0"/>
        <w:rPr>
          <w:rFonts w:ascii="Times New Roman" w:hAnsi="Times New Roman" w:eastAsia="" w:cs="Times New Roman" w:eastAsiaTheme="majorEastAsia"/>
          <w:b/>
          <w:sz w:val="28"/>
          <w:szCs w:val="28"/>
          <w:lang w:eastAsia="ru-RU"/>
        </w:rPr>
      </w:pPr>
      <w:bookmarkStart w:id="183" w:name="_Toc147740075"/>
      <w:bookmarkStart w:id="184" w:name="_Toc34205856"/>
      <w:r>
        <w:rPr>
          <w:rFonts w:eastAsia="" w:cs="Times New Roman" w:ascii="Times New Roman" w:hAnsi="Times New Roman" w:eastAsiaTheme="majorEastAsia"/>
          <w:b/>
          <w:sz w:val="28"/>
          <w:szCs w:val="28"/>
          <w:lang w:eastAsia="ru-RU"/>
        </w:rPr>
        <w:t>МЕРОПРИЯТИЯ ПО УСТОЙЧИВОМУ РАЗВИТИЮ ТЕРРИТОРИИ</w:t>
      </w:r>
      <w:bookmarkEnd w:id="183"/>
      <w:bookmarkEnd w:id="184"/>
    </w:p>
    <w:p>
      <w:pPr>
        <w:pStyle w:val="Normal"/>
        <w:widowControl w:val="false"/>
        <w:suppressAutoHyphens w:val="true"/>
        <w:spacing w:lineRule="auto" w:line="240" w:before="0" w:after="0"/>
        <w:ind w:firstLine="709"/>
        <w:jc w:val="both"/>
        <w:rPr>
          <w:rFonts w:ascii="Times New Roman" w:hAnsi="Times New Roman" w:eastAsia="" w:cs="Times New Roman" w:eastAsiaTheme="majorEastAsia"/>
          <w:sz w:val="28"/>
          <w:szCs w:val="28"/>
          <w:lang w:eastAsia="ru-RU"/>
        </w:rPr>
      </w:pPr>
      <w:r>
        <w:rPr>
          <w:rFonts w:eastAsia="" w:cs="Times New Roman" w:ascii="Times New Roman" w:hAnsi="Times New Roman" w:eastAsiaTheme="majorEastAsia"/>
          <w:sz w:val="28"/>
          <w:szCs w:val="28"/>
          <w:lang w:eastAsia="ru-RU"/>
        </w:rPr>
        <w:t>По итогам анализа сложившейся в поселении ситуации, были разработаны следующие объектно-ориентированные мероприятия, направленные на решение упомянутых проблем поселения, а также на приведение в порядок режима использования зон с особыми условиями использования территории, в общем и целом способствующие оздоровлению экологической обстановки, обеспечению экологической безопасности населения, обеспечению рационального природопользования и экологически устойчивого развития территории.</w:t>
      </w:r>
    </w:p>
    <w:p>
      <w:pPr>
        <w:pStyle w:val="Normal"/>
        <w:widowControl w:val="false"/>
        <w:suppressAutoHyphens w:val="true"/>
        <w:spacing w:lineRule="auto" w:line="240" w:before="0" w:after="0"/>
        <w:ind w:firstLine="709"/>
        <w:jc w:val="both"/>
        <w:rPr>
          <w:rFonts w:ascii="Times New Roman" w:hAnsi="Times New Roman" w:eastAsia="" w:cs="Times New Roman" w:eastAsiaTheme="majorEastAsia"/>
          <w:sz w:val="28"/>
          <w:szCs w:val="28"/>
          <w:lang w:eastAsia="ru-RU"/>
        </w:rPr>
      </w:pPr>
      <w:r>
        <w:rPr>
          <w:rFonts w:eastAsia="" w:cs="Times New Roman" w:ascii="Times New Roman" w:hAnsi="Times New Roman" w:eastAsiaTheme="majorEastAsia"/>
          <w:sz w:val="28"/>
          <w:szCs w:val="28"/>
          <w:lang w:eastAsia="ru-RU"/>
        </w:rPr>
        <w:t>Санитарно-эпидемиологические требования к обеспечению качества факторов среды обитания до 1 марта 2027 года регламентируются требованиями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(далее - СанПиН 2.1.3684-21).</w:t>
      </w:r>
    </w:p>
    <w:p>
      <w:pPr>
        <w:pStyle w:val="Normal"/>
        <w:widowControl w:val="false"/>
        <w:suppressAutoHyphens w:val="true"/>
        <w:spacing w:lineRule="auto" w:line="240" w:before="0" w:after="0"/>
        <w:ind w:firstLine="709"/>
        <w:jc w:val="both"/>
        <w:rPr>
          <w:rFonts w:ascii="Times New Roman" w:hAnsi="Times New Roman" w:eastAsia="" w:cs="Times New Roman" w:eastAsiaTheme="majorEastAsia"/>
          <w:sz w:val="28"/>
          <w:szCs w:val="28"/>
          <w:lang w:eastAsia="ru-RU"/>
        </w:rPr>
      </w:pPr>
      <w:r>
        <w:rPr>
          <w:rFonts w:eastAsia="" w:cs="Times New Roman" w:eastAsiaTheme="majorEastAsia" w:ascii="Times New Roman" w:hAnsi="Times New Roman"/>
          <w:sz w:val="28"/>
          <w:szCs w:val="28"/>
          <w:lang w:eastAsia="ru-RU"/>
        </w:rPr>
      </w:r>
    </w:p>
    <w:p>
      <w:pPr>
        <w:pStyle w:val="ListParagraph"/>
        <w:widowControl w:val="false"/>
        <w:numPr>
          <w:ilvl w:val="1"/>
          <w:numId w:val="49"/>
        </w:numPr>
        <w:suppressAutoHyphens w:val="true"/>
        <w:spacing w:lineRule="auto" w:line="240"/>
        <w:ind w:left="0" w:hanging="0"/>
        <w:jc w:val="center"/>
        <w:outlineLvl w:val="1"/>
        <w:rPr>
          <w:rFonts w:ascii="Times New Roman" w:hAnsi="Times New Roman" w:eastAsia="" w:cs="Times New Roman" w:eastAsiaTheme="majorEastAsia"/>
          <w:b/>
          <w:sz w:val="28"/>
          <w:szCs w:val="28"/>
          <w:lang w:eastAsia="ru-RU"/>
        </w:rPr>
      </w:pPr>
      <w:bookmarkStart w:id="185" w:name="_Toc57443791"/>
      <w:bookmarkStart w:id="186" w:name="_Toc133908544"/>
      <w:bookmarkStart w:id="187" w:name="_Toc147740076"/>
      <w:r>
        <w:rPr>
          <w:rFonts w:cs="Times New Roman" w:ascii="Times New Roman" w:hAnsi="Times New Roman"/>
          <w:b/>
          <w:sz w:val="28"/>
          <w:szCs w:val="28"/>
          <w:lang w:eastAsia="ru-RU"/>
        </w:rPr>
        <w:t>Мероприятия по охране атмосферного воздуха</w:t>
      </w:r>
      <w:bookmarkEnd w:id="185"/>
      <w:bookmarkEnd w:id="186"/>
      <w:bookmarkEnd w:id="187"/>
    </w:p>
    <w:p>
      <w:pPr>
        <w:pStyle w:val="Normal"/>
        <w:spacing w:lineRule="auto" w:line="240" w:before="0" w:after="0"/>
        <w:ind w:firstLine="709"/>
        <w:contextualSpacing/>
        <w:jc w:val="both"/>
        <w:rPr>
          <w:rFonts w:ascii="Times New Roman" w:hAnsi="Times New Roman" w:cs="Times New Roman"/>
          <w:sz w:val="28"/>
          <w:szCs w:val="28"/>
        </w:rPr>
      </w:pPr>
      <w:bookmarkStart w:id="188" w:name="_Toc266432775"/>
      <w:bookmarkStart w:id="189" w:name="_Toc316136505"/>
      <w:bookmarkStart w:id="190" w:name="_Toc7079022"/>
      <w:bookmarkEnd w:id="188"/>
      <w:bookmarkEnd w:id="189"/>
      <w:bookmarkEnd w:id="190"/>
      <w:r>
        <w:rPr>
          <w:rFonts w:cs="Times New Roman" w:ascii="Times New Roman" w:hAnsi="Times New Roman"/>
          <w:sz w:val="28"/>
          <w:szCs w:val="28"/>
        </w:rPr>
        <w:t>Атмосферный воздух должен отвечать гигиеническим нормативам (СанПиН 1.2.3685-21</w:t>
      </w:r>
      <w:r>
        <w:rPr>
          <w:rFonts w:cs="Times New Roman" w:ascii="Times New Roman" w:hAnsi="Times New Roman"/>
          <w:sz w:val="28"/>
          <w:szCs w:val="28"/>
          <w:lang w:eastAsia="ru-RU"/>
        </w:rPr>
        <w:t>)</w:t>
      </w:r>
      <w:r>
        <w:rPr>
          <w:rFonts w:cs="Times New Roman" w:ascii="Times New Roman" w:hAnsi="Times New Roman"/>
          <w:sz w:val="28"/>
          <w:szCs w:val="28"/>
        </w:rPr>
        <w:t xml:space="preserve"> по предельно допустимым концентрациям загрязняющих веществ (максимальным или минимальным их значениям) (далее - ПДК), ориентировочным безопасным уровням воздействия (далее - ОБУВ), предельно допустимым уровням физического воздействия (далее - ПДУ), а также по биологическим факторам, обеспечивающим их безопасность для здоровья человека.</w:t>
      </w:r>
    </w:p>
    <w:p>
      <w:pPr>
        <w:pStyle w:val="ConsPlusNormal"/>
        <w:spacing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Мероприятия по охране атмосферного воздуха сводятся к обеспечению хозяйствующими субъектами не превышения гигиенических нормативов содержания загрязняющих веществ в атмосферном воздухе с учетом фона:</w:t>
      </w:r>
    </w:p>
    <w:p>
      <w:pPr>
        <w:pStyle w:val="ConsPlusNormal"/>
        <w:numPr>
          <w:ilvl w:val="0"/>
          <w:numId w:val="6"/>
        </w:numPr>
        <w:spacing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в жилой зоне - </w:t>
      </w:r>
      <w:r>
        <w:rPr/>
        <w:drawing>
          <wp:inline distT="0" distB="0" distL="0" distR="0">
            <wp:extent cx="123825" cy="152400"/>
            <wp:effectExtent l="0" t="0" r="0" b="0"/>
            <wp:docPr id="25" name="Рисунок 2 Копия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 Копия 1" descr=""/>
                    <pic:cNvPicPr>
                      <a:picLocks noChangeAspect="1" noChangeArrowheads="1"/>
                    </pic:cNvPicPr>
                  </pic:nvPicPr>
                  <pic:blipFill>
                    <a:blip r:embed="rId54"/>
                    <a:stretch>
                      <a:fillRect/>
                    </a:stretch>
                  </pic:blipFill>
                  <pic:spPr bwMode="auto">
                    <a:xfrm>
                      <a:off x="0" y="0"/>
                      <a:ext cx="123825" cy="152400"/>
                    </a:xfrm>
                    <a:prstGeom prst="rect">
                      <a:avLst/>
                    </a:prstGeom>
                  </pic:spPr>
                </pic:pic>
              </a:graphicData>
            </a:graphic>
          </wp:inline>
        </w:drawing>
      </w:r>
      <w:r>
        <w:rPr>
          <w:rFonts w:cs="Times New Roman" w:ascii="Times New Roman" w:hAnsi="Times New Roman"/>
          <w:sz w:val="28"/>
          <w:szCs w:val="28"/>
        </w:rPr>
        <w:t xml:space="preserve"> 1,0 ПДК (ОБУВ);</w:t>
      </w:r>
    </w:p>
    <w:p>
      <w:pPr>
        <w:pStyle w:val="ListParagraph"/>
        <w:numPr>
          <w:ilvl w:val="0"/>
          <w:numId w:val="6"/>
        </w:numPr>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на территории, выделенной в документах градостроительного зонирования, решениях органов местного самоуправления для организации курортных зон, размещения санаториев, домов отдыха, пансионатов, туристских баз, организованного отдыха населения, в том числе пляжей, парков, спортивных баз и их сооружений на открытом воздухе, а также на территориях размещения лечебно-профилактических учреждений длительного пребывания больных и центров реабилитации - </w:t>
      </w:r>
      <w:r>
        <w:rPr/>
        <w:drawing>
          <wp:inline distT="0" distB="0" distL="0" distR="0">
            <wp:extent cx="123825" cy="152400"/>
            <wp:effectExtent l="0" t="0" r="0" b="0"/>
            <wp:docPr id="26" name="Рисунок 1 Копия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1 Копия 1" descr=""/>
                    <pic:cNvPicPr>
                      <a:picLocks noChangeAspect="1" noChangeArrowheads="1"/>
                    </pic:cNvPicPr>
                  </pic:nvPicPr>
                  <pic:blipFill>
                    <a:blip r:embed="rId55"/>
                    <a:stretch>
                      <a:fillRect/>
                    </a:stretch>
                  </pic:blipFill>
                  <pic:spPr bwMode="auto">
                    <a:xfrm>
                      <a:off x="0" y="0"/>
                      <a:ext cx="123825" cy="152400"/>
                    </a:xfrm>
                    <a:prstGeom prst="rect">
                      <a:avLst/>
                    </a:prstGeom>
                  </pic:spPr>
                </pic:pic>
              </a:graphicData>
            </a:graphic>
          </wp:inline>
        </w:drawing>
      </w:r>
      <w:r>
        <w:rPr>
          <w:rFonts w:cs="Times New Roman" w:ascii="Times New Roman" w:hAnsi="Times New Roman"/>
          <w:sz w:val="28"/>
          <w:szCs w:val="28"/>
        </w:rPr>
        <w:t xml:space="preserve"> 0,8 ПДК (ОБУВ).</w:t>
      </w:r>
    </w:p>
    <w:p>
      <w:pPr>
        <w:pStyle w:val="Normal"/>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В случае превышения гигиенических нормативов на границе санитарно-защитной зоны, жилой застройки и других нормируемых территорий, дальнейшая эксплуатация объектов осуществляется при условии разработки и реализации санитарно-противоэпидемических (профилактических) мероприятий, направленных на снижение уровней воздействия до ПДК (ОБУВ), ПДУ.</w:t>
      </w:r>
    </w:p>
    <w:p>
      <w:pPr>
        <w:pStyle w:val="Normal"/>
        <w:spacing w:lineRule="auto" w:line="240" w:before="0" w:after="0"/>
        <w:ind w:firstLine="709"/>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Мероприятия по охране атмосферного воздуха включают в себя установление и внесение в ЕГРН границ санитарно-защитных зон.</w:t>
      </w:r>
    </w:p>
    <w:p>
      <w:pPr>
        <w:pStyle w:val="Normal"/>
        <w:spacing w:lineRule="auto" w:line="240" w:before="0" w:after="0"/>
        <w:ind w:firstLine="709"/>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Для устранения существующих нарушений режима использования санитарно-защитных зон (таблица 6.1.1), во избежание оказания на нормируемые территории состояния загрязняющих веществ, поступающих в атмосферный воздух, требуется выполнение перечня мероприятий, согласно таблице 7.1.1.</w:t>
      </w:r>
    </w:p>
    <w:p>
      <w:pPr>
        <w:pStyle w:val="Normal"/>
        <w:spacing w:lineRule="auto" w:line="240" w:before="0" w:after="0"/>
        <w:ind w:firstLine="709"/>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 xml:space="preserve">В порядке, определенном Правилами 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РФ от 03.03.2018 №222 (далее – Правила установления санитарно-защитных зон), требуется в первую очередь установить санитарно-защитные зоны для существующих и планируемых объектов хозяйства. Установление санитарно-защитных зон позволит определить уровни создаваемого загрязнения и, возможно, приведет к сокращению ориентировочных размеров зон, определенных по СанПиН 2.2.1/2.1.1.1200-03. </w:t>
      </w:r>
    </w:p>
    <w:p>
      <w:pPr>
        <w:pStyle w:val="Normal"/>
        <w:spacing w:lineRule="auto" w:line="240" w:before="0" w:after="0"/>
        <w:ind w:firstLine="709"/>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 xml:space="preserve">Также требуется провести работы по озеленению специального назначения вдоль границы с населенными пунктами, провести перезонирование территории ферм в целях расположения источников загрязнения атмосферного воздуха на максимальном удалении от нормируемых территорий и организовать места накопления отходов животноводства. </w:t>
      </w:r>
    </w:p>
    <w:p>
      <w:pPr>
        <w:pStyle w:val="Normal"/>
        <w:spacing w:lineRule="auto" w:line="240" w:before="0" w:after="0"/>
        <w:ind w:firstLine="709"/>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Для предотвращения появления запахов раздражающего действия и рефлекторных реакций у населения, а также острого влияния атмосферных загрязнений на здоровье населения при длительном поступлении атмосферных загрязнений в организм от источников состояния, необходимо соблюдение среднесуточных ПДК. Для этого требуется проведение лабораторных исследований за загрязнением атмосферного воздуха в зоне влияния данных объектов. Система контроля и наблюдения должна соответствовать требованиям ГОСТ 17.2.3.01-86 «Правила контроля качества воздуха населенных пунктов». Также необходимо проведение полной инвентаризации стационарных и передвижных источников загрязнения воздушного бассейна.</w:t>
      </w:r>
    </w:p>
    <w:p>
      <w:pPr>
        <w:pStyle w:val="Normal"/>
        <w:spacing w:lineRule="auto" w:line="240" w:before="0" w:after="0"/>
        <w:ind w:firstLine="709"/>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При строительстве и реконструкции автомобильных дорог рекомендовано применять технологию гидрообеспыливания источников выбросов загрязняющих веществ в атмосферный воздух, использование малопылящих дорожных покрытий</w:t>
      </w:r>
    </w:p>
    <w:p>
      <w:pPr>
        <w:pStyle w:val="Normal"/>
        <w:spacing w:lineRule="auto" w:line="240" w:before="0" w:after="0"/>
        <w:ind w:firstLine="709"/>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r>
    </w:p>
    <w:p>
      <w:pPr>
        <w:sectPr>
          <w:footerReference w:type="default" r:id="rId56"/>
          <w:footerReference w:type="first" r:id="rId57"/>
          <w:footnotePr>
            <w:numFmt w:val="decimal"/>
          </w:footnotePr>
          <w:type w:val="nextPage"/>
          <w:pgSz w:w="11906" w:h="16838"/>
          <w:pgMar w:left="1134" w:right="851" w:gutter="0" w:header="0" w:top="851" w:footer="0" w:bottom="708"/>
          <w:pgNumType w:fmt="decimal"/>
          <w:formProt w:val="false"/>
          <w:textDirection w:val="lrTb"/>
          <w:docGrid w:type="default" w:linePitch="360" w:charSpace="0"/>
        </w:sectPr>
        <w:pStyle w:val="Normal"/>
        <w:spacing w:lineRule="auto" w:line="240" w:before="0" w:after="0"/>
        <w:ind w:firstLine="709"/>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r>
    </w:p>
    <w:p>
      <w:pPr>
        <w:pStyle w:val="Normal"/>
        <w:ind w:left="375" w:firstLine="709"/>
        <w:jc w:val="right"/>
        <w:rPr>
          <w:rFonts w:ascii="Times New Roman" w:hAnsi="Times New Roman" w:cs="Times New Roman"/>
          <w:sz w:val="28"/>
          <w:szCs w:val="28"/>
        </w:rPr>
      </w:pPr>
      <w:r>
        <w:rPr>
          <w:rFonts w:cs="Times New Roman" w:ascii="Times New Roman" w:hAnsi="Times New Roman"/>
          <w:sz w:val="28"/>
          <w:szCs w:val="28"/>
        </w:rPr>
        <w:t>Таблица 7.1.1</w:t>
      </w:r>
    </w:p>
    <w:p>
      <w:pPr>
        <w:pStyle w:val="Style79"/>
        <w:rPr>
          <w:b w:val="false"/>
        </w:rPr>
      </w:pPr>
      <w:r>
        <w:rPr/>
        <w:t>Перечень мероприятий по охране атмосферного воздуха</w:t>
      </w:r>
    </w:p>
    <w:tbl>
      <w:tblPr>
        <w:tblpPr w:vertAnchor="page" w:horzAnchor="page" w:leftFromText="180" w:rightFromText="180" w:tblpX="1606" w:tblpY="1936"/>
        <w:tblW w:w="4850" w:type="pct"/>
        <w:jc w:val="left"/>
        <w:tblInd w:w="-5" w:type="dxa"/>
        <w:tblLayout w:type="fixed"/>
        <w:tblCellMar>
          <w:top w:w="0" w:type="dxa"/>
          <w:left w:w="108" w:type="dxa"/>
          <w:bottom w:w="0" w:type="dxa"/>
          <w:right w:w="108" w:type="dxa"/>
        </w:tblCellMar>
        <w:tblLook w:noVBand="0" w:val="0000" w:noHBand="0" w:lastColumn="0" w:firstColumn="0" w:lastRow="0" w:firstRow="0"/>
      </w:tblPr>
      <w:tblGrid>
        <w:gridCol w:w="645"/>
        <w:gridCol w:w="3388"/>
        <w:gridCol w:w="4625"/>
        <w:gridCol w:w="1642"/>
        <w:gridCol w:w="1692"/>
        <w:gridCol w:w="2414"/>
      </w:tblGrid>
      <w:tr>
        <w:trPr>
          <w:tblHeader w:val="true"/>
          <w:trHeight w:val="20" w:hRule="atLeast"/>
          <w:cantSplit w:val="true"/>
        </w:trPr>
        <w:tc>
          <w:tcPr>
            <w:tcW w:w="64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п/п</w:t>
            </w:r>
          </w:p>
        </w:tc>
        <w:tc>
          <w:tcPr>
            <w:tcW w:w="338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Наименование объекта</w:t>
            </w:r>
          </w:p>
        </w:tc>
        <w:tc>
          <w:tcPr>
            <w:tcW w:w="462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Вид мероприятия по охране атмосферного воздуха</w:t>
            </w:r>
          </w:p>
        </w:tc>
        <w:tc>
          <w:tcPr>
            <w:tcW w:w="3334"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Сроки реализации</w:t>
            </w:r>
          </w:p>
        </w:tc>
        <w:tc>
          <w:tcPr>
            <w:tcW w:w="241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Источник мероприятия (наименование документа)</w:t>
            </w:r>
          </w:p>
        </w:tc>
      </w:tr>
      <w:tr>
        <w:trPr>
          <w:tblHeader w:val="true"/>
          <w:trHeight w:val="70" w:hRule="atLeast"/>
          <w:cantSplit w:val="true"/>
        </w:trPr>
        <w:tc>
          <w:tcPr>
            <w:tcW w:w="64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r>
          </w:p>
        </w:tc>
        <w:tc>
          <w:tcPr>
            <w:tcW w:w="33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r>
          </w:p>
        </w:tc>
        <w:tc>
          <w:tcPr>
            <w:tcW w:w="46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r>
          </w:p>
        </w:tc>
        <w:tc>
          <w:tcPr>
            <w:tcW w:w="16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Первая очередь</w:t>
            </w:r>
          </w:p>
        </w:tc>
        <w:tc>
          <w:tcPr>
            <w:tcW w:w="1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Расчетный период</w:t>
            </w:r>
          </w:p>
        </w:tc>
        <w:tc>
          <w:tcPr>
            <w:tcW w:w="24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r>
          </w:p>
        </w:tc>
      </w:tr>
      <w:tr>
        <w:trPr>
          <w:trHeight w:val="1465" w:hRule="atLeast"/>
          <w:cantSplit w:val="true"/>
        </w:trPr>
        <w:tc>
          <w:tcPr>
            <w:tcW w:w="6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1</w:t>
            </w:r>
          </w:p>
        </w:tc>
        <w:tc>
          <w:tcPr>
            <w:tcW w:w="3388"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ind w:hanging="0"/>
              <w:jc w:val="center"/>
              <w:rPr>
                <w:sz w:val="24"/>
                <w:szCs w:val="24"/>
              </w:rPr>
            </w:pPr>
            <w:r>
              <w:rPr>
                <w:sz w:val="24"/>
                <w:szCs w:val="24"/>
              </w:rPr>
              <w:t>Склад ГСМ Матюшинский карьер</w:t>
            </w:r>
          </w:p>
          <w:p>
            <w:pPr>
              <w:pStyle w:val="Style38"/>
              <w:widowControl w:val="false"/>
              <w:suppressAutoHyphens w:val="true"/>
              <w:ind w:hanging="0"/>
              <w:jc w:val="center"/>
              <w:rPr>
                <w:sz w:val="24"/>
                <w:szCs w:val="24"/>
              </w:rPr>
            </w:pPr>
            <w:r>
              <w:rPr>
                <w:sz w:val="24"/>
                <w:szCs w:val="24"/>
              </w:rPr>
              <w:t>Дробильно-сортировочное оборудование по переработке карбонатных пород</w:t>
            </w:r>
          </w:p>
          <w:p>
            <w:pPr>
              <w:pStyle w:val="Style38"/>
              <w:widowControl w:val="false"/>
              <w:suppressAutoHyphens w:val="true"/>
              <w:ind w:hanging="0"/>
              <w:jc w:val="center"/>
              <w:rPr>
                <w:sz w:val="24"/>
                <w:szCs w:val="24"/>
              </w:rPr>
            </w:pPr>
            <w:r>
              <w:rPr>
                <w:sz w:val="24"/>
                <w:szCs w:val="24"/>
              </w:rPr>
              <w:t>Карьер по добыче известняка «Матюшинский»</w:t>
            </w:r>
          </w:p>
        </w:tc>
        <w:tc>
          <w:tcPr>
            <w:tcW w:w="4625" w:type="dxa"/>
            <w:vMerge w:val="restart"/>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ind w:firstLine="142"/>
              <w:jc w:val="center"/>
              <w:rPr>
                <w:sz w:val="24"/>
                <w:szCs w:val="24"/>
              </w:rPr>
            </w:pPr>
            <w:r>
              <w:rPr>
                <w:sz w:val="24"/>
                <w:szCs w:val="24"/>
              </w:rPr>
              <w:t xml:space="preserve">Установление СЗЗ, обеспечение инженерными сетями с внедрением наилучших доступных технологий в вопросах организации очистки выбросов загрязняющих веществ, озеленение специального назначения по периметру объекта. </w:t>
            </w:r>
          </w:p>
          <w:p>
            <w:pPr>
              <w:pStyle w:val="Style75"/>
              <w:widowControl w:val="false"/>
              <w:ind w:firstLine="142"/>
              <w:rPr/>
            </w:pPr>
            <w:r>
              <w:rPr/>
              <w:t>Производственный контроль за соблюдением гигиенических нормативов на границе СЗЗ.</w:t>
            </w:r>
          </w:p>
        </w:tc>
        <w:tc>
          <w:tcPr>
            <w:tcW w:w="16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w:t>
            </w:r>
          </w:p>
        </w:tc>
        <w:tc>
          <w:tcPr>
            <w:tcW w:w="1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w:t>
            </w:r>
          </w:p>
        </w:tc>
        <w:tc>
          <w:tcPr>
            <w:tcW w:w="241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2431" w:leader="none"/>
              </w:tabs>
              <w:suppressAutoHyphens w:val="true"/>
              <w:rPr>
                <w:rFonts w:ascii="Times New Roman" w:hAnsi="Times New Roman" w:cs="Times New Roman"/>
                <w:sz w:val="24"/>
                <w:szCs w:val="24"/>
              </w:rPr>
            </w:pPr>
            <w:r>
              <w:rPr>
                <w:rFonts w:cs="Times New Roman" w:ascii="Times New Roman" w:hAnsi="Times New Roman"/>
                <w:sz w:val="24"/>
                <w:szCs w:val="24"/>
              </w:rPr>
              <w:t>Генеральный план Вахитовского с.п.</w:t>
            </w:r>
          </w:p>
          <w:p>
            <w:pPr>
              <w:pStyle w:val="Normal"/>
              <w:widowControl w:val="false"/>
              <w:tabs>
                <w:tab w:val="clear" w:pos="709"/>
                <w:tab w:val="left" w:pos="2431" w:leader="none"/>
              </w:tabs>
              <w:suppressAutoHyphens w:val="true"/>
              <w:rPr>
                <w:rFonts w:ascii="Times New Roman" w:hAnsi="Times New Roman" w:cs="Times New Roman"/>
                <w:sz w:val="24"/>
                <w:szCs w:val="24"/>
              </w:rPr>
            </w:pPr>
            <w:r>
              <w:rPr>
                <w:rFonts w:cs="Times New Roman" w:ascii="Times New Roman" w:hAnsi="Times New Roman"/>
                <w:sz w:val="24"/>
                <w:szCs w:val="24"/>
              </w:rPr>
              <w:t>Правила установления санитарно-защитных зон и использования земельных участков, расположенных в границах санитарно-защитных зон, утвержденные Постановлением Правительства РФ от 03.03.2018 №222</w:t>
            </w:r>
          </w:p>
        </w:tc>
      </w:tr>
      <w:tr>
        <w:trPr>
          <w:trHeight w:val="70" w:hRule="atLeast"/>
          <w:cantSplit w:val="true"/>
        </w:trPr>
        <w:tc>
          <w:tcPr>
            <w:tcW w:w="6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2</w:t>
            </w:r>
          </w:p>
        </w:tc>
        <w:tc>
          <w:tcPr>
            <w:tcW w:w="3388"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ind w:firstLine="142"/>
              <w:jc w:val="center"/>
              <w:rPr>
                <w:sz w:val="24"/>
                <w:szCs w:val="24"/>
              </w:rPr>
            </w:pPr>
            <w:r>
              <w:rPr>
                <w:sz w:val="24"/>
                <w:szCs w:val="24"/>
              </w:rPr>
              <w:t>Площадка перспективного развития АПК V класса опасности</w:t>
            </w:r>
          </w:p>
          <w:p>
            <w:pPr>
              <w:pStyle w:val="Style38"/>
              <w:widowControl w:val="false"/>
              <w:suppressAutoHyphens w:val="true"/>
              <w:ind w:firstLine="142"/>
              <w:jc w:val="center"/>
              <w:rPr>
                <w:sz w:val="24"/>
                <w:szCs w:val="24"/>
              </w:rPr>
            </w:pPr>
            <w:r>
              <w:rPr>
                <w:sz w:val="24"/>
                <w:szCs w:val="24"/>
              </w:rPr>
              <w:t>Площадка перспективного развития АПК V класса опасности</w:t>
            </w:r>
          </w:p>
        </w:tc>
        <w:tc>
          <w:tcPr>
            <w:tcW w:w="4625"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widowControl w:val="false"/>
              <w:ind w:firstLine="142"/>
              <w:rPr/>
            </w:pPr>
            <w:r>
              <w:rPr/>
            </w:r>
          </w:p>
        </w:tc>
        <w:tc>
          <w:tcPr>
            <w:tcW w:w="16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w:t>
            </w:r>
          </w:p>
        </w:tc>
        <w:tc>
          <w:tcPr>
            <w:tcW w:w="1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r>
          </w:p>
        </w:tc>
        <w:tc>
          <w:tcPr>
            <w:tcW w:w="241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2431" w:leader="none"/>
              </w:tabs>
              <w:suppressAutoHyphens w:val="true"/>
              <w:rPr>
                <w:rFonts w:ascii="Times New Roman" w:hAnsi="Times New Roman" w:cs="Times New Roman"/>
                <w:sz w:val="24"/>
                <w:szCs w:val="24"/>
              </w:rPr>
            </w:pPr>
            <w:r>
              <w:rPr>
                <w:rFonts w:cs="Times New Roman" w:ascii="Times New Roman" w:hAnsi="Times New Roman"/>
                <w:sz w:val="24"/>
                <w:szCs w:val="24"/>
              </w:rPr>
            </w:r>
          </w:p>
        </w:tc>
      </w:tr>
      <w:tr>
        <w:trPr>
          <w:trHeight w:val="70" w:hRule="atLeast"/>
          <w:cantSplit w:val="true"/>
        </w:trPr>
        <w:tc>
          <w:tcPr>
            <w:tcW w:w="6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w:t>
            </w:r>
          </w:p>
        </w:tc>
        <w:tc>
          <w:tcPr>
            <w:tcW w:w="3388"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ind w:firstLine="142"/>
              <w:jc w:val="center"/>
              <w:rPr>
                <w:sz w:val="24"/>
                <w:szCs w:val="24"/>
              </w:rPr>
            </w:pPr>
            <w:r>
              <w:rPr>
                <w:sz w:val="24"/>
                <w:szCs w:val="24"/>
              </w:rPr>
              <w:t>Автомобильные дороги</w:t>
            </w:r>
          </w:p>
        </w:tc>
        <w:tc>
          <w:tcPr>
            <w:tcW w:w="4625" w:type="dxa"/>
            <w:tcBorders>
              <w:top w:val="single" w:sz="4" w:space="0" w:color="000000"/>
              <w:left w:val="single" w:sz="4" w:space="0" w:color="000000"/>
              <w:bottom w:val="single" w:sz="4" w:space="0" w:color="000000"/>
              <w:right w:val="single" w:sz="4" w:space="0" w:color="000000"/>
            </w:tcBorders>
            <w:vAlign w:val="center"/>
          </w:tcPr>
          <w:p>
            <w:pPr>
              <w:pStyle w:val="Style75"/>
              <w:widowControl w:val="false"/>
              <w:ind w:firstLine="142"/>
              <w:rPr/>
            </w:pPr>
            <w:r>
              <w:rPr/>
              <w:t>Устройство озеленения специального назначения вдоль дорог или специальных конструкций земляного полотна, обеспечивающих уменьшение распространения загрязнений</w:t>
            </w:r>
          </w:p>
        </w:tc>
        <w:tc>
          <w:tcPr>
            <w:tcW w:w="16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c>
          <w:tcPr>
            <w:tcW w:w="16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241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Генеральный план Вахитовского с.п.</w:t>
            </w:r>
          </w:p>
        </w:tc>
      </w:tr>
    </w:tbl>
    <w:p>
      <w:pPr>
        <w:sectPr>
          <w:footerReference w:type="default" r:id="rId58"/>
          <w:footnotePr>
            <w:numFmt w:val="decimal"/>
          </w:footnotePr>
          <w:type w:val="nextPage"/>
          <w:pgSz w:orient="landscape" w:w="16838" w:h="11906"/>
          <w:pgMar w:left="1134" w:right="851" w:gutter="0" w:header="0" w:top="851" w:footer="709" w:bottom="851"/>
          <w:pgNumType w:fmt="decimal"/>
          <w:formProt w:val="false"/>
          <w:textDirection w:val="lrTb"/>
          <w:docGrid w:type="default" w:linePitch="360" w:charSpace="0"/>
        </w:sectPr>
        <w:pStyle w:val="Normal"/>
        <w:widowControl w:val="false"/>
        <w:suppressAutoHyphens w:val="true"/>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r>
    </w:p>
    <w:p>
      <w:pPr>
        <w:pStyle w:val="2"/>
        <w:numPr>
          <w:ilvl w:val="1"/>
          <w:numId w:val="49"/>
        </w:numPr>
        <w:spacing w:lineRule="auto" w:line="240" w:before="0" w:after="0"/>
        <w:ind w:left="0" w:hanging="0"/>
        <w:contextualSpacing/>
        <w:jc w:val="center"/>
        <w:rPr>
          <w:rFonts w:ascii="Times New Roman" w:hAnsi="Times New Roman" w:cs="Times New Roman"/>
          <w:b/>
          <w:color w:val="auto"/>
          <w:sz w:val="28"/>
          <w:szCs w:val="28"/>
          <w:lang w:eastAsia="ru-RU"/>
        </w:rPr>
      </w:pPr>
      <w:bookmarkStart w:id="191" w:name="_Toc57443792"/>
      <w:bookmarkStart w:id="192" w:name="_Toc147740077"/>
      <w:bookmarkStart w:id="193" w:name="_Toc133908545"/>
      <w:r>
        <w:rPr>
          <w:rFonts w:cs="Times New Roman" w:ascii="Times New Roman" w:hAnsi="Times New Roman"/>
          <w:b/>
          <w:color w:val="auto"/>
          <w:sz w:val="28"/>
          <w:szCs w:val="28"/>
          <w:lang w:eastAsia="ru-RU"/>
        </w:rPr>
        <w:t>Мероприятия по охране и рациональному использованию поверхностных и подземных вод</w:t>
      </w:r>
      <w:bookmarkEnd w:id="191"/>
      <w:bookmarkEnd w:id="192"/>
      <w:bookmarkEnd w:id="193"/>
    </w:p>
    <w:p>
      <w:pPr>
        <w:pStyle w:val="Style79"/>
        <w:spacing w:before="0" w:after="0"/>
        <w:contextualSpacing/>
        <w:rPr>
          <w:rFonts w:eastAsia="" w:eastAsiaTheme="minorEastAsia"/>
        </w:rPr>
      </w:pPr>
      <w:r>
        <w:rPr>
          <w:rFonts w:eastAsia="" w:eastAsiaTheme="minorEastAsia"/>
        </w:rPr>
        <w:t>Мероприятия по охране поверхностных водных объектов</w:t>
      </w:r>
    </w:p>
    <w:p>
      <w:pPr>
        <w:pStyle w:val="Normal"/>
        <w:spacing w:lineRule="auto" w:line="240" w:before="0" w:after="0"/>
        <w:ind w:firstLine="709"/>
        <w:contextualSpacing/>
        <w:jc w:val="both"/>
        <w:rPr>
          <w:rFonts w:ascii="Times New Roman" w:hAnsi="Times New Roman" w:cs="Times New Roman"/>
          <w:sz w:val="28"/>
        </w:rPr>
      </w:pPr>
      <w:r>
        <w:rPr>
          <w:rFonts w:cs="Times New Roman" w:ascii="Times New Roman" w:hAnsi="Times New Roman"/>
          <w:sz w:val="28"/>
        </w:rPr>
        <w:t>Качество воды поверхностных и подземных водных объектов, используемых для водопользования населения, должно соответствовать гигиеническим нормативам в зависимости от вида использования водных объектов или их участков.</w:t>
      </w:r>
    </w:p>
    <w:p>
      <w:pPr>
        <w:pStyle w:val="Normal"/>
        <w:spacing w:lineRule="auto" w:line="240" w:before="0" w:after="0"/>
        <w:ind w:firstLine="709"/>
        <w:contextualSpacing/>
        <w:jc w:val="both"/>
        <w:rPr>
          <w:rFonts w:ascii="Times New Roman" w:hAnsi="Times New Roman" w:cs="Times New Roman"/>
          <w:sz w:val="28"/>
        </w:rPr>
      </w:pPr>
      <w:r>
        <w:rPr>
          <w:rFonts w:cs="Times New Roman" w:ascii="Times New Roman" w:hAnsi="Times New Roman"/>
          <w:sz w:val="28"/>
        </w:rPr>
        <w:t>Мероприятия по охране поверхностных вод сводятся к соблюдению режима деятельности в границах береговых полос, прибрежных защитных полос, водоохранных зон, регламентированного ст.6 и 65 Водного кодекса РФ, и требуют установления и внесения в ЕГРН границ водоохранных зон и прибрежных защитных полос.</w:t>
      </w:r>
    </w:p>
    <w:p>
      <w:pPr>
        <w:pStyle w:val="Normal"/>
        <w:spacing w:lineRule="auto" w:line="240" w:before="0" w:after="0"/>
        <w:ind w:firstLine="709"/>
        <w:contextualSpacing/>
        <w:jc w:val="both"/>
        <w:rPr>
          <w:rFonts w:ascii="Times New Roman" w:hAnsi="Times New Roman" w:cs="Times New Roman"/>
          <w:sz w:val="28"/>
        </w:rPr>
      </w:pPr>
      <w:bookmarkStart w:id="194" w:name="_Hlk143073495"/>
      <w:r>
        <w:rPr>
          <w:rFonts w:cs="Times New Roman" w:ascii="Times New Roman" w:hAnsi="Times New Roman"/>
          <w:sz w:val="28"/>
        </w:rPr>
        <w:t>В целях недопущения загрязнения поверхностных водных объектов, расположенных за территорией проектирования, подземных вод, во избежание заболачивания территории необходимо обустроить систему водоотведения в соответствии с требованиями природоохранного законодательства.</w:t>
      </w:r>
    </w:p>
    <w:p>
      <w:pPr>
        <w:pStyle w:val="Normal"/>
        <w:spacing w:lineRule="auto" w:line="240" w:before="0" w:after="0"/>
        <w:ind w:firstLine="709"/>
        <w:contextualSpacing/>
        <w:jc w:val="both"/>
        <w:rPr>
          <w:rFonts w:ascii="Times New Roman" w:hAnsi="Times New Roman" w:cs="Times New Roman"/>
          <w:sz w:val="28"/>
        </w:rPr>
      </w:pPr>
      <w:r>
        <w:rPr>
          <w:rFonts w:cs="Times New Roman" w:ascii="Times New Roman" w:hAnsi="Times New Roman"/>
          <w:sz w:val="28"/>
        </w:rPr>
        <w:t xml:space="preserve">Действующее в Российской Федерации природоохранное законодательство не предусматривает возможности сброса сточных вод на рельеф местности. В соответствии с требованиями Федерального закона от 10.01.2002 № 7-ФЗ «Об охране окружающей среды» (далее ФЗ от 10.01.2002 № 7-ФЗ), Водного кодекса РФ от 03.06.2006 №74-ФЗ (далее – Водный кодекс РФ), сброс сточных вод допустим только в водные объекты или в системы водоотведения. </w:t>
      </w:r>
    </w:p>
    <w:p>
      <w:pPr>
        <w:pStyle w:val="Normal"/>
        <w:spacing w:lineRule="auto" w:line="240" w:before="0" w:after="0"/>
        <w:ind w:firstLine="709"/>
        <w:contextualSpacing/>
        <w:jc w:val="both"/>
        <w:rPr>
          <w:rFonts w:ascii="Times New Roman" w:hAnsi="Times New Roman" w:cs="Times New Roman"/>
          <w:sz w:val="28"/>
        </w:rPr>
      </w:pPr>
      <w:r>
        <w:rPr>
          <w:rFonts w:cs="Times New Roman" w:ascii="Times New Roman" w:hAnsi="Times New Roman"/>
          <w:sz w:val="28"/>
        </w:rPr>
        <w:t>Порядок сброса сточных вод в водные объекты урегулирован статьями 11, 21, 22, 35, 44 Водного кодекса РФ. Сброс сточных вод осуществляется при приобретении права пользования поверхностным водным объектом на основании решения о предоставлении водного объекта в пользование.</w:t>
      </w:r>
    </w:p>
    <w:p>
      <w:pPr>
        <w:pStyle w:val="Normal"/>
        <w:spacing w:lineRule="auto" w:line="240" w:before="0" w:after="0"/>
        <w:ind w:firstLine="709"/>
        <w:contextualSpacing/>
        <w:jc w:val="both"/>
        <w:rPr>
          <w:rFonts w:ascii="Times New Roman" w:hAnsi="Times New Roman" w:cs="Times New Roman"/>
          <w:bCs/>
          <w:sz w:val="28"/>
        </w:rPr>
      </w:pPr>
      <w:r>
        <w:rPr>
          <w:rFonts w:cs="Times New Roman" w:ascii="Times New Roman" w:hAnsi="Times New Roman"/>
          <w:bCs/>
          <w:sz w:val="28"/>
        </w:rPr>
        <w:t>Согласно ст. 44 Водного кодекса РФ, запрещается сброс сточных, в том числе дренажных, вод в водные объекты:</w:t>
      </w:r>
    </w:p>
    <w:p>
      <w:pPr>
        <w:pStyle w:val="Normal"/>
        <w:spacing w:lineRule="auto" w:line="240" w:before="0" w:after="0"/>
        <w:ind w:firstLine="709"/>
        <w:contextualSpacing/>
        <w:jc w:val="both"/>
        <w:rPr>
          <w:rFonts w:ascii="Times New Roman" w:hAnsi="Times New Roman" w:cs="Times New Roman"/>
          <w:bCs/>
          <w:sz w:val="28"/>
        </w:rPr>
      </w:pPr>
      <w:r>
        <w:rPr>
          <w:rFonts w:cs="Times New Roman" w:ascii="Times New Roman" w:hAnsi="Times New Roman"/>
          <w:bCs/>
          <w:sz w:val="28"/>
        </w:rPr>
        <w:t>1) содержащие природные лечебные ресурсы;</w:t>
      </w:r>
    </w:p>
    <w:p>
      <w:pPr>
        <w:pStyle w:val="Normal"/>
        <w:spacing w:lineRule="auto" w:line="240" w:before="0" w:after="0"/>
        <w:ind w:firstLine="709"/>
        <w:contextualSpacing/>
        <w:jc w:val="both"/>
        <w:rPr>
          <w:rFonts w:ascii="Times New Roman" w:hAnsi="Times New Roman" w:cs="Times New Roman"/>
          <w:bCs/>
          <w:sz w:val="28"/>
        </w:rPr>
      </w:pPr>
      <w:r>
        <w:rPr>
          <w:rFonts w:cs="Times New Roman" w:ascii="Times New Roman" w:hAnsi="Times New Roman"/>
          <w:bCs/>
          <w:sz w:val="28"/>
        </w:rPr>
        <w:t>2) отнесенные к особо охраняемым водным объектам.</w:t>
      </w:r>
    </w:p>
    <w:p>
      <w:pPr>
        <w:pStyle w:val="Normal"/>
        <w:spacing w:lineRule="auto" w:line="240" w:before="0" w:after="0"/>
        <w:ind w:firstLine="709"/>
        <w:contextualSpacing/>
        <w:jc w:val="both"/>
        <w:rPr>
          <w:rFonts w:ascii="Times New Roman" w:hAnsi="Times New Roman" w:cs="Times New Roman"/>
          <w:bCs/>
          <w:sz w:val="28"/>
        </w:rPr>
      </w:pPr>
      <w:r>
        <w:rPr>
          <w:rFonts w:cs="Times New Roman" w:ascii="Times New Roman" w:hAnsi="Times New Roman"/>
          <w:bCs/>
          <w:sz w:val="28"/>
        </w:rPr>
        <w:t>Запрещается сброс сточных, в том числе дренажных, вод в водные объекты, расположенные в границах:</w:t>
      </w:r>
    </w:p>
    <w:p>
      <w:pPr>
        <w:pStyle w:val="Normal"/>
        <w:spacing w:lineRule="auto" w:line="240" w:before="0" w:after="0"/>
        <w:ind w:firstLine="709"/>
        <w:contextualSpacing/>
        <w:jc w:val="both"/>
        <w:rPr>
          <w:rFonts w:ascii="Times New Roman" w:hAnsi="Times New Roman" w:cs="Times New Roman"/>
          <w:bCs/>
          <w:sz w:val="28"/>
        </w:rPr>
      </w:pPr>
      <w:r>
        <w:rPr>
          <w:rFonts w:cs="Times New Roman" w:ascii="Times New Roman" w:hAnsi="Times New Roman"/>
          <w:bCs/>
          <w:sz w:val="28"/>
        </w:rPr>
        <w:t>1) первого пояса зон санитарной охраны источников питьевого и хозяйственно-бытового водоснабжения;</w:t>
      </w:r>
    </w:p>
    <w:p>
      <w:pPr>
        <w:pStyle w:val="Normal"/>
        <w:spacing w:lineRule="auto" w:line="240" w:before="0" w:after="0"/>
        <w:ind w:firstLine="709"/>
        <w:contextualSpacing/>
        <w:jc w:val="both"/>
        <w:rPr>
          <w:rFonts w:ascii="Times New Roman" w:hAnsi="Times New Roman" w:cs="Times New Roman"/>
          <w:bCs/>
          <w:sz w:val="28"/>
        </w:rPr>
      </w:pPr>
      <w:r>
        <w:rPr>
          <w:rFonts w:cs="Times New Roman" w:ascii="Times New Roman" w:hAnsi="Times New Roman"/>
          <w:bCs/>
          <w:sz w:val="28"/>
        </w:rPr>
        <w:t>2) первой зоны округов санитарной (горно-санитарной) охраны природных лечебных ресурсов;</w:t>
      </w:r>
    </w:p>
    <w:p>
      <w:pPr>
        <w:pStyle w:val="Normal"/>
        <w:spacing w:lineRule="auto" w:line="240" w:before="0" w:after="0"/>
        <w:ind w:firstLine="709"/>
        <w:contextualSpacing/>
        <w:jc w:val="both"/>
        <w:rPr>
          <w:rFonts w:ascii="Times New Roman" w:hAnsi="Times New Roman" w:cs="Times New Roman"/>
          <w:bCs/>
          <w:sz w:val="28"/>
        </w:rPr>
      </w:pPr>
      <w:r>
        <w:rPr>
          <w:rFonts w:cs="Times New Roman" w:ascii="Times New Roman" w:hAnsi="Times New Roman"/>
          <w:bCs/>
          <w:sz w:val="28"/>
        </w:rPr>
        <w:t>3) рыбохозяйственной заповедной зоны озера Байкал, рыбохозяйственных заповедных зон.</w:t>
      </w:r>
    </w:p>
    <w:p>
      <w:pPr>
        <w:pStyle w:val="Normal"/>
        <w:spacing w:lineRule="auto" w:line="240" w:before="0" w:after="0"/>
        <w:ind w:firstLine="709"/>
        <w:contextualSpacing/>
        <w:jc w:val="both"/>
        <w:rPr>
          <w:rFonts w:ascii="Times New Roman" w:hAnsi="Times New Roman" w:cs="Times New Roman"/>
          <w:sz w:val="28"/>
        </w:rPr>
      </w:pPr>
      <w:bookmarkStart w:id="195" w:name="_Hlk143073495"/>
      <w:r>
        <w:rPr>
          <w:rFonts w:cs="Times New Roman" w:ascii="Times New Roman" w:hAnsi="Times New Roman"/>
          <w:sz w:val="28"/>
        </w:rPr>
        <w:t xml:space="preserve">Сброс сточных вод в системы водоотведения регламентирован «СП 32.13330.2018. Свод правил. Канализация. Наружные сети и сооружения. СНиП 2.04.03-85» (утв. и введен в действие Приказом Минстроя России от 25.12.2018 № 860/пр). </w:t>
      </w:r>
      <w:bookmarkEnd w:id="195"/>
    </w:p>
    <w:p>
      <w:pPr>
        <w:pStyle w:val="Normal"/>
        <w:spacing w:lineRule="auto" w:line="240" w:before="0" w:after="0"/>
        <w:ind w:firstLine="709"/>
        <w:contextualSpacing/>
        <w:jc w:val="both"/>
        <w:rPr>
          <w:rFonts w:ascii="Times New Roman" w:hAnsi="Times New Roman" w:cs="Times New Roman"/>
          <w:sz w:val="28"/>
        </w:rPr>
      </w:pPr>
      <w:r>
        <w:rPr>
          <w:rFonts w:cs="Times New Roman" w:ascii="Times New Roman" w:hAnsi="Times New Roman"/>
          <w:sz w:val="28"/>
        </w:rPr>
        <w:t>Для устранения существующих нарушений режима использования зон охраны водных объектов (таблица 6.9.1), во избежание загрязнения, засорения, заиления, истощения водных объектов, требуется выполнение перечня мероприятий, согласно таблице 7.2.1.</w:t>
      </w:r>
    </w:p>
    <w:p>
      <w:pPr>
        <w:pStyle w:val="Normal"/>
        <w:spacing w:lineRule="auto" w:line="240" w:before="0" w:after="0"/>
        <w:ind w:firstLine="709"/>
        <w:contextualSpacing/>
        <w:jc w:val="both"/>
        <w:rPr>
          <w:rFonts w:ascii="Times New Roman" w:hAnsi="Times New Roman" w:cs="Times New Roman"/>
          <w:sz w:val="28"/>
        </w:rPr>
      </w:pPr>
      <w:r>
        <w:rPr>
          <w:rFonts w:cs="Times New Roman" w:ascii="Times New Roman" w:hAnsi="Times New Roman"/>
          <w:sz w:val="28"/>
        </w:rPr>
        <w:t xml:space="preserve">Предусмотреть, в первую очередь, проведение проверки герметичности выгребных ям в жилой застройке, расположенной в границах водоохранной зоны Куйбышевского водохранилища и реки Шентала. </w:t>
      </w:r>
    </w:p>
    <w:p>
      <w:pPr>
        <w:pStyle w:val="Normal"/>
        <w:spacing w:lineRule="auto" w:line="240" w:before="0" w:after="0"/>
        <w:ind w:firstLine="709"/>
        <w:contextualSpacing/>
        <w:jc w:val="both"/>
        <w:rPr>
          <w:rFonts w:ascii="Times New Roman" w:hAnsi="Times New Roman" w:cs="Times New Roman"/>
          <w:sz w:val="28"/>
        </w:rPr>
      </w:pPr>
      <w:r>
        <w:rPr>
          <w:rFonts w:cs="Times New Roman" w:ascii="Times New Roman" w:hAnsi="Times New Roman"/>
          <w:sz w:val="28"/>
        </w:rPr>
        <w:t>Необходимо обеспечить населенные пункты поселения централизованным водоснабжением и канализованием (включая первоочередное канализование жилой застройки, расположенной в водоохранных зонах поверхностных водных объектов), решить вопрос очисткой сточных вод до установленных нормативов.</w:t>
      </w:r>
    </w:p>
    <w:p>
      <w:pPr>
        <w:pStyle w:val="Normal"/>
        <w:spacing w:lineRule="auto" w:line="240" w:before="0" w:after="0"/>
        <w:ind w:firstLine="709"/>
        <w:contextualSpacing/>
        <w:jc w:val="both"/>
        <w:rPr>
          <w:rFonts w:ascii="Times New Roman" w:hAnsi="Times New Roman" w:cs="Times New Roman"/>
          <w:sz w:val="28"/>
        </w:rPr>
      </w:pPr>
      <w:r>
        <w:rPr>
          <w:rFonts w:cs="Times New Roman" w:ascii="Times New Roman" w:hAnsi="Times New Roman"/>
          <w:sz w:val="28"/>
        </w:rPr>
        <w:t xml:space="preserve">Согласно ч.16 ст.65 Водного кодекса Российской Федерации,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pPr>
        <w:pStyle w:val="Normal"/>
        <w:spacing w:lineRule="auto" w:line="240" w:before="0" w:after="0"/>
        <w:ind w:firstLine="709"/>
        <w:contextualSpacing/>
        <w:jc w:val="both"/>
        <w:rPr>
          <w:rFonts w:ascii="Times New Roman" w:hAnsi="Times New Roman" w:cs="Times New Roman"/>
          <w:sz w:val="28"/>
        </w:rPr>
      </w:pPr>
      <w:r>
        <w:rPr>
          <w:rFonts w:cs="Times New Roman" w:ascii="Times New Roman" w:hAnsi="Times New Roman"/>
          <w:sz w:val="28"/>
        </w:rPr>
        <w:t xml:space="preserve">При проведении работ по строительству и реконструкции автомобильных и железных дорог необходимо осуществить защиту поверхностных и грунтовых вод от загрязнения пылью, горюче-смазочными материалами, обеспыливающими, противогололедными и другими химическими веществами, используемыми во время строительства. При заправке строительного технологического оборудования следует применять поддоны с песком или щебнем. Места размещения сыпучих строительных материалов должны быть обвалованы. </w:t>
      </w:r>
    </w:p>
    <w:p>
      <w:pPr>
        <w:sectPr>
          <w:footerReference w:type="default" r:id="rId59"/>
          <w:footerReference w:type="first" r:id="rId60"/>
          <w:footnotePr>
            <w:numFmt w:val="decimal"/>
          </w:footnotePr>
          <w:type w:val="nextPage"/>
          <w:pgSz w:w="11906" w:h="16838"/>
          <w:pgMar w:left="1134" w:right="851" w:gutter="0" w:header="0" w:top="851" w:footer="708" w:bottom="851"/>
          <w:pgNumType w:fmt="decimal"/>
          <w:formProt w:val="false"/>
          <w:textDirection w:val="lrTb"/>
          <w:docGrid w:type="default" w:linePitch="360" w:charSpace="0"/>
        </w:sectPr>
        <w:pStyle w:val="Normal"/>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ind w:left="375" w:firstLine="709"/>
        <w:jc w:val="right"/>
        <w:rPr>
          <w:rFonts w:ascii="Times New Roman" w:hAnsi="Times New Roman" w:cs="Times New Roman"/>
          <w:sz w:val="28"/>
          <w:szCs w:val="28"/>
        </w:rPr>
      </w:pPr>
      <w:r>
        <w:rPr>
          <w:rFonts w:cs="Times New Roman" w:ascii="Times New Roman" w:hAnsi="Times New Roman"/>
          <w:sz w:val="28"/>
          <w:szCs w:val="28"/>
        </w:rPr>
        <w:t>Таблица 7.2.1</w:t>
      </w:r>
    </w:p>
    <w:p>
      <w:pPr>
        <w:pStyle w:val="Style79"/>
        <w:rPr>
          <w:b w:val="false"/>
        </w:rPr>
      </w:pPr>
      <w:r>
        <w:rPr/>
        <w:t>Перечень мероприятий по охране поверхностных водных объектов</w:t>
      </w:r>
    </w:p>
    <w:tbl>
      <w:tblPr>
        <w:tblW w:w="5000" w:type="pct"/>
        <w:jc w:val="center"/>
        <w:tblInd w:w="0" w:type="dxa"/>
        <w:tblLayout w:type="fixed"/>
        <w:tblCellMar>
          <w:top w:w="0" w:type="dxa"/>
          <w:left w:w="108" w:type="dxa"/>
          <w:bottom w:w="0" w:type="dxa"/>
          <w:right w:w="108" w:type="dxa"/>
        </w:tblCellMar>
        <w:tblLook w:noVBand="0" w:val="0000" w:noHBand="0" w:lastColumn="0" w:firstColumn="0" w:lastRow="0" w:firstRow="0"/>
      </w:tblPr>
      <w:tblGrid>
        <w:gridCol w:w="599"/>
        <w:gridCol w:w="2546"/>
        <w:gridCol w:w="5056"/>
        <w:gridCol w:w="1913"/>
        <w:gridCol w:w="1456"/>
        <w:gridCol w:w="3282"/>
      </w:tblGrid>
      <w:tr>
        <w:trPr>
          <w:trHeight w:val="20" w:hRule="atLeast"/>
        </w:trPr>
        <w:tc>
          <w:tcPr>
            <w:tcW w:w="59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п/п</w:t>
            </w:r>
          </w:p>
        </w:tc>
        <w:tc>
          <w:tcPr>
            <w:tcW w:w="254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Наименование объекта</w:t>
            </w:r>
          </w:p>
        </w:tc>
        <w:tc>
          <w:tcPr>
            <w:tcW w:w="505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Вид мероприятия</w:t>
            </w:r>
            <w:r>
              <w:rPr>
                <w:sz w:val="24"/>
                <w:szCs w:val="24"/>
              </w:rPr>
              <w:t xml:space="preserve"> </w:t>
            </w:r>
            <w:r>
              <w:rPr>
                <w:rFonts w:cs="Times New Roman" w:ascii="Times New Roman" w:hAnsi="Times New Roman"/>
                <w:sz w:val="24"/>
                <w:szCs w:val="24"/>
              </w:rPr>
              <w:t>по охране поверхностных водных объектов</w:t>
            </w:r>
          </w:p>
        </w:tc>
        <w:tc>
          <w:tcPr>
            <w:tcW w:w="336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Сроки реализации</w:t>
            </w:r>
          </w:p>
        </w:tc>
        <w:tc>
          <w:tcPr>
            <w:tcW w:w="328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Источник мероприятия (наименование документа)</w:t>
            </w:r>
          </w:p>
        </w:tc>
      </w:tr>
      <w:tr>
        <w:trPr>
          <w:trHeight w:val="70" w:hRule="atLeast"/>
        </w:trPr>
        <w:tc>
          <w:tcPr>
            <w:tcW w:w="59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r>
          </w:p>
        </w:tc>
        <w:tc>
          <w:tcPr>
            <w:tcW w:w="254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r>
          </w:p>
        </w:tc>
        <w:tc>
          <w:tcPr>
            <w:tcW w:w="505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r>
          </w:p>
        </w:tc>
        <w:tc>
          <w:tcPr>
            <w:tcW w:w="19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Первая очередь</w:t>
            </w:r>
          </w:p>
        </w:tc>
        <w:tc>
          <w:tcPr>
            <w:tcW w:w="1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Расчетный период</w:t>
            </w:r>
          </w:p>
        </w:tc>
        <w:tc>
          <w:tcPr>
            <w:tcW w:w="328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70" w:hRule="atLeast"/>
        </w:trPr>
        <w:tc>
          <w:tcPr>
            <w:tcW w:w="5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254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Территории в границах водоохранных зон (в т.ч. жилая застройка)</w:t>
            </w:r>
          </w:p>
        </w:tc>
        <w:tc>
          <w:tcPr>
            <w:tcW w:w="50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ascii="Times New Roman" w:hAnsi="Times New Roman" w:cs="Times New Roman"/>
                <w:sz w:val="24"/>
                <w:szCs w:val="24"/>
                <w:lang w:eastAsia="ru-RU"/>
              </w:rPr>
            </w:pPr>
            <w:r>
              <w:rPr>
                <w:rFonts w:cs="Times New Roman" w:ascii="Times New Roman" w:hAnsi="Times New Roman"/>
                <w:sz w:val="24"/>
                <w:szCs w:val="24"/>
                <w:lang w:eastAsia="ru-RU"/>
              </w:rPr>
              <w:t>Не допускать сброс сточных вод на рельеф, неочищенных сточных вод в водные объекты.</w:t>
            </w:r>
          </w:p>
          <w:p>
            <w:pPr>
              <w:pStyle w:val="Normal"/>
              <w:widowControl w:val="false"/>
              <w:spacing w:before="0" w:after="0"/>
              <w:jc w:val="center"/>
              <w:rPr>
                <w:rFonts w:ascii="Times New Roman" w:hAnsi="Times New Roman" w:cs="Times New Roman"/>
                <w:sz w:val="24"/>
                <w:szCs w:val="24"/>
                <w:lang w:eastAsia="ru-RU"/>
              </w:rPr>
            </w:pPr>
            <w:r>
              <w:rPr>
                <w:rFonts w:cs="Times New Roman" w:ascii="Times New Roman" w:hAnsi="Times New Roman"/>
                <w:sz w:val="24"/>
                <w:szCs w:val="24"/>
              </w:rPr>
              <w:t>Проверять герметичность выгребных ям в жилой застройке в границах ВОЗ, ПЗП.</w:t>
            </w:r>
          </w:p>
          <w:p>
            <w:pPr>
              <w:pStyle w:val="Normal"/>
              <w:widowControl w:val="false"/>
              <w:spacing w:before="0" w:after="0"/>
              <w:jc w:val="center"/>
              <w:rPr>
                <w:rFonts w:ascii="Times New Roman" w:hAnsi="Times New Roman" w:cs="Times New Roman"/>
                <w:sz w:val="24"/>
                <w:szCs w:val="24"/>
                <w:lang w:eastAsia="ru-RU"/>
              </w:rPr>
            </w:pPr>
            <w:r>
              <w:rPr>
                <w:rFonts w:cs="Times New Roman" w:ascii="Times New Roman" w:hAnsi="Times New Roman"/>
                <w:sz w:val="24"/>
                <w:szCs w:val="24"/>
                <w:lang w:eastAsia="ru-RU"/>
              </w:rPr>
              <w:t>Запретить мойку транспортных средств в границах ВОЗ.</w:t>
            </w:r>
          </w:p>
          <w:p>
            <w:pPr>
              <w:pStyle w:val="Normal"/>
              <w:widowControl w:val="false"/>
              <w:spacing w:before="0" w:after="0"/>
              <w:jc w:val="center"/>
              <w:rPr>
                <w:rFonts w:ascii="Times New Roman" w:hAnsi="Times New Roman" w:cs="Times New Roman"/>
                <w:sz w:val="24"/>
                <w:szCs w:val="24"/>
                <w:lang w:eastAsia="ru-RU"/>
              </w:rPr>
            </w:pPr>
            <w:r>
              <w:rPr>
                <w:rFonts w:cs="Times New Roman" w:ascii="Times New Roman" w:hAnsi="Times New Roman"/>
                <w:sz w:val="24"/>
                <w:szCs w:val="24"/>
                <w:lang w:eastAsia="ru-RU"/>
              </w:rPr>
              <w:t>Не допускать размещения отходов производства и потребления в границах водоохранных зон.</w:t>
            </w:r>
          </w:p>
          <w:p>
            <w:pPr>
              <w:pStyle w:val="Normal"/>
              <w:widowControl w:val="false"/>
              <w:spacing w:before="0" w:after="0"/>
              <w:jc w:val="center"/>
              <w:rPr>
                <w:rFonts w:ascii="Times New Roman" w:hAnsi="Times New Roman" w:cs="Times New Roman"/>
                <w:sz w:val="24"/>
                <w:szCs w:val="24"/>
                <w:lang w:eastAsia="ru-RU"/>
              </w:rPr>
            </w:pPr>
            <w:r>
              <w:rPr>
                <w:rFonts w:cs="Times New Roman" w:ascii="Times New Roman" w:hAnsi="Times New Roman"/>
                <w:sz w:val="24"/>
                <w:szCs w:val="24"/>
                <w:lang w:eastAsia="ru-RU"/>
              </w:rPr>
              <w:t>Проводить регулярную очистку водоохранных зон рек силами органов местного самоуправления, местных жителей и хозяйствующих субъектов от отходов потребления.</w:t>
            </w:r>
          </w:p>
          <w:p>
            <w:pPr>
              <w:pStyle w:val="Normal"/>
              <w:widowControl w:val="false"/>
              <w:spacing w:lineRule="auto" w:line="240" w:before="0" w:after="0"/>
              <w:jc w:val="center"/>
              <w:rPr>
                <w:rFonts w:ascii="Times New Roman" w:hAnsi="Times New Roman" w:cs="Times New Roman"/>
                <w:sz w:val="24"/>
                <w:szCs w:val="24"/>
                <w:lang w:eastAsia="ru-RU"/>
              </w:rPr>
            </w:pPr>
            <w:r>
              <w:rPr>
                <w:rFonts w:cs="Times New Roman" w:ascii="Times New Roman" w:hAnsi="Times New Roman"/>
                <w:sz w:val="24"/>
                <w:szCs w:val="24"/>
                <w:lang w:eastAsia="ru-RU"/>
              </w:rPr>
              <w:t>Установить информационные таблички по границам водоохранных зон с указанием режима зон.</w:t>
            </w:r>
          </w:p>
        </w:tc>
        <w:tc>
          <w:tcPr>
            <w:tcW w:w="19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w:t>
            </w:r>
          </w:p>
        </w:tc>
        <w:tc>
          <w:tcPr>
            <w:tcW w:w="1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r>
          </w:p>
        </w:tc>
        <w:tc>
          <w:tcPr>
            <w:tcW w:w="32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Водный кодекс РФ,</w:t>
            </w:r>
          </w:p>
          <w:p>
            <w:pPr>
              <w:pStyle w:val="Normal"/>
              <w:widowControl w:val="fals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t>СанПиН 2.1.3684-21</w:t>
            </w:r>
          </w:p>
        </w:tc>
      </w:tr>
      <w:tr>
        <w:trPr>
          <w:trHeight w:val="70" w:hRule="atLeast"/>
        </w:trPr>
        <w:tc>
          <w:tcPr>
            <w:tcW w:w="5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254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Береговые полосы и прибрежные территории водных объектов</w:t>
            </w:r>
          </w:p>
        </w:tc>
        <w:tc>
          <w:tcPr>
            <w:tcW w:w="50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ascii="Times New Roman" w:hAnsi="Times New Roman" w:cs="Times New Roman"/>
                <w:sz w:val="24"/>
                <w:szCs w:val="24"/>
                <w:lang w:eastAsia="ru-RU"/>
              </w:rPr>
            </w:pPr>
            <w:r>
              <w:rPr>
                <w:rFonts w:cs="Times New Roman" w:ascii="Times New Roman" w:hAnsi="Times New Roman"/>
                <w:sz w:val="24"/>
                <w:szCs w:val="24"/>
              </w:rPr>
              <w:t>Благоустройство береговых полос и прибрежных территорий водных объектов с созданием рекреационных зон</w:t>
            </w:r>
          </w:p>
        </w:tc>
        <w:tc>
          <w:tcPr>
            <w:tcW w:w="19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w:t>
            </w:r>
          </w:p>
        </w:tc>
        <w:tc>
          <w:tcPr>
            <w:tcW w:w="1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r>
          </w:p>
        </w:tc>
        <w:tc>
          <w:tcPr>
            <w:tcW w:w="32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Генеральный план Вахитовского с.п.</w:t>
            </w:r>
          </w:p>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Водный кодекс РФ</w:t>
            </w:r>
          </w:p>
        </w:tc>
      </w:tr>
      <w:tr>
        <w:trPr>
          <w:trHeight w:val="70" w:hRule="atLeast"/>
        </w:trPr>
        <w:tc>
          <w:tcPr>
            <w:tcW w:w="5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3</w:t>
            </w:r>
          </w:p>
        </w:tc>
        <w:tc>
          <w:tcPr>
            <w:tcW w:w="254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Объекты с/х производства, промышленные объекты, сети водоотведения</w:t>
            </w:r>
          </w:p>
        </w:tc>
        <w:tc>
          <w:tcPr>
            <w:tcW w:w="50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contextualSpacing/>
              <w:jc w:val="center"/>
              <w:rPr>
                <w:rFonts w:ascii="Times New Roman" w:hAnsi="Times New Roman" w:cs="Times New Roman"/>
                <w:sz w:val="24"/>
                <w:szCs w:val="24"/>
                <w:lang w:eastAsia="ru-RU"/>
              </w:rPr>
            </w:pPr>
            <w:r>
              <w:rPr>
                <w:rFonts w:cs="Times New Roman" w:ascii="Times New Roman" w:hAnsi="Times New Roman"/>
                <w:sz w:val="24"/>
                <w:szCs w:val="24"/>
                <w:lang w:eastAsia="ru-RU"/>
              </w:rPr>
              <w:t>Установить очистные сооружения.</w:t>
            </w:r>
          </w:p>
          <w:p>
            <w:pPr>
              <w:pStyle w:val="Normal"/>
              <w:widowControl w:val="false"/>
              <w:spacing w:lineRule="auto" w:line="240" w:before="0" w:after="0"/>
              <w:contextualSpacing/>
              <w:jc w:val="center"/>
              <w:rPr>
                <w:rFonts w:ascii="Times New Roman" w:hAnsi="Times New Roman" w:cs="Times New Roman"/>
                <w:sz w:val="24"/>
                <w:szCs w:val="24"/>
                <w:lang w:eastAsia="ru-RU"/>
              </w:rPr>
            </w:pPr>
            <w:r>
              <w:rPr>
                <w:rFonts w:cs="Times New Roman" w:ascii="Times New Roman" w:hAnsi="Times New Roman"/>
                <w:sz w:val="24"/>
                <w:szCs w:val="24"/>
                <w:lang w:eastAsia="ru-RU"/>
              </w:rPr>
              <w:t>В случае сброса сточных вод в водоем согласовать нормативы допустимых сбросов с Управлением Роспотребнадзора по РТ.</w:t>
            </w:r>
          </w:p>
          <w:p>
            <w:pPr>
              <w:pStyle w:val="Normal"/>
              <w:widowControl w:val="false"/>
              <w:spacing w:lineRule="auto" w:line="240" w:before="0" w:after="0"/>
              <w:contextualSpacing/>
              <w:jc w:val="center"/>
              <w:rPr>
                <w:rFonts w:ascii="Times New Roman" w:hAnsi="Times New Roman" w:cs="Times New Roman"/>
                <w:sz w:val="24"/>
                <w:szCs w:val="24"/>
                <w:lang w:eastAsia="ru-RU"/>
              </w:rPr>
            </w:pPr>
            <w:r>
              <w:rPr>
                <w:rFonts w:cs="Times New Roman" w:ascii="Times New Roman" w:hAnsi="Times New Roman"/>
                <w:sz w:val="24"/>
                <w:szCs w:val="24"/>
                <w:lang w:eastAsia="ru-RU"/>
              </w:rPr>
              <w:t>Производственный контроль на расстоянии не далее 500 м от места сброса сточных вод в водный объект.</w:t>
            </w:r>
          </w:p>
        </w:tc>
        <w:tc>
          <w:tcPr>
            <w:tcW w:w="19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contextualSpacing/>
              <w:jc w:val="center"/>
              <w:rPr>
                <w:rFonts w:ascii="Times New Roman" w:hAnsi="Times New Roman" w:cs="Times New Roman"/>
                <w:sz w:val="24"/>
                <w:szCs w:val="24"/>
                <w:lang w:eastAsia="ru-RU"/>
              </w:rPr>
            </w:pPr>
            <w:r>
              <w:rPr>
                <w:rFonts w:cs="Times New Roman" w:ascii="Times New Roman" w:hAnsi="Times New Roman"/>
                <w:sz w:val="24"/>
                <w:szCs w:val="24"/>
                <w:lang w:eastAsia="ru-RU"/>
              </w:rPr>
              <w:t>+</w:t>
            </w:r>
          </w:p>
        </w:tc>
        <w:tc>
          <w:tcPr>
            <w:tcW w:w="1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r>
          </w:p>
        </w:tc>
        <w:tc>
          <w:tcPr>
            <w:tcW w:w="32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ascii="Times New Roman" w:hAnsi="Times New Roman" w:cs="Times New Roman"/>
                <w:sz w:val="24"/>
                <w:szCs w:val="24"/>
                <w:lang w:eastAsia="ru-RU"/>
              </w:rPr>
            </w:pPr>
            <w:r>
              <w:rPr>
                <w:rFonts w:cs="Times New Roman" w:ascii="Times New Roman" w:hAnsi="Times New Roman"/>
                <w:sz w:val="24"/>
                <w:szCs w:val="24"/>
                <w:lang w:eastAsia="ru-RU"/>
              </w:rPr>
              <w:t>Водный кодекс РФ</w:t>
            </w:r>
          </w:p>
        </w:tc>
      </w:tr>
      <w:tr>
        <w:trPr>
          <w:trHeight w:val="341" w:hRule="atLeast"/>
        </w:trPr>
        <w:tc>
          <w:tcPr>
            <w:tcW w:w="5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2546"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rPr>
            </w:pPr>
            <w:r>
              <w:rPr>
                <w:color w:val="auto"/>
              </w:rPr>
              <w:t>Дороги и стоянки в границах ВОЗ</w:t>
            </w:r>
          </w:p>
        </w:tc>
        <w:tc>
          <w:tcPr>
            <w:tcW w:w="5056"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rPr>
            </w:pPr>
            <w:r>
              <w:rPr>
                <w:color w:val="auto"/>
              </w:rPr>
              <w:t>Организовать твердое покрытие дорог</w:t>
            </w:r>
          </w:p>
        </w:tc>
        <w:tc>
          <w:tcPr>
            <w:tcW w:w="1913"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rPr>
            </w:pPr>
            <w:r>
              <w:rPr>
                <w:color w:val="auto"/>
              </w:rPr>
            </w:r>
          </w:p>
        </w:tc>
        <w:tc>
          <w:tcPr>
            <w:tcW w:w="1456"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rPr>
            </w:pPr>
            <w:r>
              <w:rPr>
                <w:color w:val="auto"/>
              </w:rPr>
              <w:t>+</w:t>
            </w:r>
          </w:p>
        </w:tc>
        <w:tc>
          <w:tcPr>
            <w:tcW w:w="328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Генеральный план Вахитовского с.п.</w:t>
            </w:r>
          </w:p>
        </w:tc>
      </w:tr>
      <w:tr>
        <w:trPr>
          <w:trHeight w:val="341" w:hRule="atLeast"/>
        </w:trPr>
        <w:tc>
          <w:tcPr>
            <w:tcW w:w="5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5</w:t>
            </w:r>
          </w:p>
        </w:tc>
        <w:tc>
          <w:tcPr>
            <w:tcW w:w="2546"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rPr>
            </w:pPr>
            <w:r>
              <w:rPr>
                <w:color w:val="auto"/>
              </w:rPr>
              <w:t>Полосы сельскохозяйственных угодий, попадающие в границы прибрежной защитной полосы</w:t>
            </w:r>
          </w:p>
        </w:tc>
        <w:tc>
          <w:tcPr>
            <w:tcW w:w="5056"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rPr>
            </w:pPr>
            <w:r>
              <w:rPr>
                <w:color w:val="auto"/>
              </w:rPr>
              <w:t>Не допускать распашку с/х угодий в границах прибрежной защитной полосы</w:t>
            </w:r>
          </w:p>
        </w:tc>
        <w:tc>
          <w:tcPr>
            <w:tcW w:w="1913"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rPr>
            </w:pPr>
            <w:r>
              <w:rPr>
                <w:color w:val="auto"/>
              </w:rPr>
              <w:t>+</w:t>
            </w:r>
          </w:p>
        </w:tc>
        <w:tc>
          <w:tcPr>
            <w:tcW w:w="1456"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rPr>
            </w:pPr>
            <w:r>
              <w:rPr>
                <w:color w:val="auto"/>
              </w:rPr>
            </w:r>
          </w:p>
        </w:tc>
        <w:tc>
          <w:tcPr>
            <w:tcW w:w="328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341" w:hRule="atLeast"/>
        </w:trPr>
        <w:tc>
          <w:tcPr>
            <w:tcW w:w="5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6</w:t>
            </w:r>
          </w:p>
        </w:tc>
        <w:tc>
          <w:tcPr>
            <w:tcW w:w="2546"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rPr>
            </w:pPr>
            <w:r>
              <w:rPr>
                <w:color w:val="auto"/>
              </w:rPr>
              <w:t>Строительство федеральной дороги «М12 Казань-Москва»</w:t>
            </w:r>
          </w:p>
        </w:tc>
        <w:tc>
          <w:tcPr>
            <w:tcW w:w="5056"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rPr>
            </w:pPr>
            <w:r>
              <w:rPr>
                <w:color w:val="auto"/>
              </w:rPr>
              <w:t>Осуществить защиту поверхностных и грунтовых вод от загрязнения дорожной пылью, горюче-смазочными материалами, обеспыливающими, противогололедными и другими химическими веществами, используемыми во время строительства</w:t>
            </w:r>
          </w:p>
        </w:tc>
        <w:tc>
          <w:tcPr>
            <w:tcW w:w="1913"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rPr>
            </w:pPr>
            <w:r>
              <w:rPr>
                <w:color w:val="auto"/>
              </w:rPr>
              <w:t>+</w:t>
            </w:r>
          </w:p>
        </w:tc>
        <w:tc>
          <w:tcPr>
            <w:tcW w:w="1456"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rPr>
            </w:pPr>
            <w:r>
              <w:rPr>
                <w:color w:val="auto"/>
              </w:rPr>
            </w:r>
          </w:p>
        </w:tc>
        <w:tc>
          <w:tcPr>
            <w:tcW w:w="32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ГОСТ Р 59205-2021. Национальный стандарт Российской Федерации. Дороги автомобильные общего пользования. Охрана окружающей среды. Технические требования"</w:t>
            </w:r>
          </w:p>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(утв. и введен в действие Приказом Росстандарта от 23.06.2021 N 578-ст)</w:t>
            </w:r>
          </w:p>
        </w:tc>
      </w:tr>
      <w:tr>
        <w:trPr>
          <w:trHeight w:val="341" w:hRule="atLeast"/>
        </w:trPr>
        <w:tc>
          <w:tcPr>
            <w:tcW w:w="5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7</w:t>
            </w:r>
          </w:p>
        </w:tc>
        <w:tc>
          <w:tcPr>
            <w:tcW w:w="2546"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rPr>
            </w:pPr>
            <w:r>
              <w:rPr>
                <w:color w:val="auto"/>
              </w:rPr>
              <w:t>Кладбище</w:t>
            </w:r>
          </w:p>
        </w:tc>
        <w:tc>
          <w:tcPr>
            <w:tcW w:w="5056"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rPr>
            </w:pPr>
            <w:r>
              <w:rPr>
                <w:color w:val="auto"/>
              </w:rPr>
              <w:t>Закрытие кладбища в границах водоохранной зоны</w:t>
            </w:r>
          </w:p>
        </w:tc>
        <w:tc>
          <w:tcPr>
            <w:tcW w:w="1913"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rPr>
            </w:pPr>
            <w:r>
              <w:rPr>
                <w:color w:val="auto"/>
              </w:rPr>
              <w:t>+</w:t>
            </w:r>
          </w:p>
        </w:tc>
        <w:tc>
          <w:tcPr>
            <w:tcW w:w="1456"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rPr>
            </w:pPr>
            <w:r>
              <w:rPr>
                <w:color w:val="auto"/>
              </w:rPr>
            </w:r>
          </w:p>
        </w:tc>
        <w:tc>
          <w:tcPr>
            <w:tcW w:w="32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Генеральный план Вахитовского с.п.</w:t>
            </w:r>
          </w:p>
        </w:tc>
      </w:tr>
    </w:tbl>
    <w:p>
      <w:pPr>
        <w:sectPr>
          <w:footerReference w:type="default" r:id="rId61"/>
          <w:footerReference w:type="first" r:id="rId62"/>
          <w:footnotePr>
            <w:numFmt w:val="decimal"/>
          </w:footnotePr>
          <w:type w:val="nextPage"/>
          <w:pgSz w:orient="landscape" w:w="16838" w:h="11906"/>
          <w:pgMar w:left="1134" w:right="851" w:gutter="0" w:header="0" w:top="851" w:footer="709" w:bottom="851"/>
          <w:pgNumType w:fmt="decimal"/>
          <w:formProt w:val="false"/>
          <w:textDirection w:val="lrTb"/>
          <w:docGrid w:type="default" w:linePitch="360" w:charSpace="0"/>
        </w:sectPr>
        <w:pStyle w:val="Normal"/>
        <w:spacing w:lineRule="auto" w:line="240" w:before="0" w:after="0"/>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r>
    </w:p>
    <w:p>
      <w:pPr>
        <w:pStyle w:val="Style79"/>
        <w:spacing w:before="0" w:after="0"/>
        <w:contextualSpacing/>
        <w:rPr>
          <w:rFonts w:eastAsia="" w:eastAsiaTheme="minorEastAsia"/>
          <w:lang w:eastAsia="en-US"/>
        </w:rPr>
      </w:pPr>
      <w:r>
        <w:rPr>
          <w:rFonts w:eastAsia="" w:eastAsiaTheme="minorEastAsia"/>
          <w:lang w:eastAsia="en-US"/>
        </w:rPr>
        <w:t>Мероприятия по охране источников питьевого водоснабжения</w:t>
      </w:r>
    </w:p>
    <w:p>
      <w:pPr>
        <w:pStyle w:val="Normal"/>
        <w:spacing w:lineRule="auto" w:line="240" w:before="0" w:after="0"/>
        <w:ind w:firstLine="709"/>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Гигиенические нормативы качества питьевой, технической воды, воды поверхностных водных объектов приведены в СанПиН 1.2.3685-21.</w:t>
      </w:r>
    </w:p>
    <w:p>
      <w:pPr>
        <w:pStyle w:val="Normal"/>
        <w:spacing w:lineRule="auto" w:line="240" w:before="0" w:after="0"/>
        <w:ind w:firstLine="709"/>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Мероприятия по охране источников питьевого водоснабжения сводятся к соблюдению режима деятельности в границах зон санитарной охраны, устанавливаемого СанПиН 2.1.4.1110-02 и требуют установления и внесения в ЕГРН границ зон санитарной охраны.</w:t>
      </w:r>
    </w:p>
    <w:p>
      <w:pPr>
        <w:pStyle w:val="Normal"/>
        <w:spacing w:lineRule="auto" w:line="240" w:before="0" w:after="0"/>
        <w:ind w:firstLine="709"/>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 xml:space="preserve">Любая деятельность, нарушающая режим охраны водных объектов, оказывает негативное влияние на качество воды, которое должно соответствовать гигиеническим нормативам в зависимости от вида использования водных объектов и их участков: в качестве источника питьевого и хозяйственно-бытового водопользования, а также для водоснабжения предприятий пищевой промышленности (первая категория водопользования) или </w:t>
      </w:r>
      <w:r>
        <w:rPr>
          <w:rFonts w:cs="Times New Roman" w:ascii="Times New Roman" w:hAnsi="Times New Roman"/>
          <w:sz w:val="28"/>
          <w:szCs w:val="28"/>
        </w:rPr>
        <w:t>для рекреационного водопользования, а также использования участков водных объектов, находящихся в черте населенных мест (далее - вторая категория водопользования)</w:t>
      </w:r>
      <w:r>
        <w:rPr>
          <w:rFonts w:cs="Times New Roman" w:ascii="Times New Roman" w:hAnsi="Times New Roman"/>
          <w:sz w:val="28"/>
          <w:szCs w:val="28"/>
          <w:lang w:eastAsia="ru-RU"/>
        </w:rPr>
        <w:t>.</w:t>
      </w:r>
    </w:p>
    <w:p>
      <w:pPr>
        <w:pStyle w:val="Normal"/>
        <w:spacing w:lineRule="auto" w:line="240" w:before="0" w:after="0"/>
        <w:ind w:firstLine="709"/>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Для устранения существующих нарушений режима использования зон охраны водных объектов (таблица 6.11.1), во избежание загрязнения, засорения, заиления, истощения водных объектов, протекающих в границах поселения, а также крупных рек, в которые они несут свои воды, требуется выполнение перечня мероприятий, согласно таблице 7.2.2.</w:t>
      </w:r>
    </w:p>
    <w:p>
      <w:pPr>
        <w:pStyle w:val="ConsPlusNormal"/>
        <w:ind w:firstLine="539"/>
        <w:jc w:val="both"/>
        <w:rPr>
          <w:rFonts w:ascii="Times New Roman" w:hAnsi="Times New Roman" w:cs="Times New Roman"/>
          <w:sz w:val="28"/>
          <w:szCs w:val="28"/>
        </w:rPr>
      </w:pPr>
      <w:r>
        <w:rPr>
          <w:rFonts w:cs="Times New Roman" w:ascii="Times New Roman" w:hAnsi="Times New Roman"/>
          <w:sz w:val="28"/>
          <w:szCs w:val="28"/>
        </w:rPr>
        <w:t>Санитарные мероприятия должны выполняться:</w:t>
      </w:r>
    </w:p>
    <w:p>
      <w:pPr>
        <w:pStyle w:val="ConsPlusNormal"/>
        <w:ind w:firstLine="539"/>
        <w:jc w:val="both"/>
        <w:rPr>
          <w:rFonts w:ascii="Times New Roman" w:hAnsi="Times New Roman" w:cs="Times New Roman"/>
          <w:sz w:val="28"/>
          <w:szCs w:val="28"/>
        </w:rPr>
      </w:pPr>
      <w:r>
        <w:rPr>
          <w:rFonts w:cs="Times New Roman" w:ascii="Times New Roman" w:hAnsi="Times New Roman"/>
          <w:sz w:val="28"/>
          <w:szCs w:val="28"/>
        </w:rPr>
        <w:t>а) в пределах первого пояса ЗСО - органами коммунального хозяйства или другими владельцами водопроводов;</w:t>
      </w:r>
    </w:p>
    <w:p>
      <w:pPr>
        <w:pStyle w:val="ConsPlusNormal"/>
        <w:ind w:firstLine="539"/>
        <w:jc w:val="both"/>
        <w:rPr>
          <w:rFonts w:ascii="Times New Roman" w:hAnsi="Times New Roman" w:cs="Times New Roman"/>
          <w:sz w:val="28"/>
          <w:szCs w:val="28"/>
        </w:rPr>
      </w:pPr>
      <w:r>
        <w:rPr>
          <w:rFonts w:cs="Times New Roman" w:ascii="Times New Roman" w:hAnsi="Times New Roman"/>
          <w:sz w:val="28"/>
          <w:szCs w:val="28"/>
        </w:rPr>
        <w:t>б) в пределах второго и третьего поясов ЗСО - владельцами объектов, оказывающих (или могущих оказать) отрицательное влияние на качество воды источников водоснабжения.</w:t>
      </w:r>
    </w:p>
    <w:p>
      <w:pPr>
        <w:pStyle w:val="ConsPlusNormal"/>
        <w:ind w:firstLine="539"/>
        <w:jc w:val="both"/>
        <w:rPr>
          <w:rFonts w:ascii="Times New Roman" w:hAnsi="Times New Roman" w:cs="Times New Roman"/>
          <w:sz w:val="28"/>
          <w:szCs w:val="28"/>
        </w:rPr>
      </w:pPr>
      <w:r>
        <w:rPr>
          <w:rFonts w:cs="Times New Roman" w:ascii="Times New Roman" w:hAnsi="Times New Roman"/>
          <w:sz w:val="28"/>
          <w:szCs w:val="28"/>
        </w:rPr>
      </w:r>
    </w:p>
    <w:p>
      <w:pPr>
        <w:sectPr>
          <w:footerReference w:type="default" r:id="rId63"/>
          <w:footerReference w:type="first" r:id="rId64"/>
          <w:footnotePr>
            <w:numFmt w:val="decimal"/>
          </w:footnotePr>
          <w:type w:val="nextPage"/>
          <w:pgSz w:w="11906" w:h="16838"/>
          <w:pgMar w:left="1134" w:right="851" w:gutter="0" w:header="0" w:top="851" w:footer="709" w:bottom="851"/>
          <w:pgNumType w:fmt="decimal"/>
          <w:formProt w:val="false"/>
          <w:textDirection w:val="lrTb"/>
          <w:docGrid w:type="default" w:linePitch="100" w:charSpace="0"/>
        </w:sectPr>
        <w:pStyle w:val="ConsPlusNormal"/>
        <w:ind w:firstLine="539"/>
        <w:jc w:val="both"/>
        <w:rPr>
          <w:rFonts w:ascii="Times New Roman" w:hAnsi="Times New Roman" w:cs="Times New Roman"/>
          <w:sz w:val="28"/>
          <w:szCs w:val="28"/>
        </w:rPr>
      </w:pPr>
      <w:r>
        <w:rPr>
          <w:rFonts w:cs="Times New Roman" w:ascii="Times New Roman" w:hAnsi="Times New Roman"/>
          <w:sz w:val="28"/>
          <w:szCs w:val="28"/>
        </w:rPr>
      </w:r>
    </w:p>
    <w:p>
      <w:pPr>
        <w:pStyle w:val="Normal"/>
        <w:ind w:left="375" w:firstLine="709"/>
        <w:jc w:val="right"/>
        <w:rPr>
          <w:rFonts w:ascii="Times New Roman" w:hAnsi="Times New Roman" w:cs="Times New Roman"/>
          <w:sz w:val="28"/>
          <w:szCs w:val="28"/>
        </w:rPr>
      </w:pPr>
      <w:r>
        <w:rPr>
          <w:rFonts w:cs="Times New Roman" w:ascii="Times New Roman" w:hAnsi="Times New Roman"/>
          <w:sz w:val="28"/>
          <w:szCs w:val="28"/>
        </w:rPr>
        <w:t>Таблица 7.2.2</w:t>
      </w:r>
    </w:p>
    <w:p>
      <w:pPr>
        <w:pStyle w:val="Style79"/>
        <w:rPr>
          <w:b w:val="false"/>
        </w:rPr>
      </w:pPr>
      <w:r>
        <w:rPr/>
        <w:t>Перечень мероприятий по охране источников питьевого водоснабжения</w:t>
      </w:r>
    </w:p>
    <w:p>
      <w:pPr>
        <w:pStyle w:val="Normal"/>
        <w:spacing w:lineRule="auto" w:line="240" w:before="0" w:after="0"/>
        <w:ind w:firstLine="709"/>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r>
    </w:p>
    <w:tbl>
      <w:tblPr>
        <w:tblW w:w="5000" w:type="pct"/>
        <w:jc w:val="center"/>
        <w:tblInd w:w="0" w:type="dxa"/>
        <w:tblLayout w:type="fixed"/>
        <w:tblCellMar>
          <w:top w:w="0" w:type="dxa"/>
          <w:left w:w="108" w:type="dxa"/>
          <w:bottom w:w="0" w:type="dxa"/>
          <w:right w:w="108" w:type="dxa"/>
        </w:tblCellMar>
        <w:tblLook w:noVBand="0" w:val="0000" w:noHBand="0" w:lastColumn="0" w:firstColumn="0" w:lastRow="0" w:firstRow="0"/>
      </w:tblPr>
      <w:tblGrid>
        <w:gridCol w:w="589"/>
        <w:gridCol w:w="3040"/>
        <w:gridCol w:w="5698"/>
        <w:gridCol w:w="1277"/>
        <w:gridCol w:w="1456"/>
        <w:gridCol w:w="2792"/>
      </w:tblGrid>
      <w:tr>
        <w:trPr>
          <w:tblHeader w:val="true"/>
          <w:trHeight w:val="20" w:hRule="atLeast"/>
          <w:cantSplit w:val="true"/>
        </w:trPr>
        <w:tc>
          <w:tcPr>
            <w:tcW w:w="58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п/п</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Наименование объекта</w:t>
            </w:r>
          </w:p>
        </w:tc>
        <w:tc>
          <w:tcPr>
            <w:tcW w:w="569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Вид мероприятия</w:t>
            </w:r>
          </w:p>
        </w:tc>
        <w:tc>
          <w:tcPr>
            <w:tcW w:w="273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Сроки реализации</w:t>
            </w:r>
          </w:p>
        </w:tc>
        <w:tc>
          <w:tcPr>
            <w:tcW w:w="279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Источник мероприятия (наименование документа)</w:t>
            </w:r>
          </w:p>
        </w:tc>
      </w:tr>
      <w:tr>
        <w:trPr>
          <w:tblHeader w:val="true"/>
          <w:trHeight w:val="70" w:hRule="atLeast"/>
          <w:cantSplit w:val="true"/>
        </w:trPr>
        <w:tc>
          <w:tcPr>
            <w:tcW w:w="58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r>
          </w:p>
        </w:tc>
        <w:tc>
          <w:tcPr>
            <w:tcW w:w="30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r>
          </w:p>
        </w:tc>
        <w:tc>
          <w:tcPr>
            <w:tcW w:w="56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Первая очередь</w:t>
            </w:r>
          </w:p>
        </w:tc>
        <w:tc>
          <w:tcPr>
            <w:tcW w:w="1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Расчетный период</w:t>
            </w:r>
          </w:p>
        </w:tc>
        <w:tc>
          <w:tcPr>
            <w:tcW w:w="27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r>
          </w:p>
        </w:tc>
      </w:tr>
      <w:tr>
        <w:trPr>
          <w:trHeight w:val="1317" w:hRule="atLeast"/>
          <w:cantSplit w:val="true"/>
        </w:trPr>
        <w:tc>
          <w:tcPr>
            <w:tcW w:w="5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1</w:t>
            </w:r>
          </w:p>
        </w:tc>
        <w:tc>
          <w:tcPr>
            <w:tcW w:w="3040" w:type="dxa"/>
            <w:vMerge w:val="restart"/>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ind w:firstLine="142"/>
              <w:jc w:val="center"/>
              <w:rPr>
                <w:sz w:val="24"/>
                <w:szCs w:val="24"/>
              </w:rPr>
            </w:pPr>
            <w:r>
              <w:rPr>
                <w:sz w:val="24"/>
                <w:szCs w:val="24"/>
              </w:rPr>
              <w:t>Артезианская скважина с. Ташевка (КН 16:15:000000:2438)</w:t>
            </w:r>
          </w:p>
          <w:p>
            <w:pPr>
              <w:pStyle w:val="Style38"/>
              <w:widowControl w:val="false"/>
              <w:suppressAutoHyphens w:val="true"/>
              <w:ind w:firstLine="142"/>
              <w:jc w:val="center"/>
              <w:rPr>
                <w:sz w:val="24"/>
                <w:szCs w:val="24"/>
              </w:rPr>
            </w:pPr>
            <w:r>
              <w:rPr>
                <w:sz w:val="24"/>
                <w:szCs w:val="24"/>
              </w:rPr>
              <w:t>Артезианская скважина с. Бакча-Сарай (КН 16:15:030202:175)</w:t>
            </w:r>
          </w:p>
          <w:p>
            <w:pPr>
              <w:pStyle w:val="Style38"/>
              <w:widowControl w:val="false"/>
              <w:suppressAutoHyphens w:val="true"/>
              <w:ind w:firstLine="142"/>
              <w:jc w:val="center"/>
              <w:rPr>
                <w:sz w:val="24"/>
                <w:szCs w:val="24"/>
              </w:rPr>
            </w:pPr>
            <w:r>
              <w:rPr>
                <w:sz w:val="24"/>
                <w:szCs w:val="24"/>
              </w:rPr>
              <w:t>Артезианская скважина с. Ватан (КН 16:15:030301:103)</w:t>
            </w:r>
          </w:p>
          <w:p>
            <w:pPr>
              <w:pStyle w:val="Style38"/>
              <w:widowControl w:val="false"/>
              <w:suppressAutoHyphens w:val="true"/>
              <w:ind w:firstLine="142"/>
              <w:jc w:val="center"/>
              <w:rPr>
                <w:sz w:val="24"/>
                <w:szCs w:val="24"/>
              </w:rPr>
            </w:pPr>
            <w:r>
              <w:rPr>
                <w:sz w:val="24"/>
                <w:szCs w:val="24"/>
              </w:rPr>
              <w:t>Артезианская скважина д. им. Мулланура Вахитова (КН 16:15:030101:109)</w:t>
            </w:r>
          </w:p>
        </w:tc>
        <w:tc>
          <w:tcPr>
            <w:tcW w:w="569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Внести в ЕГРН границы зон санитарной охраны в составе 3х поясов.</w:t>
            </w:r>
          </w:p>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 xml:space="preserve">Проверить герметичность выгребных ям в жилой застройке, попадающей в границы </w:t>
            </w:r>
            <w:r>
              <w:rPr>
                <w:rFonts w:cs="Times New Roman" w:ascii="Times New Roman" w:hAnsi="Times New Roman"/>
                <w:sz w:val="24"/>
                <w:szCs w:val="24"/>
                <w:lang w:val="en-US"/>
              </w:rPr>
              <w:t>II</w:t>
            </w:r>
            <w:r>
              <w:rPr>
                <w:rFonts w:cs="Times New Roman" w:ascii="Times New Roman" w:hAnsi="Times New Roman"/>
                <w:sz w:val="24"/>
                <w:szCs w:val="24"/>
              </w:rPr>
              <w:t xml:space="preserve">, </w:t>
            </w:r>
            <w:r>
              <w:rPr>
                <w:rFonts w:cs="Times New Roman" w:ascii="Times New Roman" w:hAnsi="Times New Roman"/>
                <w:sz w:val="24"/>
                <w:szCs w:val="24"/>
                <w:lang w:val="en-US"/>
              </w:rPr>
              <w:t>III</w:t>
            </w:r>
            <w:r>
              <w:rPr>
                <w:rFonts w:cs="Times New Roman" w:ascii="Times New Roman" w:hAnsi="Times New Roman"/>
                <w:sz w:val="24"/>
                <w:szCs w:val="24"/>
              </w:rPr>
              <w:t xml:space="preserve"> поясов ЗСО.</w:t>
            </w:r>
          </w:p>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 xml:space="preserve">Не допускать сброс на рельеф сточных вод </w:t>
            </w:r>
          </w:p>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 xml:space="preserve">Построить сплошное ограждение первого пояса, обеспечить сторожевой сигнализацией и охранным освещением, спланировать территорию для отвода поверхностных вод от устья скважины. </w:t>
            </w:r>
          </w:p>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 xml:space="preserve">При планировании в границах </w:t>
            </w:r>
            <w:r>
              <w:rPr>
                <w:rFonts w:cs="Times New Roman" w:ascii="Times New Roman" w:hAnsi="Times New Roman"/>
                <w:sz w:val="24"/>
                <w:szCs w:val="24"/>
                <w:lang w:val="en-US"/>
              </w:rPr>
              <w:t>II</w:t>
            </w:r>
            <w:r>
              <w:rPr>
                <w:rFonts w:cs="Times New Roman" w:ascii="Times New Roman" w:hAnsi="Times New Roman"/>
                <w:sz w:val="24"/>
                <w:szCs w:val="24"/>
              </w:rPr>
              <w:t xml:space="preserve">, </w:t>
            </w:r>
            <w:r>
              <w:rPr>
                <w:rFonts w:cs="Times New Roman" w:ascii="Times New Roman" w:hAnsi="Times New Roman"/>
                <w:sz w:val="24"/>
                <w:szCs w:val="24"/>
                <w:lang w:val="en-US"/>
              </w:rPr>
              <w:t>III</w:t>
            </w:r>
            <w:r>
              <w:rPr>
                <w:rFonts w:cs="Times New Roman" w:ascii="Times New Roman" w:hAnsi="Times New Roman"/>
                <w:sz w:val="24"/>
                <w:szCs w:val="24"/>
              </w:rPr>
              <w:t xml:space="preserve"> поясов строительства, связанного с нарушением почвенного покрова, получить обязательное согласование с Управлением Роспотребнадзора по РТ </w:t>
            </w:r>
          </w:p>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Обеспечить производственный контроль качества питьевой воды.</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w:t>
            </w:r>
          </w:p>
        </w:tc>
        <w:tc>
          <w:tcPr>
            <w:tcW w:w="1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r>
          </w:p>
        </w:tc>
        <w:tc>
          <w:tcPr>
            <w:tcW w:w="279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Генеральный план Вахитовского с.п.</w:t>
            </w:r>
          </w:p>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before="0" w:after="0"/>
              <w:jc w:val="center"/>
              <w:rPr>
                <w:rFonts w:ascii="Times New Roman" w:hAnsi="Times New Roman" w:cs="Times New Roman"/>
                <w:bCs/>
                <w:sz w:val="24"/>
                <w:szCs w:val="24"/>
              </w:rPr>
            </w:pPr>
            <w:r>
              <w:rPr>
                <w:rFonts w:cs="Times New Roman" w:ascii="Times New Roman" w:hAnsi="Times New Roman"/>
                <w:bCs/>
                <w:sz w:val="24"/>
                <w:szCs w:val="24"/>
              </w:rPr>
              <w:t>СанПиН 2.1.4.1110-02</w:t>
            </w:r>
          </w:p>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проекты зон санитарной охраны источников водоснабжения</w:t>
            </w:r>
          </w:p>
        </w:tc>
      </w:tr>
      <w:tr>
        <w:trPr>
          <w:trHeight w:val="993" w:hRule="atLeast"/>
          <w:cantSplit w:val="true"/>
        </w:trPr>
        <w:tc>
          <w:tcPr>
            <w:tcW w:w="5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2</w:t>
            </w:r>
          </w:p>
        </w:tc>
        <w:tc>
          <w:tcPr>
            <w:tcW w:w="3040" w:type="dxa"/>
            <w:vMerge w:val="continue"/>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ind w:firstLine="142"/>
              <w:jc w:val="center"/>
              <w:rPr>
                <w:sz w:val="24"/>
                <w:szCs w:val="24"/>
              </w:rPr>
            </w:pPr>
            <w:r>
              <w:rPr>
                <w:sz w:val="24"/>
                <w:szCs w:val="24"/>
              </w:rPr>
            </w:r>
          </w:p>
        </w:tc>
        <w:tc>
          <w:tcPr>
            <w:tcW w:w="56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w:t>
            </w:r>
          </w:p>
        </w:tc>
        <w:tc>
          <w:tcPr>
            <w:tcW w:w="1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r>
          </w:p>
        </w:tc>
        <w:tc>
          <w:tcPr>
            <w:tcW w:w="279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r>
          </w:p>
        </w:tc>
      </w:tr>
      <w:tr>
        <w:trPr>
          <w:trHeight w:val="1121" w:hRule="atLeast"/>
          <w:cantSplit w:val="true"/>
        </w:trPr>
        <w:tc>
          <w:tcPr>
            <w:tcW w:w="589"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ind w:firstLine="142"/>
              <w:jc w:val="center"/>
              <w:rPr>
                <w:sz w:val="24"/>
                <w:szCs w:val="24"/>
              </w:rPr>
            </w:pPr>
            <w:r>
              <w:rPr>
                <w:sz w:val="24"/>
                <w:szCs w:val="24"/>
              </w:rPr>
              <w:t>3</w:t>
            </w:r>
          </w:p>
        </w:tc>
        <w:tc>
          <w:tcPr>
            <w:tcW w:w="3040" w:type="dxa"/>
            <w:vMerge w:val="continue"/>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ind w:firstLine="142"/>
              <w:jc w:val="center"/>
              <w:rPr>
                <w:sz w:val="24"/>
                <w:szCs w:val="24"/>
              </w:rPr>
            </w:pPr>
            <w:r>
              <w:rPr>
                <w:sz w:val="24"/>
                <w:szCs w:val="24"/>
              </w:rPr>
            </w:r>
          </w:p>
        </w:tc>
        <w:tc>
          <w:tcPr>
            <w:tcW w:w="56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w:t>
            </w:r>
          </w:p>
        </w:tc>
        <w:tc>
          <w:tcPr>
            <w:tcW w:w="1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r>
          </w:p>
        </w:tc>
        <w:tc>
          <w:tcPr>
            <w:tcW w:w="279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r>
          </w:p>
        </w:tc>
      </w:tr>
      <w:tr>
        <w:trPr>
          <w:trHeight w:val="646" w:hRule="atLeast"/>
          <w:cantSplit w:val="true"/>
        </w:trPr>
        <w:tc>
          <w:tcPr>
            <w:tcW w:w="589"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ind w:firstLine="142"/>
              <w:jc w:val="center"/>
              <w:rPr>
                <w:sz w:val="24"/>
                <w:szCs w:val="24"/>
              </w:rPr>
            </w:pPr>
            <w:r>
              <w:rPr>
                <w:sz w:val="24"/>
                <w:szCs w:val="24"/>
              </w:rPr>
              <w:t>4</w:t>
            </w:r>
          </w:p>
        </w:tc>
        <w:tc>
          <w:tcPr>
            <w:tcW w:w="3040" w:type="dxa"/>
            <w:vMerge w:val="continue"/>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ind w:firstLine="142"/>
              <w:jc w:val="center"/>
              <w:rPr>
                <w:sz w:val="24"/>
                <w:szCs w:val="24"/>
              </w:rPr>
            </w:pPr>
            <w:r>
              <w:rPr>
                <w:sz w:val="24"/>
                <w:szCs w:val="24"/>
              </w:rPr>
            </w:r>
          </w:p>
        </w:tc>
        <w:tc>
          <w:tcPr>
            <w:tcW w:w="56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w:t>
            </w:r>
          </w:p>
        </w:tc>
        <w:tc>
          <w:tcPr>
            <w:tcW w:w="1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r>
          </w:p>
        </w:tc>
        <w:tc>
          <w:tcPr>
            <w:tcW w:w="279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r>
          </w:p>
        </w:tc>
      </w:tr>
      <w:tr>
        <w:trPr>
          <w:trHeight w:val="1205" w:hRule="atLeast"/>
          <w:cantSplit w:val="true"/>
        </w:trPr>
        <w:tc>
          <w:tcPr>
            <w:tcW w:w="589"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ind w:firstLine="142"/>
              <w:jc w:val="center"/>
              <w:rPr>
                <w:sz w:val="24"/>
                <w:szCs w:val="24"/>
              </w:rPr>
            </w:pPr>
            <w:r>
              <w:rPr>
                <w:sz w:val="24"/>
                <w:szCs w:val="24"/>
              </w:rPr>
              <w:t>5</w:t>
            </w:r>
          </w:p>
        </w:tc>
        <w:tc>
          <w:tcPr>
            <w:tcW w:w="30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Родник д. им. Мулланура Вахитова</w:t>
            </w:r>
          </w:p>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Родник с. Ватан</w:t>
            </w:r>
          </w:p>
          <w:p>
            <w:pPr>
              <w:pStyle w:val="Normal"/>
              <w:widowControl w:val="false"/>
              <w:spacing w:before="0" w:after="0"/>
              <w:jc w:val="center"/>
              <w:rPr>
                <w:sz w:val="24"/>
                <w:szCs w:val="24"/>
              </w:rPr>
            </w:pPr>
            <w:r>
              <w:rPr>
                <w:rFonts w:cs="Times New Roman" w:ascii="Times New Roman" w:hAnsi="Times New Roman"/>
                <w:sz w:val="24"/>
                <w:szCs w:val="24"/>
              </w:rPr>
              <w:t>Родник д. Гребени</w:t>
            </w:r>
          </w:p>
        </w:tc>
        <w:tc>
          <w:tcPr>
            <w:tcW w:w="56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w:t>
            </w:r>
          </w:p>
        </w:tc>
        <w:tc>
          <w:tcPr>
            <w:tcW w:w="1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r>
          </w:p>
        </w:tc>
        <w:tc>
          <w:tcPr>
            <w:tcW w:w="27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r>
          </w:p>
        </w:tc>
      </w:tr>
      <w:tr>
        <w:trPr>
          <w:trHeight w:val="1205" w:hRule="atLeast"/>
          <w:cantSplit w:val="true"/>
        </w:trPr>
        <w:tc>
          <w:tcPr>
            <w:tcW w:w="589"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ind w:firstLine="142"/>
              <w:jc w:val="center"/>
              <w:rPr>
                <w:sz w:val="24"/>
                <w:szCs w:val="24"/>
              </w:rPr>
            </w:pPr>
            <w:r>
              <w:rPr>
                <w:sz w:val="24"/>
                <w:szCs w:val="24"/>
              </w:rPr>
              <w:t>6</w:t>
            </w:r>
          </w:p>
        </w:tc>
        <w:tc>
          <w:tcPr>
            <w:tcW w:w="3040"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ind w:hanging="0"/>
              <w:jc w:val="center"/>
              <w:rPr>
                <w:sz w:val="24"/>
                <w:szCs w:val="24"/>
              </w:rPr>
            </w:pPr>
            <w:r>
              <w:rPr>
                <w:sz w:val="24"/>
                <w:szCs w:val="24"/>
              </w:rPr>
              <w:t>Планируемая жилая застройка</w:t>
            </w:r>
          </w:p>
        </w:tc>
        <w:tc>
          <w:tcPr>
            <w:tcW w:w="569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firstLine="142"/>
              <w:contextualSpacing/>
              <w:jc w:val="center"/>
              <w:rPr>
                <w:rFonts w:ascii="Times New Roman" w:hAnsi="Times New Roman" w:cs="Times New Roman"/>
                <w:sz w:val="24"/>
                <w:szCs w:val="24"/>
              </w:rPr>
            </w:pPr>
            <w:r>
              <w:rPr>
                <w:rFonts w:cs="Times New Roman" w:ascii="Times New Roman" w:hAnsi="Times New Roman"/>
                <w:sz w:val="24"/>
                <w:szCs w:val="24"/>
              </w:rPr>
              <w:t>Оформить лицензию. На право пользования недрами с целью добычи подземных вод.</w:t>
            </w:r>
          </w:p>
          <w:p>
            <w:pPr>
              <w:pStyle w:val="Normal"/>
              <w:widowControl w:val="false"/>
              <w:spacing w:before="0" w:after="160"/>
              <w:ind w:firstLine="142"/>
              <w:contextualSpacing/>
              <w:jc w:val="center"/>
              <w:rPr>
                <w:rFonts w:ascii="Times New Roman" w:hAnsi="Times New Roman" w:cs="Times New Roman"/>
                <w:sz w:val="24"/>
                <w:szCs w:val="24"/>
              </w:rPr>
            </w:pPr>
            <w:r>
              <w:rPr>
                <w:rFonts w:cs="Times New Roman" w:ascii="Times New Roman" w:hAnsi="Times New Roman"/>
                <w:sz w:val="24"/>
                <w:szCs w:val="24"/>
              </w:rPr>
              <w:t>Разработать проекты зон санитарной охраны источников водоснабжения.</w:t>
            </w:r>
          </w:p>
          <w:p>
            <w:pPr>
              <w:pStyle w:val="Normal"/>
              <w:widowControl w:val="false"/>
              <w:spacing w:before="0" w:after="160"/>
              <w:ind w:firstLine="142"/>
              <w:contextualSpacing/>
              <w:jc w:val="center"/>
              <w:rPr>
                <w:rFonts w:ascii="Times New Roman" w:hAnsi="Times New Roman" w:cs="Times New Roman"/>
                <w:sz w:val="24"/>
                <w:szCs w:val="24"/>
              </w:rPr>
            </w:pPr>
            <w:r>
              <w:rPr>
                <w:rFonts w:cs="Times New Roman" w:ascii="Times New Roman" w:hAnsi="Times New Roman"/>
                <w:sz w:val="24"/>
                <w:szCs w:val="24"/>
              </w:rPr>
              <w:t>Согласовать проекты зон санитарной охраны скважины с Управлением Роспотребнадзора по РТ.</w:t>
            </w:r>
          </w:p>
          <w:p>
            <w:pPr>
              <w:pStyle w:val="Normal"/>
              <w:widowControl w:val="false"/>
              <w:spacing w:before="0" w:after="160"/>
              <w:ind w:firstLine="142"/>
              <w:contextualSpacing/>
              <w:jc w:val="center"/>
              <w:rPr>
                <w:rFonts w:ascii="Times New Roman" w:hAnsi="Times New Roman" w:cs="Times New Roman"/>
                <w:sz w:val="24"/>
                <w:szCs w:val="24"/>
              </w:rPr>
            </w:pPr>
            <w:r>
              <w:rPr>
                <w:rFonts w:cs="Times New Roman" w:ascii="Times New Roman" w:hAnsi="Times New Roman"/>
                <w:sz w:val="24"/>
                <w:szCs w:val="24"/>
              </w:rPr>
              <w:t>Установить зоны санитарной охраны в составе 3х поясов.</w:t>
            </w:r>
          </w:p>
          <w:p>
            <w:pPr>
              <w:pStyle w:val="Normal"/>
              <w:widowControl w:val="false"/>
              <w:spacing w:before="0" w:after="160"/>
              <w:ind w:firstLine="142"/>
              <w:contextualSpacing/>
              <w:jc w:val="center"/>
              <w:rPr>
                <w:rFonts w:ascii="Times New Roman" w:hAnsi="Times New Roman" w:cs="Times New Roman"/>
                <w:sz w:val="24"/>
                <w:szCs w:val="24"/>
              </w:rPr>
            </w:pPr>
            <w:r>
              <w:rPr>
                <w:rFonts w:cs="Times New Roman" w:ascii="Times New Roman" w:hAnsi="Times New Roman"/>
                <w:sz w:val="24"/>
                <w:szCs w:val="24"/>
              </w:rPr>
              <w:t>Построить сплошное ограждение первого пояса. Соблюдать режим ЗСО.</w:t>
            </w:r>
          </w:p>
          <w:p>
            <w:pPr>
              <w:pStyle w:val="Normal"/>
              <w:widowControl w:val="false"/>
              <w:spacing w:before="0" w:after="160"/>
              <w:ind w:firstLine="142"/>
              <w:contextualSpacing/>
              <w:jc w:val="center"/>
              <w:rPr>
                <w:rFonts w:ascii="Times New Roman" w:hAnsi="Times New Roman" w:cs="Times New Roman"/>
                <w:sz w:val="24"/>
                <w:szCs w:val="24"/>
              </w:rPr>
            </w:pPr>
            <w:r>
              <w:rPr>
                <w:rFonts w:cs="Times New Roman" w:ascii="Times New Roman" w:hAnsi="Times New Roman"/>
                <w:sz w:val="24"/>
                <w:szCs w:val="24"/>
              </w:rPr>
              <w:t>Спланировать территорию для отвода поверхностных вод от устья скважины.</w:t>
            </w:r>
          </w:p>
          <w:p>
            <w:pPr>
              <w:pStyle w:val="Normal"/>
              <w:widowControl w:val="false"/>
              <w:spacing w:before="0" w:after="160"/>
              <w:ind w:firstLine="142"/>
              <w:contextualSpacing/>
              <w:jc w:val="center"/>
              <w:rPr>
                <w:rFonts w:ascii="Times New Roman" w:hAnsi="Times New Roman" w:cs="Times New Roman"/>
                <w:sz w:val="24"/>
                <w:szCs w:val="24"/>
              </w:rPr>
            </w:pPr>
            <w:r>
              <w:rPr>
                <w:rFonts w:cs="Times New Roman" w:ascii="Times New Roman" w:hAnsi="Times New Roman"/>
                <w:sz w:val="24"/>
                <w:szCs w:val="24"/>
              </w:rPr>
              <w:t>При планировании в границах II, III поясов строительства, связанного с нарушением почвенного покрова, получить обязательное согласование с Управлением Роспотребнадзора по РТ</w:t>
            </w:r>
          </w:p>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Обеспечить производственный контроль качества питьевой воды.</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w:t>
            </w:r>
          </w:p>
        </w:tc>
        <w:tc>
          <w:tcPr>
            <w:tcW w:w="1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r>
          </w:p>
        </w:tc>
        <w:tc>
          <w:tcPr>
            <w:tcW w:w="27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rFonts w:ascii="Times New Roman" w:hAnsi="Times New Roman" w:cs="Times New Roman"/>
                <w:sz w:val="24"/>
                <w:szCs w:val="24"/>
              </w:rPr>
            </w:pPr>
            <w:r>
              <w:rPr>
                <w:rFonts w:cs="Times New Roman" w:ascii="Times New Roman" w:hAnsi="Times New Roman"/>
                <w:sz w:val="24"/>
                <w:szCs w:val="24"/>
              </w:rPr>
              <w:t>Генеральный план,</w:t>
            </w:r>
          </w:p>
          <w:p>
            <w:pPr>
              <w:pStyle w:val="Normal"/>
              <w:widowControl w:val="false"/>
              <w:ind w:firstLine="142"/>
              <w:jc w:val="center"/>
              <w:rPr>
                <w:rFonts w:ascii="Times New Roman" w:hAnsi="Times New Roman" w:cs="Times New Roman"/>
                <w:sz w:val="24"/>
                <w:szCs w:val="24"/>
              </w:rPr>
            </w:pPr>
            <w:r>
              <w:rPr>
                <w:rFonts w:cs="Times New Roman" w:ascii="Times New Roman" w:hAnsi="Times New Roman"/>
                <w:bCs/>
                <w:sz w:val="24"/>
                <w:szCs w:val="24"/>
              </w:rPr>
              <w:t xml:space="preserve">СанПиН 2.1.4.1110-02 «Зоны санитарной охраны источников водоснабжения и водопроводов питьевого назначения», </w:t>
            </w:r>
            <w:r>
              <w:rPr>
                <w:rFonts w:cs="Times New Roman" w:ascii="Times New Roman" w:hAnsi="Times New Roman"/>
                <w:sz w:val="24"/>
                <w:szCs w:val="24"/>
              </w:rPr>
              <w:t>проект ЗСО</w:t>
            </w:r>
          </w:p>
        </w:tc>
      </w:tr>
    </w:tbl>
    <w:p>
      <w:pPr>
        <w:sectPr>
          <w:footerReference w:type="default" r:id="rId65"/>
          <w:footerReference w:type="first" r:id="rId66"/>
          <w:footnotePr>
            <w:numFmt w:val="decimal"/>
          </w:footnotePr>
          <w:type w:val="nextPage"/>
          <w:pgSz w:orient="landscape" w:w="16838" w:h="11906"/>
          <w:pgMar w:left="1134" w:right="851" w:gutter="0" w:header="0" w:top="851" w:footer="709" w:bottom="851"/>
          <w:pgNumType w:fmt="decimal"/>
          <w:formProt w:val="false"/>
          <w:textDirection w:val="lrTb"/>
          <w:docGrid w:type="default" w:linePitch="360" w:charSpace="0"/>
        </w:sectPr>
      </w:pPr>
    </w:p>
    <w:p>
      <w:pPr>
        <w:pStyle w:val="2"/>
        <w:numPr>
          <w:ilvl w:val="1"/>
          <w:numId w:val="49"/>
        </w:numPr>
        <w:spacing w:lineRule="auto" w:line="240" w:before="0" w:after="0"/>
        <w:ind w:left="0" w:firstLine="709"/>
        <w:contextualSpacing/>
        <w:jc w:val="center"/>
        <w:rPr>
          <w:rFonts w:ascii="Times New Roman" w:hAnsi="Times New Roman" w:cs="Times New Roman"/>
          <w:b/>
          <w:color w:val="auto"/>
          <w:sz w:val="28"/>
          <w:szCs w:val="28"/>
          <w:lang w:eastAsia="ru-RU"/>
        </w:rPr>
      </w:pPr>
      <w:bookmarkStart w:id="196" w:name="_Toc57443793"/>
      <w:bookmarkStart w:id="197" w:name="_Toc147740078"/>
      <w:bookmarkStart w:id="198" w:name="_Toc133908546"/>
      <w:r>
        <w:rPr>
          <w:rFonts w:cs="Times New Roman" w:ascii="Times New Roman" w:hAnsi="Times New Roman"/>
          <w:b/>
          <w:color w:val="auto"/>
          <w:sz w:val="28"/>
          <w:szCs w:val="28"/>
          <w:lang w:eastAsia="ru-RU"/>
        </w:rPr>
        <w:t>Мероприятия по охране и рациональному использованию земельных ресурсов</w:t>
      </w:r>
      <w:bookmarkEnd w:id="196"/>
      <w:bookmarkEnd w:id="197"/>
      <w:bookmarkEnd w:id="198"/>
    </w:p>
    <w:p>
      <w:pPr>
        <w:pStyle w:val="Normal"/>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Содержание потенциально опасных для человека химических и биологических веществ, биологических и микробиологических организмов в почвах на разной глубине, а также уровень радиационного фона не должны превышать гигиенические нормативы.</w:t>
      </w:r>
    </w:p>
    <w:p>
      <w:pPr>
        <w:pStyle w:val="Normal"/>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В соответствии с положениями статьи 12 Земельного кодекса Российской Федерации целями охраны земель являются предотвращение и ликвидация загрязнения, истощения, деградации, порчи, уничтожения земель и почв и иного негативного воздействия на земли и почвы.</w:t>
      </w:r>
    </w:p>
    <w:p>
      <w:pPr>
        <w:pStyle w:val="Normal"/>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Во избежание загрязнения и порчи земель и почв не допускается сброс сточных вод на рельеф, в том числе очищенных после выхода из существующих и планируемых очистных сооружений.</w:t>
      </w:r>
    </w:p>
    <w:p>
      <w:pPr>
        <w:pStyle w:val="Normal"/>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Выявление фактов сброса сточных вод на рельеф местности (почву) является основанием для применения в отношении нарушителей природоохранного законодательства мер административного реагирования в соответствии с частью 2 статьи 8.6 Кодекса Российской Федерации об административных правонарушениях от 30.12.2001 № 195-ФЗ.</w:t>
      </w:r>
    </w:p>
    <w:p>
      <w:pPr>
        <w:pStyle w:val="Normal"/>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Вид использования почв зависит от степени их химического, бактериологического, паразитологического и энтомологического загрязнения.</w:t>
      </w:r>
    </w:p>
    <w:p>
      <w:pPr>
        <w:pStyle w:val="Normal"/>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Основная часть территории поселения занята сельхозугодиями, на северо-восточной части поселения расположен лицензионный участок «Матюшинский карьер».</w:t>
      </w:r>
    </w:p>
    <w:p>
      <w:pPr>
        <w:pStyle w:val="Style91"/>
        <w:numPr>
          <w:ilvl w:val="0"/>
          <w:numId w:val="0"/>
        </w:numPr>
        <w:ind w:left="0" w:firstLine="709"/>
        <w:rPr>
          <w:szCs w:val="28"/>
        </w:rPr>
      </w:pPr>
      <w:r>
        <w:rPr>
          <w:szCs w:val="28"/>
        </w:rPr>
        <w:t xml:space="preserve">Для минимизации влияния на земельные ресурсы при добыче полезных ископаемых, следует соблюдать границы отвода в период эксплуатации такого участка. Также своевременно проводить рекультивацию нарушенных земель. </w:t>
      </w:r>
    </w:p>
    <w:p>
      <w:pPr>
        <w:pStyle w:val="Style91"/>
        <w:numPr>
          <w:ilvl w:val="0"/>
          <w:numId w:val="0"/>
        </w:numPr>
        <w:ind w:left="0" w:firstLine="709"/>
        <w:rPr/>
      </w:pPr>
      <w:r>
        <w:rPr>
          <w:szCs w:val="28"/>
        </w:rPr>
        <w:t>При проектировании малоэтажной застройки, предусматривающей использование</w:t>
      </w:r>
      <w:r>
        <w:rPr/>
        <w:t xml:space="preserve"> земельных участков для выращивания сельскохозяйственной продукции, необходимо проводить мероприятия по обследованию почвенного покрова на наличие в нем токсичных веществ и соединений, а также радиоактивности с последующей дезактивацией, реабилитацией и т.д. Особо загрязненные участки с высокой степенью загрязнения необходимо выводить на консервацию с созданием объектов зеленого фонда. Отвод участков под жилую застройку и строительство дошкольных и школьных учреждений в зонах с зафиксированным или потенциальным загрязнением почвенного покрова осуществлять только при заключении об экологической безопасности почв или при наличии программы по ее рекультивации.</w:t>
      </w:r>
    </w:p>
    <w:p>
      <w:pPr>
        <w:pStyle w:val="Normal"/>
        <w:shd w:val="clear" w:color="auto" w:fill="FFFFFF"/>
        <w:spacing w:lineRule="auto" w:line="240" w:before="0" w:after="0"/>
        <w:ind w:firstLine="567"/>
        <w:jc w:val="both"/>
        <w:rPr>
          <w:rFonts w:ascii="Times New Roman" w:hAnsi="Times New Roman" w:eastAsia="Times New Roman" w:cs="Times New Roman"/>
          <w:sz w:val="28"/>
          <w:szCs w:val="20"/>
          <w:lang w:eastAsia="ru-RU"/>
        </w:rPr>
      </w:pPr>
      <w:r>
        <w:rPr>
          <w:rFonts w:eastAsia="Times New Roman" w:cs="Times New Roman" w:ascii="Times New Roman" w:hAnsi="Times New Roman"/>
          <w:sz w:val="28"/>
          <w:szCs w:val="20"/>
          <w:lang w:eastAsia="ru-RU"/>
        </w:rPr>
        <w:t>На основании требований Постановления Правительства РФ от 10.07.2018 № 800 «О проведении рекультивации и консервации земель» необходимо провести мероприятия по рекультивации на территории карьера по добыче полезных ископаемых после завершения его эксплуатации.</w:t>
      </w:r>
    </w:p>
    <w:p>
      <w:pPr>
        <w:pStyle w:val="Normal"/>
        <w:widowControl w:val="false"/>
        <w:suppressAutoHyphens w:val="true"/>
        <w:spacing w:lineRule="auto" w:line="240" w:before="0" w:after="0"/>
        <w:ind w:firstLine="709"/>
        <w:jc w:val="both"/>
        <w:rPr>
          <w:rFonts w:ascii="Times New Roman" w:hAnsi="Times New Roman" w:cs="Times New Roman"/>
          <w:sz w:val="28"/>
          <w:szCs w:val="28"/>
          <w:lang w:eastAsia="ru-RU"/>
        </w:rPr>
      </w:pPr>
      <w:r>
        <w:rPr>
          <w:rFonts w:cs="Times New Roman" w:ascii="Times New Roman" w:hAnsi="Times New Roman"/>
          <w:sz w:val="28"/>
          <w:szCs w:val="28"/>
          <w:lang w:eastAsia="ru-RU"/>
        </w:rPr>
        <w:t xml:space="preserve">После завершения строительства и реконструкции дорог необходимо обеспечить рекультивацию земель, временно используемых для размещения применяемых при строительстве оборудования, материалов, подъездных путей. </w:t>
      </w:r>
    </w:p>
    <w:p>
      <w:pPr>
        <w:pStyle w:val="Normal"/>
        <w:spacing w:lineRule="auto" w:line="240" w:before="0" w:after="0"/>
        <w:ind w:firstLine="709"/>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Во избежание роста овражно-балочной сети, необходимо провести озеленение оврагов, в особенности тех, которые могут способствовать уменьшению площади используемых сельскохозяйственных земель и тех, которые расположены в границах населенных пунктов.</w:t>
      </w:r>
    </w:p>
    <w:p>
      <w:pPr>
        <w:sectPr>
          <w:footerReference w:type="even" r:id="rId67"/>
          <w:footerReference w:type="default" r:id="rId68"/>
          <w:footerReference w:type="first" r:id="rId69"/>
          <w:footnotePr>
            <w:numFmt w:val="decimal"/>
          </w:footnotePr>
          <w:type w:val="nextPage"/>
          <w:pgSz w:orient="landscape" w:w="16838" w:h="11906"/>
          <w:pgMar w:left="1134" w:right="851" w:gutter="0" w:header="0" w:top="851" w:footer="709" w:bottom="851"/>
          <w:pgNumType w:fmt="decimal"/>
          <w:formProt w:val="false"/>
          <w:textDirection w:val="lrTb"/>
          <w:docGrid w:type="default" w:linePitch="360" w:charSpace="0"/>
        </w:sectPr>
        <w:pStyle w:val="Normal"/>
        <w:widowControl w:val="false"/>
        <w:suppressAutoHyphens w:val="true"/>
        <w:spacing w:lineRule="auto" w:line="240" w:before="0" w:after="0"/>
        <w:ind w:firstLine="709"/>
        <w:jc w:val="both"/>
        <w:rPr/>
      </w:pPr>
      <w:r>
        <w:rPr/>
      </w:r>
    </w:p>
    <w:p>
      <w:pPr>
        <w:pStyle w:val="Normal"/>
        <w:ind w:left="375" w:firstLine="709"/>
        <w:jc w:val="right"/>
        <w:rPr>
          <w:rFonts w:ascii="Times New Roman" w:hAnsi="Times New Roman" w:cs="Times New Roman"/>
          <w:sz w:val="28"/>
          <w:szCs w:val="28"/>
        </w:rPr>
      </w:pPr>
      <w:r>
        <w:rPr>
          <w:rFonts w:cs="Times New Roman" w:ascii="Times New Roman" w:hAnsi="Times New Roman"/>
          <w:sz w:val="28"/>
          <w:szCs w:val="28"/>
        </w:rPr>
        <w:t>Таблица 7.3.1</w:t>
      </w:r>
    </w:p>
    <w:p>
      <w:pPr>
        <w:pStyle w:val="Style79"/>
        <w:rPr/>
      </w:pPr>
      <w:r>
        <w:rPr/>
        <w:t>Перечень мероприятий по охране земельных ресурсов</w:t>
      </w:r>
    </w:p>
    <w:p>
      <w:pPr>
        <w:pStyle w:val="Style79"/>
        <w:rPr>
          <w:b w:val="false"/>
        </w:rPr>
      </w:pPr>
      <w:r>
        <w:rPr>
          <w:b w:val="false"/>
        </w:rPr>
      </w:r>
    </w:p>
    <w:tbl>
      <w:tblPr>
        <w:tblW w:w="5000" w:type="pct"/>
        <w:jc w:val="center"/>
        <w:tblInd w:w="0" w:type="dxa"/>
        <w:tblLayout w:type="fixed"/>
        <w:tblCellMar>
          <w:top w:w="0" w:type="dxa"/>
          <w:left w:w="108" w:type="dxa"/>
          <w:bottom w:w="0" w:type="dxa"/>
          <w:right w:w="108" w:type="dxa"/>
        </w:tblCellMar>
        <w:tblLook w:noVBand="0" w:val="0000" w:noHBand="0" w:lastColumn="0" w:firstColumn="0" w:lastRow="0" w:firstRow="0"/>
      </w:tblPr>
      <w:tblGrid>
        <w:gridCol w:w="586"/>
        <w:gridCol w:w="2940"/>
        <w:gridCol w:w="5525"/>
        <w:gridCol w:w="1096"/>
        <w:gridCol w:w="1455"/>
        <w:gridCol w:w="3250"/>
      </w:tblGrid>
      <w:tr>
        <w:trPr>
          <w:tblHeader w:val="true"/>
          <w:trHeight w:val="20" w:hRule="atLeast"/>
          <w:cantSplit w:val="true"/>
        </w:trPr>
        <w:tc>
          <w:tcPr>
            <w:tcW w:w="58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п/п</w:t>
            </w:r>
          </w:p>
        </w:tc>
        <w:tc>
          <w:tcPr>
            <w:tcW w:w="294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4"/>
                <w:szCs w:val="24"/>
              </w:rPr>
            </w:pPr>
            <w:r>
              <w:rPr>
                <w:rFonts w:cs="Times New Roman" w:ascii="Times New Roman" w:hAnsi="Times New Roman"/>
                <w:sz w:val="24"/>
                <w:szCs w:val="24"/>
              </w:rPr>
              <w:t>Наименование объекта</w:t>
            </w:r>
          </w:p>
        </w:tc>
        <w:tc>
          <w:tcPr>
            <w:tcW w:w="552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4"/>
                <w:szCs w:val="24"/>
              </w:rPr>
            </w:pPr>
            <w:r>
              <w:rPr>
                <w:rFonts w:cs="Times New Roman" w:ascii="Times New Roman" w:hAnsi="Times New Roman"/>
                <w:sz w:val="24"/>
                <w:szCs w:val="24"/>
              </w:rPr>
              <w:t>Вид мероприятия</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4"/>
                <w:szCs w:val="24"/>
              </w:rPr>
            </w:pPr>
            <w:r>
              <w:rPr>
                <w:rFonts w:cs="Times New Roman" w:ascii="Times New Roman" w:hAnsi="Times New Roman"/>
                <w:sz w:val="24"/>
                <w:szCs w:val="24"/>
              </w:rPr>
              <w:t>Сроки реализации</w:t>
            </w:r>
          </w:p>
        </w:tc>
        <w:tc>
          <w:tcPr>
            <w:tcW w:w="325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4"/>
                <w:szCs w:val="24"/>
              </w:rPr>
            </w:pPr>
            <w:r>
              <w:rPr>
                <w:rFonts w:cs="Times New Roman" w:ascii="Times New Roman" w:hAnsi="Times New Roman"/>
                <w:sz w:val="24"/>
                <w:szCs w:val="24"/>
              </w:rPr>
              <w:t>Источник мероприятия (наименование документа)</w:t>
            </w:r>
          </w:p>
        </w:tc>
      </w:tr>
      <w:tr>
        <w:trPr>
          <w:tblHeader w:val="true"/>
          <w:trHeight w:val="70" w:hRule="atLeast"/>
          <w:cantSplit w:val="true"/>
        </w:trPr>
        <w:tc>
          <w:tcPr>
            <w:tcW w:w="58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4"/>
                <w:szCs w:val="24"/>
              </w:rPr>
            </w:pPr>
            <w:r>
              <w:rPr>
                <w:rFonts w:cs="Times New Roman" w:ascii="Times New Roman" w:hAnsi="Times New Roman"/>
                <w:sz w:val="24"/>
                <w:szCs w:val="24"/>
              </w:rPr>
            </w:r>
          </w:p>
        </w:tc>
        <w:tc>
          <w:tcPr>
            <w:tcW w:w="29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4"/>
                <w:szCs w:val="24"/>
              </w:rPr>
            </w:pPr>
            <w:r>
              <w:rPr>
                <w:rFonts w:cs="Times New Roman" w:ascii="Times New Roman" w:hAnsi="Times New Roman"/>
                <w:sz w:val="24"/>
                <w:szCs w:val="24"/>
              </w:rPr>
            </w:r>
          </w:p>
        </w:tc>
        <w:tc>
          <w:tcPr>
            <w:tcW w:w="55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4"/>
                <w:szCs w:val="24"/>
              </w:rPr>
            </w:pPr>
            <w:r>
              <w:rPr>
                <w:rFonts w:cs="Times New Roman" w:ascii="Times New Roman" w:hAnsi="Times New Roman"/>
                <w:sz w:val="24"/>
                <w:szCs w:val="24"/>
              </w:rPr>
            </w:r>
          </w:p>
        </w:tc>
        <w:tc>
          <w:tcPr>
            <w:tcW w:w="10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4"/>
                <w:szCs w:val="24"/>
              </w:rPr>
            </w:pPr>
            <w:r>
              <w:rPr>
                <w:rFonts w:cs="Times New Roman" w:ascii="Times New Roman" w:hAnsi="Times New Roman"/>
                <w:sz w:val="24"/>
                <w:szCs w:val="24"/>
              </w:rPr>
              <w:t>Первая очередь</w:t>
            </w:r>
          </w:p>
        </w:tc>
        <w:tc>
          <w:tcPr>
            <w:tcW w:w="1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4"/>
                <w:szCs w:val="24"/>
              </w:rPr>
            </w:pPr>
            <w:r>
              <w:rPr>
                <w:rFonts w:cs="Times New Roman" w:ascii="Times New Roman" w:hAnsi="Times New Roman"/>
                <w:sz w:val="24"/>
                <w:szCs w:val="24"/>
              </w:rPr>
              <w:t>Расчетный период</w:t>
            </w:r>
          </w:p>
        </w:tc>
        <w:tc>
          <w:tcPr>
            <w:tcW w:w="325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4"/>
                <w:szCs w:val="24"/>
              </w:rPr>
            </w:pPr>
            <w:r>
              <w:rPr>
                <w:rFonts w:cs="Times New Roman" w:ascii="Times New Roman" w:hAnsi="Times New Roman"/>
                <w:sz w:val="24"/>
                <w:szCs w:val="24"/>
              </w:rPr>
            </w:r>
          </w:p>
        </w:tc>
      </w:tr>
      <w:tr>
        <w:trPr>
          <w:trHeight w:val="20" w:hRule="atLeast"/>
        </w:trPr>
        <w:tc>
          <w:tcPr>
            <w:tcW w:w="5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2940"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ind w:hanging="0"/>
              <w:jc w:val="center"/>
              <w:rPr>
                <w:sz w:val="24"/>
                <w:szCs w:val="24"/>
              </w:rPr>
            </w:pPr>
            <w:r>
              <w:rPr>
                <w:sz w:val="24"/>
                <w:szCs w:val="24"/>
              </w:rPr>
              <w:t>Биотермическая яма</w:t>
            </w:r>
          </w:p>
          <w:p>
            <w:pPr>
              <w:pStyle w:val="Style38"/>
              <w:widowControl w:val="false"/>
              <w:suppressAutoHyphens w:val="true"/>
              <w:ind w:hanging="0"/>
              <w:jc w:val="center"/>
              <w:rPr>
                <w:sz w:val="24"/>
                <w:szCs w:val="24"/>
              </w:rPr>
            </w:pPr>
            <w:r>
              <w:rPr>
                <w:sz w:val="24"/>
                <w:szCs w:val="24"/>
              </w:rPr>
              <w:t>(вне границы территории)</w:t>
            </w:r>
          </w:p>
        </w:tc>
        <w:tc>
          <w:tcPr>
            <w:tcW w:w="55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Микробиологический мониторинг его СЗЗ. Установление СЗЗ.</w:t>
            </w:r>
          </w:p>
        </w:tc>
        <w:tc>
          <w:tcPr>
            <w:tcW w:w="10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1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4"/>
                <w:szCs w:val="24"/>
              </w:rPr>
            </w:pPr>
            <w:r>
              <w:rPr>
                <w:rFonts w:cs="Times New Roman" w:ascii="Times New Roman" w:hAnsi="Times New Roman"/>
                <w:sz w:val="24"/>
                <w:szCs w:val="24"/>
              </w:rPr>
            </w:r>
          </w:p>
        </w:tc>
        <w:tc>
          <w:tcPr>
            <w:tcW w:w="3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4"/>
                <w:szCs w:val="24"/>
              </w:rPr>
            </w:pPr>
            <w:r>
              <w:rPr>
                <w:rFonts w:cs="Times New Roman" w:ascii="Times New Roman" w:hAnsi="Times New Roman"/>
                <w:sz w:val="24"/>
                <w:szCs w:val="24"/>
              </w:rPr>
              <w:t>Правила установления санитарно-защитных зон, утв. Постановлением РФ от 03.03.2018 №222</w:t>
            </w:r>
          </w:p>
        </w:tc>
      </w:tr>
      <w:tr>
        <w:trPr>
          <w:trHeight w:val="20" w:hRule="atLeast"/>
        </w:trPr>
        <w:tc>
          <w:tcPr>
            <w:tcW w:w="5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2940"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ind w:hanging="0"/>
              <w:jc w:val="center"/>
              <w:rPr>
                <w:sz w:val="24"/>
                <w:szCs w:val="24"/>
              </w:rPr>
            </w:pPr>
            <w:r>
              <w:rPr>
                <w:sz w:val="24"/>
                <w:szCs w:val="24"/>
              </w:rPr>
              <w:t>ООО «Матюшинский карьер»</w:t>
            </w:r>
          </w:p>
        </w:tc>
        <w:tc>
          <w:tcPr>
            <w:tcW w:w="55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Организация своевременной рекультивации выработанных пространств карьеров </w:t>
            </w:r>
          </w:p>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нерудных полезных ископаемых</w:t>
            </w:r>
          </w:p>
        </w:tc>
        <w:tc>
          <w:tcPr>
            <w:tcW w:w="10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4"/>
                <w:szCs w:val="24"/>
              </w:rPr>
            </w:pPr>
            <w:r>
              <w:rPr>
                <w:rFonts w:cs="Times New Roman" w:ascii="Times New Roman" w:hAnsi="Times New Roman"/>
                <w:sz w:val="24"/>
                <w:szCs w:val="24"/>
              </w:rPr>
            </w:r>
          </w:p>
        </w:tc>
        <w:tc>
          <w:tcPr>
            <w:tcW w:w="1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3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4"/>
                <w:szCs w:val="24"/>
              </w:rPr>
            </w:pPr>
            <w:r>
              <w:rPr>
                <w:rFonts w:cs="Times New Roman" w:ascii="Times New Roman" w:hAnsi="Times New Roman"/>
                <w:sz w:val="24"/>
                <w:szCs w:val="24"/>
              </w:rPr>
              <w:t>ст. 22 Закон РФ от 21.02.1992 N 2395-1 "О недрах"</w:t>
            </w:r>
          </w:p>
        </w:tc>
      </w:tr>
      <w:tr>
        <w:trPr>
          <w:trHeight w:val="20" w:hRule="atLeast"/>
        </w:trPr>
        <w:tc>
          <w:tcPr>
            <w:tcW w:w="5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2940"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ind w:hanging="0"/>
              <w:jc w:val="center"/>
              <w:rPr>
                <w:sz w:val="24"/>
                <w:szCs w:val="24"/>
              </w:rPr>
            </w:pPr>
            <w:r>
              <w:rPr>
                <w:sz w:val="24"/>
                <w:szCs w:val="24"/>
              </w:rPr>
              <w:t>Строительство федеральной дороги «М12 Казань-Москва»</w:t>
            </w:r>
          </w:p>
        </w:tc>
        <w:tc>
          <w:tcPr>
            <w:tcW w:w="55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4"/>
                <w:szCs w:val="24"/>
              </w:rPr>
            </w:pPr>
            <w:r>
              <w:rPr>
                <w:rFonts w:cs="Times New Roman" w:ascii="Times New Roman" w:hAnsi="Times New Roman"/>
                <w:sz w:val="24"/>
                <w:szCs w:val="24"/>
              </w:rPr>
              <w:t>Обеспечить рекультивацию земель, временно используемых для размещения применяемых при строительстве оборудования, материалов, подъездных путей, территории карьеров и других зон деятельности</w:t>
            </w:r>
          </w:p>
        </w:tc>
        <w:tc>
          <w:tcPr>
            <w:tcW w:w="10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4"/>
                <w:szCs w:val="24"/>
              </w:rPr>
            </w:pPr>
            <w:r>
              <w:rPr>
                <w:rFonts w:cs="Times New Roman" w:ascii="Times New Roman" w:hAnsi="Times New Roman"/>
                <w:sz w:val="24"/>
                <w:szCs w:val="24"/>
              </w:rPr>
            </w:r>
          </w:p>
        </w:tc>
        <w:tc>
          <w:tcPr>
            <w:tcW w:w="1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3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4"/>
                <w:szCs w:val="24"/>
              </w:rPr>
            </w:pPr>
            <w:r>
              <w:rPr>
                <w:rFonts w:cs="Times New Roman" w:ascii="Times New Roman" w:hAnsi="Times New Roman"/>
                <w:sz w:val="24"/>
                <w:szCs w:val="24"/>
              </w:rPr>
              <w:t>ГОСТ Р 59205-2021. Национальный стандарт Российской Федерации. Дороги автомобильные общего пользования. Охрана окружающей среды. Технические требования" (утв. и введен в действие Приказом Росстандарта от 23.06.2021 N 578-ст)</w:t>
            </w:r>
          </w:p>
        </w:tc>
      </w:tr>
      <w:tr>
        <w:trPr>
          <w:trHeight w:val="20" w:hRule="atLeast"/>
        </w:trPr>
        <w:tc>
          <w:tcPr>
            <w:tcW w:w="5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2940"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ind w:hanging="0"/>
              <w:jc w:val="center"/>
              <w:rPr>
                <w:sz w:val="24"/>
                <w:szCs w:val="24"/>
              </w:rPr>
            </w:pPr>
            <w:r>
              <w:rPr>
                <w:sz w:val="24"/>
                <w:szCs w:val="24"/>
              </w:rPr>
              <w:t xml:space="preserve">Иные зоны населенных пунктов в границах санитарно-защитных зон скотомогильников и кладбищ </w:t>
            </w:r>
          </w:p>
        </w:tc>
        <w:tc>
          <w:tcPr>
            <w:tcW w:w="55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4"/>
                <w:szCs w:val="24"/>
              </w:rPr>
            </w:pPr>
            <w:r>
              <w:rPr>
                <w:rFonts w:cs="Times New Roman" w:ascii="Times New Roman" w:hAnsi="Times New Roman"/>
                <w:sz w:val="24"/>
                <w:szCs w:val="24"/>
              </w:rPr>
              <w:t>Озеленение специального назначения (естественная растительность)</w:t>
            </w:r>
          </w:p>
        </w:tc>
        <w:tc>
          <w:tcPr>
            <w:tcW w:w="10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1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4"/>
                <w:szCs w:val="24"/>
              </w:rPr>
            </w:pPr>
            <w:r>
              <w:rPr>
                <w:rFonts w:cs="Times New Roman" w:ascii="Times New Roman" w:hAnsi="Times New Roman"/>
                <w:sz w:val="24"/>
                <w:szCs w:val="24"/>
              </w:rPr>
            </w:r>
          </w:p>
        </w:tc>
        <w:tc>
          <w:tcPr>
            <w:tcW w:w="3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4"/>
                <w:szCs w:val="24"/>
              </w:rPr>
            </w:pPr>
            <w:r>
              <w:rPr>
                <w:rFonts w:cs="Times New Roman" w:ascii="Times New Roman" w:hAnsi="Times New Roman"/>
                <w:sz w:val="24"/>
                <w:szCs w:val="24"/>
              </w:rPr>
              <w:t>Генеральный план Вахитовского с.п.</w:t>
            </w:r>
          </w:p>
        </w:tc>
      </w:tr>
    </w:tbl>
    <w:p>
      <w:pPr>
        <w:sectPr>
          <w:footerReference w:type="default" r:id="rId70"/>
          <w:footerReference w:type="first" r:id="rId71"/>
          <w:footnotePr>
            <w:numFmt w:val="decimal"/>
          </w:footnotePr>
          <w:type w:val="nextPage"/>
          <w:pgSz w:orient="landscape" w:w="16838" w:h="11906"/>
          <w:pgMar w:left="1134" w:right="851" w:gutter="0" w:header="0" w:top="851" w:footer="708" w:bottom="851"/>
          <w:pgNumType w:fmt="decimal"/>
          <w:formProt w:val="false"/>
          <w:textDirection w:val="lrTb"/>
          <w:docGrid w:type="default" w:linePitch="360" w:charSpace="0"/>
        </w:sectPr>
      </w:pPr>
    </w:p>
    <w:p>
      <w:pPr>
        <w:pStyle w:val="2"/>
        <w:numPr>
          <w:ilvl w:val="1"/>
          <w:numId w:val="49"/>
        </w:numPr>
        <w:spacing w:lineRule="auto" w:line="240" w:before="0" w:after="0"/>
        <w:ind w:left="0" w:firstLine="709"/>
        <w:jc w:val="center"/>
        <w:rPr>
          <w:rFonts w:ascii="Times New Roman" w:hAnsi="Times New Roman" w:cs="Times New Roman"/>
          <w:b/>
          <w:color w:val="auto"/>
          <w:sz w:val="28"/>
          <w:szCs w:val="28"/>
          <w:lang w:eastAsia="ru-RU"/>
        </w:rPr>
      </w:pPr>
      <w:bookmarkStart w:id="199" w:name="_Toc133908547"/>
      <w:bookmarkStart w:id="200" w:name="_Toc57443794"/>
      <w:bookmarkStart w:id="201" w:name="_Toc147740079"/>
      <w:r>
        <w:rPr>
          <w:rFonts w:cs="Times New Roman" w:ascii="Times New Roman" w:hAnsi="Times New Roman"/>
          <w:b/>
          <w:color w:val="auto"/>
          <w:sz w:val="28"/>
          <w:szCs w:val="28"/>
          <w:lang w:eastAsia="ru-RU"/>
        </w:rPr>
        <w:t>Мероприятия по оптимизации системы обращения с отходами производства и потребления</w:t>
      </w:r>
      <w:bookmarkEnd w:id="199"/>
      <w:bookmarkEnd w:id="200"/>
      <w:bookmarkEnd w:id="201"/>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lang w:eastAsia="ru-RU"/>
        </w:rPr>
        <w:t xml:space="preserve">В соответствии со ст. 11 Федерального закона от 24.06.1998 №89-ФЗ «Об отходах производства и потребления», </w:t>
      </w:r>
      <w:r>
        <w:rPr>
          <w:rFonts w:cs="Times New Roman" w:ascii="Times New Roman" w:hAnsi="Times New Roman"/>
          <w:sz w:val="28"/>
          <w:szCs w:val="28"/>
        </w:rPr>
        <w:t>юридические лица и индивидуальные предприниматели при эксплуатации зданий, сооружений и иных объектов, связанной с обращением с отходами, обязаны внедрять малоотходные технологии на основе новейших научно-технических достижений, а также внедрять наилучшие доступные технологии, соблюдать требования по предупреждению аварий, связанных с обращением с отходами, и принимать неотложные меры по их ликвидации.</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center"/>
        <w:rPr>
          <w:rFonts w:ascii="Times New Roman" w:hAnsi="Times New Roman" w:cs="Times New Roman"/>
          <w:b/>
          <w:sz w:val="28"/>
          <w:szCs w:val="28"/>
        </w:rPr>
      </w:pPr>
      <w:r>
        <w:rPr>
          <w:rFonts w:cs="Times New Roman" w:ascii="Times New Roman" w:hAnsi="Times New Roman"/>
          <w:b/>
          <w:sz w:val="28"/>
          <w:szCs w:val="28"/>
        </w:rPr>
        <w:t>Отходы потребления</w:t>
      </w:r>
    </w:p>
    <w:p>
      <w:pPr>
        <w:pStyle w:val="Style91"/>
        <w:numPr>
          <w:ilvl w:val="0"/>
          <w:numId w:val="0"/>
        </w:numPr>
        <w:ind w:left="0" w:firstLine="709"/>
        <w:rPr>
          <w:rFonts w:eastAsia="Calibri" w:eastAsiaTheme="minorHAnsi"/>
          <w:szCs w:val="28"/>
          <w:lang w:eastAsia="en-US"/>
        </w:rPr>
      </w:pPr>
      <w:r>
        <w:rPr>
          <w:rFonts w:eastAsia="Calibri" w:eastAsiaTheme="minorHAnsi"/>
          <w:szCs w:val="28"/>
          <w:lang w:eastAsia="en-US"/>
        </w:rPr>
        <w:t xml:space="preserve">Устройство и порядок содержания контейнерных площадок в поселении должны соответствовать требованиям СанПиН 2.1.3684-21. </w:t>
      </w:r>
    </w:p>
    <w:p>
      <w:pPr>
        <w:pStyle w:val="Normal"/>
        <w:widowControl w:val="false"/>
        <w:spacing w:lineRule="auto" w:line="240" w:before="0" w:after="0"/>
        <w:ind w:firstLine="567"/>
        <w:contextualSpacing/>
        <w:jc w:val="both"/>
        <w:rPr>
          <w:rFonts w:ascii="Times New Roman" w:hAnsi="Times New Roman" w:cs="Times New Roman"/>
          <w:sz w:val="28"/>
          <w:szCs w:val="28"/>
        </w:rPr>
      </w:pPr>
      <w:r>
        <w:rPr>
          <w:rFonts w:cs="Times New Roman" w:ascii="Times New Roman" w:hAnsi="Times New Roman"/>
          <w:sz w:val="28"/>
          <w:szCs w:val="28"/>
        </w:rPr>
        <w:t>Расстояние от контейнерных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сельских населенных пунктах - не менее 15 метров.</w:t>
      </w:r>
    </w:p>
    <w:p>
      <w:pPr>
        <w:pStyle w:val="Normal"/>
        <w:widowControl w:val="false"/>
        <w:spacing w:lineRule="auto" w:line="240" w:before="0" w:after="0"/>
        <w:ind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Допускается уменьшение не более чем на 25% указанных выше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 изложенным в приложении № 1 СанПин 2.1.3684-21. Уменьшение расстояний от контейнерных площадок напрямую связано с увеличением кратности проведения санитарно-противоэпидемических мероприятий. </w:t>
      </w:r>
    </w:p>
    <w:p>
      <w:pPr>
        <w:pStyle w:val="Style91"/>
        <w:numPr>
          <w:ilvl w:val="0"/>
          <w:numId w:val="0"/>
        </w:numPr>
        <w:spacing w:before="0" w:after="0"/>
        <w:ind w:left="0" w:firstLine="709"/>
        <w:contextualSpacing/>
        <w:rPr>
          <w:rFonts w:eastAsia="Calibri" w:eastAsiaTheme="minorHAnsi"/>
          <w:szCs w:val="28"/>
          <w:lang w:eastAsia="en-US"/>
        </w:rPr>
      </w:pPr>
      <w:r>
        <w:rPr>
          <w:rFonts w:eastAsia="Calibri" w:eastAsiaTheme="minorHAnsi"/>
          <w:szCs w:val="28"/>
          <w:lang w:eastAsia="en-US"/>
        </w:rPr>
        <w:t>В поселении необходимо организовать селективный сбор отходов. Так же необходимо организовать сбор у населения ртутьсодержащих отходов (в том числе энергосберегающих ламп). Со стороны жителей требуется соблюдение правил накопления отходов.</w:t>
      </w:r>
    </w:p>
    <w:p>
      <w:pPr>
        <w:pStyle w:val="Normal"/>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Следует проводить регулярную очистку территории, особенно водо-охранных зон и прибрежных защитных полос от отходов потребления, не допускать последующее их замусоривание; организовывать массовые субботники, реализовывать мероприятия в сфере экологического просвещения населения.</w:t>
      </w:r>
    </w:p>
    <w:p>
      <w:pPr>
        <w:pStyle w:val="Style91"/>
        <w:numPr>
          <w:ilvl w:val="0"/>
          <w:numId w:val="0"/>
        </w:numPr>
        <w:ind w:left="0" w:hanging="0"/>
        <w:jc w:val="center"/>
        <w:rPr>
          <w:b/>
          <w:szCs w:val="28"/>
        </w:rPr>
      </w:pPr>
      <w:r>
        <w:rPr>
          <w:b/>
          <w:szCs w:val="28"/>
        </w:rPr>
      </w:r>
    </w:p>
    <w:p>
      <w:pPr>
        <w:pStyle w:val="Style91"/>
        <w:numPr>
          <w:ilvl w:val="0"/>
          <w:numId w:val="0"/>
        </w:numPr>
        <w:ind w:left="0" w:hanging="0"/>
        <w:jc w:val="center"/>
        <w:rPr>
          <w:b/>
          <w:szCs w:val="28"/>
        </w:rPr>
      </w:pPr>
      <w:r>
        <w:rPr>
          <w:b/>
          <w:szCs w:val="28"/>
        </w:rPr>
        <w:t>Отходы производства и строительства</w:t>
      </w:r>
    </w:p>
    <w:p>
      <w:pPr>
        <w:pStyle w:val="Style91"/>
        <w:numPr>
          <w:ilvl w:val="0"/>
          <w:numId w:val="0"/>
        </w:numPr>
        <w:ind w:left="0" w:firstLine="709"/>
        <w:rPr>
          <w:szCs w:val="28"/>
        </w:rPr>
      </w:pPr>
      <w:r>
        <w:rPr>
          <w:szCs w:val="28"/>
        </w:rPr>
        <w:t>Обращение с отходами производства должно осуществляться в соответствии СанПиН 2.1.3684-21.</w:t>
      </w:r>
    </w:p>
    <w:p>
      <w:pPr>
        <w:pStyle w:val="Style91"/>
        <w:numPr>
          <w:ilvl w:val="0"/>
          <w:numId w:val="0"/>
        </w:numPr>
        <w:ind w:left="0" w:firstLine="709"/>
        <w:rPr>
          <w:szCs w:val="28"/>
        </w:rPr>
      </w:pPr>
      <w:r>
        <w:rPr>
          <w:szCs w:val="28"/>
        </w:rPr>
        <w:t xml:space="preserve">Накопление отходов допускается только в специально оборудованных местах накопления отходов, на площадках с твердым покрытием, при наличии ливневой канализации. </w:t>
      </w:r>
    </w:p>
    <w:p>
      <w:pPr>
        <w:pStyle w:val="Normal"/>
        <w:spacing w:lineRule="auto" w:line="240" w:before="0" w:after="0"/>
        <w:ind w:firstLine="709"/>
        <w:jc w:val="both"/>
        <w:rPr>
          <w:rFonts w:ascii="Times New Roman" w:hAnsi="Times New Roman" w:cs="Times New Roman"/>
          <w:sz w:val="28"/>
          <w:szCs w:val="28"/>
          <w:lang w:eastAsia="ru-RU"/>
        </w:rPr>
      </w:pPr>
      <w:r>
        <w:rPr>
          <w:rFonts w:cs="Times New Roman" w:ascii="Times New Roman" w:hAnsi="Times New Roman"/>
          <w:sz w:val="28"/>
          <w:szCs w:val="28"/>
          <w:lang w:eastAsia="ru-RU"/>
        </w:rPr>
        <w:t>Во время строительства и реконструкции автомобильных дорог необходимо организовать специально оборудованные в границах полосы отвода места временного хранения строительных материалов, отходов строительства, обеспечить уборку бытового мусора. Для предотвращения загрязнения прилегающих к местам работ территорий необходимо обваловывать места хранения сыпучих строительных материалов.</w:t>
      </w:r>
    </w:p>
    <w:p>
      <w:pPr>
        <w:sectPr>
          <w:footerReference w:type="default" r:id="rId72"/>
          <w:footerReference w:type="first" r:id="rId73"/>
          <w:footnotePr>
            <w:numFmt w:val="decimal"/>
          </w:footnotePr>
          <w:type w:val="nextPage"/>
          <w:pgSz w:w="11906" w:h="16838"/>
          <w:pgMar w:left="1134" w:right="851" w:gutter="0" w:header="0" w:top="851" w:footer="709" w:bottom="851"/>
          <w:pgNumType w:fmt="decimal"/>
          <w:formProt w:val="false"/>
          <w:textDirection w:val="lrTb"/>
          <w:docGrid w:type="default" w:linePitch="360" w:charSpace="0"/>
        </w:sectPr>
        <w:pStyle w:val="211"/>
        <w:widowControl w:val="false"/>
        <w:suppressAutoHyphens w:val="true"/>
        <w:spacing w:lineRule="auto" w:line="240"/>
        <w:jc w:val="center"/>
        <w:rPr>
          <w:b/>
          <w:szCs w:val="28"/>
        </w:rPr>
      </w:pPr>
      <w:r>
        <w:rPr>
          <w:b/>
          <w:szCs w:val="28"/>
        </w:rPr>
      </w:r>
    </w:p>
    <w:p>
      <w:pPr>
        <w:pStyle w:val="Normal"/>
        <w:ind w:left="375" w:firstLine="709"/>
        <w:jc w:val="right"/>
        <w:rPr>
          <w:rFonts w:ascii="Times New Roman" w:hAnsi="Times New Roman" w:cs="Times New Roman"/>
          <w:sz w:val="28"/>
          <w:szCs w:val="28"/>
        </w:rPr>
      </w:pPr>
      <w:r>
        <w:rPr>
          <w:rFonts w:cs="Times New Roman" w:ascii="Times New Roman" w:hAnsi="Times New Roman"/>
          <w:sz w:val="28"/>
          <w:szCs w:val="28"/>
        </w:rPr>
        <w:t>Таблица 7.4.1</w:t>
      </w:r>
    </w:p>
    <w:p>
      <w:pPr>
        <w:pStyle w:val="Style79"/>
        <w:rPr/>
      </w:pPr>
      <w:r>
        <w:rPr/>
        <w:t>Перечень мероприятий по оптимизации системы обращения с отходами производства и потребления</w:t>
      </w:r>
    </w:p>
    <w:tbl>
      <w:tblPr>
        <w:tblW w:w="5000" w:type="pct"/>
        <w:jc w:val="center"/>
        <w:tblInd w:w="0" w:type="dxa"/>
        <w:tblLayout w:type="fixed"/>
        <w:tblCellMar>
          <w:top w:w="0" w:type="dxa"/>
          <w:left w:w="108" w:type="dxa"/>
          <w:bottom w:w="0" w:type="dxa"/>
          <w:right w:w="108" w:type="dxa"/>
        </w:tblCellMar>
        <w:tblLook w:noVBand="0" w:val="0000" w:noHBand="0" w:lastColumn="0" w:firstColumn="0" w:lastRow="0" w:firstRow="0"/>
      </w:tblPr>
      <w:tblGrid>
        <w:gridCol w:w="586"/>
        <w:gridCol w:w="2635"/>
        <w:gridCol w:w="5429"/>
        <w:gridCol w:w="1302"/>
        <w:gridCol w:w="1457"/>
        <w:gridCol w:w="3443"/>
      </w:tblGrid>
      <w:tr>
        <w:trPr>
          <w:tblHeader w:val="true"/>
          <w:trHeight w:val="20" w:hRule="atLeast"/>
        </w:trPr>
        <w:tc>
          <w:tcPr>
            <w:tcW w:w="58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п/п</w:t>
            </w:r>
          </w:p>
        </w:tc>
        <w:tc>
          <w:tcPr>
            <w:tcW w:w="263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Наименование объекта</w:t>
            </w:r>
          </w:p>
        </w:tc>
        <w:tc>
          <w:tcPr>
            <w:tcW w:w="542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Вид мероприятия</w:t>
            </w:r>
          </w:p>
        </w:tc>
        <w:tc>
          <w:tcPr>
            <w:tcW w:w="275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Сроки реализации</w:t>
            </w:r>
          </w:p>
        </w:tc>
        <w:tc>
          <w:tcPr>
            <w:tcW w:w="344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Источник мероприятия (наименование документа)</w:t>
            </w:r>
          </w:p>
        </w:tc>
      </w:tr>
      <w:tr>
        <w:trPr>
          <w:tblHeader w:val="true"/>
          <w:trHeight w:val="70" w:hRule="atLeast"/>
        </w:trPr>
        <w:tc>
          <w:tcPr>
            <w:tcW w:w="58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r>
          </w:p>
        </w:tc>
        <w:tc>
          <w:tcPr>
            <w:tcW w:w="263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r>
          </w:p>
        </w:tc>
        <w:tc>
          <w:tcPr>
            <w:tcW w:w="542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r>
          </w:p>
        </w:tc>
        <w:tc>
          <w:tcPr>
            <w:tcW w:w="13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Первая очередь</w:t>
            </w:r>
          </w:p>
        </w:tc>
        <w:tc>
          <w:tcPr>
            <w:tcW w:w="1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Расчетный период</w:t>
            </w:r>
          </w:p>
        </w:tc>
        <w:tc>
          <w:tcPr>
            <w:tcW w:w="34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r>
          </w:p>
        </w:tc>
      </w:tr>
      <w:tr>
        <w:trPr>
          <w:trHeight w:val="70" w:hRule="atLeast"/>
        </w:trPr>
        <w:tc>
          <w:tcPr>
            <w:tcW w:w="5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1</w:t>
            </w:r>
          </w:p>
        </w:tc>
        <w:tc>
          <w:tcPr>
            <w:tcW w:w="26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4"/>
              <w:jc w:val="center"/>
              <w:rPr>
                <w:rFonts w:ascii="Times New Roman" w:hAnsi="Times New Roman" w:cs="Times New Roman"/>
                <w:sz w:val="24"/>
                <w:szCs w:val="24"/>
              </w:rPr>
            </w:pPr>
            <w:r>
              <w:rPr>
                <w:rFonts w:cs="Times New Roman" w:ascii="Times New Roman" w:hAnsi="Times New Roman"/>
                <w:sz w:val="24"/>
                <w:szCs w:val="24"/>
              </w:rPr>
              <w:t>Территория поселения</w:t>
            </w:r>
          </w:p>
        </w:tc>
        <w:tc>
          <w:tcPr>
            <w:tcW w:w="54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Проведение регулярной очистки от отходов в соответствии с экологическими, санитарными и иными требованиями</w:t>
            </w:r>
          </w:p>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Установить контейнерные площадки для сбора ТКО, в т.ч. раздельного сбора ТКО</w:t>
            </w:r>
          </w:p>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Организовать пункт приёма утильсырья (вторичных материальных ресурсов)</w:t>
            </w:r>
          </w:p>
        </w:tc>
        <w:tc>
          <w:tcPr>
            <w:tcW w:w="13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w:t>
            </w:r>
          </w:p>
        </w:tc>
        <w:tc>
          <w:tcPr>
            <w:tcW w:w="1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r>
          </w:p>
        </w:tc>
        <w:tc>
          <w:tcPr>
            <w:tcW w:w="34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Ст. 13 ФЗ от 24.06.1998 №89-ФЗ «Об отходах производства и потребления»</w:t>
            </w:r>
          </w:p>
        </w:tc>
      </w:tr>
      <w:tr>
        <w:trPr>
          <w:trHeight w:val="70" w:hRule="atLeast"/>
        </w:trPr>
        <w:tc>
          <w:tcPr>
            <w:tcW w:w="5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2</w:t>
            </w:r>
          </w:p>
        </w:tc>
        <w:tc>
          <w:tcPr>
            <w:tcW w:w="26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imes New Roman" w:hAnsi="Times New Roman" w:cs="Times New Roman"/>
                <w:sz w:val="24"/>
                <w:szCs w:val="24"/>
              </w:rPr>
            </w:pPr>
            <w:r>
              <w:rPr>
                <w:rFonts w:cs="Times New Roman" w:ascii="Times New Roman" w:hAnsi="Times New Roman"/>
                <w:sz w:val="24"/>
                <w:szCs w:val="24"/>
              </w:rPr>
              <w:t>Площадка перспективного развития АПК до V класса опасности (з/у с КН 16:15:030701:402)</w:t>
            </w:r>
          </w:p>
          <w:p>
            <w:pPr>
              <w:pStyle w:val="Normal"/>
              <w:widowControl w:val="false"/>
              <w:jc w:val="center"/>
              <w:rPr>
                <w:rFonts w:ascii="Times New Roman" w:hAnsi="Times New Roman" w:cs="Times New Roman"/>
                <w:sz w:val="24"/>
                <w:szCs w:val="24"/>
              </w:rPr>
            </w:pPr>
            <w:r>
              <w:rPr>
                <w:rFonts w:cs="Times New Roman" w:ascii="Times New Roman" w:hAnsi="Times New Roman"/>
                <w:sz w:val="24"/>
                <w:szCs w:val="24"/>
              </w:rPr>
              <w:t>Площадка перспективного развития АПК до V класса опасности (з/у с КН 16:15:030701:402)</w:t>
            </w:r>
          </w:p>
        </w:tc>
        <w:tc>
          <w:tcPr>
            <w:tcW w:w="54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Накопление отходов осуществлять на площадках, имеющих твердое покрытие и оборудованных ливневой канализацией.</w:t>
            </w:r>
          </w:p>
        </w:tc>
        <w:tc>
          <w:tcPr>
            <w:tcW w:w="13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w:t>
            </w:r>
          </w:p>
        </w:tc>
        <w:tc>
          <w:tcPr>
            <w:tcW w:w="1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r>
          </w:p>
        </w:tc>
        <w:tc>
          <w:tcPr>
            <w:tcW w:w="34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СанПиН 2.1.3684-21</w:t>
            </w:r>
          </w:p>
        </w:tc>
      </w:tr>
      <w:tr>
        <w:trPr>
          <w:trHeight w:val="70" w:hRule="atLeast"/>
        </w:trPr>
        <w:tc>
          <w:tcPr>
            <w:tcW w:w="5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3</w:t>
            </w:r>
          </w:p>
        </w:tc>
        <w:tc>
          <w:tcPr>
            <w:tcW w:w="26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Территории производственных объектов</w:t>
            </w:r>
          </w:p>
        </w:tc>
        <w:tc>
          <w:tcPr>
            <w:tcW w:w="54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Накопление отходов осуществлять на площадках, имеющих твердое покрытие и оборудованных ливневой канализацией.</w:t>
            </w:r>
          </w:p>
        </w:tc>
        <w:tc>
          <w:tcPr>
            <w:tcW w:w="13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w:t>
            </w:r>
          </w:p>
        </w:tc>
        <w:tc>
          <w:tcPr>
            <w:tcW w:w="1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r>
          </w:p>
        </w:tc>
        <w:tc>
          <w:tcPr>
            <w:tcW w:w="34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СанПиН 2.1.3684-21</w:t>
            </w:r>
          </w:p>
        </w:tc>
      </w:tr>
      <w:tr>
        <w:trPr>
          <w:trHeight w:val="70" w:hRule="atLeast"/>
        </w:trPr>
        <w:tc>
          <w:tcPr>
            <w:tcW w:w="5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4</w:t>
            </w:r>
          </w:p>
        </w:tc>
        <w:tc>
          <w:tcPr>
            <w:tcW w:w="26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Объекты с/х производства</w:t>
            </w:r>
          </w:p>
        </w:tc>
        <w:tc>
          <w:tcPr>
            <w:tcW w:w="54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Обустройство водонепроницаемых площадок с твердым покрытием для накопления твердой фракции навоза (помета).</w:t>
            </w:r>
          </w:p>
        </w:tc>
        <w:tc>
          <w:tcPr>
            <w:tcW w:w="13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w:t>
            </w:r>
          </w:p>
        </w:tc>
        <w:tc>
          <w:tcPr>
            <w:tcW w:w="1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r>
          </w:p>
        </w:tc>
        <w:tc>
          <w:tcPr>
            <w:tcW w:w="344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СанПиН 2.1.3684-21</w:t>
            </w:r>
          </w:p>
        </w:tc>
      </w:tr>
      <w:tr>
        <w:trPr>
          <w:trHeight w:val="20" w:hRule="atLeast"/>
        </w:trPr>
        <w:tc>
          <w:tcPr>
            <w:tcW w:w="5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5</w:t>
            </w:r>
          </w:p>
        </w:tc>
        <w:tc>
          <w:tcPr>
            <w:tcW w:w="2635"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ind w:firstLine="142"/>
              <w:jc w:val="center"/>
              <w:rPr>
                <w:sz w:val="24"/>
                <w:szCs w:val="24"/>
              </w:rPr>
            </w:pPr>
            <w:r>
              <w:rPr>
                <w:sz w:val="24"/>
                <w:szCs w:val="24"/>
              </w:rPr>
              <w:t>Планируемое строительство и реконструкция автомобильной</w:t>
            </w:r>
          </w:p>
        </w:tc>
        <w:tc>
          <w:tcPr>
            <w:tcW w:w="542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firstLine="142"/>
              <w:jc w:val="center"/>
              <w:rPr>
                <w:rFonts w:ascii="Times New Roman" w:hAnsi="Times New Roman" w:cs="Times New Roman"/>
                <w:sz w:val="24"/>
                <w:szCs w:val="24"/>
              </w:rPr>
            </w:pPr>
            <w:r>
              <w:rPr>
                <w:rFonts w:cs="Times New Roman" w:ascii="Times New Roman" w:hAnsi="Times New Roman"/>
                <w:sz w:val="24"/>
                <w:szCs w:val="24"/>
              </w:rPr>
              <w:t>Организовать специально оборудованные в границах полосы отвода места временного хранения отходов строительства, обеспечить уборку бытового мусора.</w:t>
            </w:r>
          </w:p>
        </w:tc>
        <w:tc>
          <w:tcPr>
            <w:tcW w:w="13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r>
          </w:p>
        </w:tc>
        <w:tc>
          <w:tcPr>
            <w:tcW w:w="1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firstLine="142"/>
              <w:jc w:val="center"/>
              <w:rPr>
                <w:rFonts w:ascii="Times New Roman" w:hAnsi="Times New Roman" w:cs="Times New Roman"/>
                <w:sz w:val="24"/>
                <w:szCs w:val="24"/>
              </w:rPr>
            </w:pPr>
            <w:r>
              <w:rPr>
                <w:rFonts w:cs="Times New Roman" w:ascii="Times New Roman" w:hAnsi="Times New Roman"/>
                <w:sz w:val="24"/>
                <w:szCs w:val="24"/>
              </w:rPr>
              <w:t>+</w:t>
            </w:r>
          </w:p>
        </w:tc>
        <w:tc>
          <w:tcPr>
            <w:tcW w:w="34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firstLine="142"/>
              <w:jc w:val="center"/>
              <w:rPr>
                <w:rFonts w:ascii="Times New Roman" w:hAnsi="Times New Roman" w:cs="Times New Roman"/>
                <w:sz w:val="24"/>
                <w:szCs w:val="24"/>
              </w:rPr>
            </w:pPr>
            <w:r>
              <w:rPr>
                <w:rFonts w:cs="Times New Roman" w:ascii="Times New Roman" w:hAnsi="Times New Roman"/>
                <w:sz w:val="24"/>
                <w:szCs w:val="24"/>
              </w:rPr>
              <w:t>ОДМ 218.3.031-2013 «Отраслевой дорожный методический документ. Методические рекомендации по охране окружающей среды при строительстве, ремонте и содержании автомобильных дорог»</w:t>
            </w:r>
          </w:p>
          <w:p>
            <w:pPr>
              <w:pStyle w:val="Normal"/>
              <w:widowControl w:val="false"/>
              <w:spacing w:before="0" w:after="0"/>
              <w:ind w:firstLine="142"/>
              <w:jc w:val="center"/>
              <w:rPr>
                <w:rFonts w:ascii="Times New Roman" w:hAnsi="Times New Roman" w:cs="Times New Roman"/>
                <w:sz w:val="24"/>
                <w:szCs w:val="24"/>
              </w:rPr>
            </w:pPr>
            <w:r>
              <w:rPr>
                <w:rFonts w:cs="Times New Roman" w:ascii="Times New Roman" w:hAnsi="Times New Roman"/>
                <w:sz w:val="24"/>
                <w:szCs w:val="24"/>
              </w:rPr>
              <w:t>Генеральный план Сахаровского сельского поселения</w:t>
            </w:r>
          </w:p>
        </w:tc>
      </w:tr>
    </w:tbl>
    <w:p>
      <w:pPr>
        <w:sectPr>
          <w:footerReference w:type="default" r:id="rId74"/>
          <w:footerReference w:type="first" r:id="rId75"/>
          <w:footnotePr>
            <w:numFmt w:val="decimal"/>
          </w:footnotePr>
          <w:type w:val="nextPage"/>
          <w:pgSz w:orient="landscape" w:w="16838" w:h="11906"/>
          <w:pgMar w:left="1134" w:right="851" w:gutter="0" w:header="0" w:top="851" w:footer="708" w:bottom="851"/>
          <w:pgNumType w:fmt="decimal"/>
          <w:formProt w:val="false"/>
          <w:textDirection w:val="lrTb"/>
          <w:docGrid w:type="default" w:linePitch="360" w:charSpace="4294959103"/>
        </w:sectPr>
      </w:pPr>
    </w:p>
    <w:p>
      <w:pPr>
        <w:pStyle w:val="2"/>
        <w:numPr>
          <w:ilvl w:val="1"/>
          <w:numId w:val="49"/>
        </w:numPr>
        <w:spacing w:lineRule="auto" w:line="240" w:before="0" w:after="0"/>
        <w:ind w:left="0" w:firstLine="709"/>
        <w:contextualSpacing/>
        <w:jc w:val="center"/>
        <w:rPr>
          <w:rFonts w:ascii="Times New Roman" w:hAnsi="Times New Roman" w:cs="Times New Roman"/>
          <w:b/>
          <w:color w:val="auto"/>
          <w:sz w:val="28"/>
          <w:szCs w:val="28"/>
          <w:lang w:eastAsia="ru-RU"/>
        </w:rPr>
      </w:pPr>
      <w:bookmarkStart w:id="202" w:name="_Toc57443795"/>
      <w:bookmarkStart w:id="203" w:name="_Toc147740080"/>
      <w:bookmarkStart w:id="204" w:name="_Toc133908548"/>
      <w:r>
        <w:rPr>
          <w:rFonts w:cs="Times New Roman" w:ascii="Times New Roman" w:hAnsi="Times New Roman"/>
          <w:b/>
          <w:color w:val="auto"/>
          <w:sz w:val="28"/>
          <w:szCs w:val="28"/>
          <w:lang w:eastAsia="ru-RU"/>
        </w:rPr>
        <w:t>Мероприятия по защите населения от физических факторов воздействия</w:t>
      </w:r>
      <w:bookmarkEnd w:id="202"/>
      <w:bookmarkEnd w:id="203"/>
      <w:bookmarkEnd w:id="204"/>
    </w:p>
    <w:p>
      <w:pPr>
        <w:pStyle w:val="Normal"/>
        <w:widowControl w:val="false"/>
        <w:suppressAutoHyphens w:val="true"/>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В целях защиты населения от воздействия электромагнитных полей необходимо соблюдать режим охранных зон воздушных линий электропередач, режим ограничения застройки от базовых станций. Также необходимо проведение инвентаризации и комплексного исследования источников электромагнитного излучения, расположенных вблизи существующей жилой застройки.</w:t>
      </w:r>
    </w:p>
    <w:p>
      <w:pPr>
        <w:pStyle w:val="Normal"/>
        <w:widowControl w:val="false"/>
        <w:suppressAutoHyphens w:val="true"/>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Вдоль автомобильных дорог регионального значения при высоких показателях шумовых характеристик, необходимо организовать посадку шумозащитных зеленых насаждений, либо обустроить акустические экраны в виде выемок, насыпей, грунтовых валов, установить звукоизоляционные окна. Шумозащитные мероприятия, являющиеся частью мероприятий по охране окружающей среды, назначаются на последующих стадиях проектирования на основании акустических расчётов, выполняемых в соответствии с положениями, приведёнными в «СП 276.1325800.2016. Свод правил. Здания и территории. Правила проектирования защиты от шума транспортных потоков» и «ОДМ 218.2.013-2011. Отраслевой дорожный методический документ. Методические рекомендации по защите от транспортного шума территорий, прилегающих к автомобильным дорогам».</w:t>
      </w:r>
    </w:p>
    <w:p>
      <w:pPr>
        <w:pStyle w:val="Normal"/>
        <w:suppressAutoHyphens w:val="true"/>
        <w:spacing w:lineRule="auto" w:line="240" w:before="0" w:after="0"/>
        <w:ind w:firstLine="709"/>
        <w:jc w:val="both"/>
        <w:rPr>
          <w:rFonts w:ascii="Times New Roman" w:hAnsi="Times New Roman" w:cs="Times New Roman"/>
          <w:sz w:val="28"/>
          <w:szCs w:val="28"/>
          <w:lang w:val="x-none" w:eastAsia="x-none"/>
        </w:rPr>
      </w:pPr>
      <w:r>
        <w:rPr>
          <w:rFonts w:cs="Times New Roman" w:ascii="Times New Roman" w:hAnsi="Times New Roman"/>
          <w:sz w:val="28"/>
          <w:szCs w:val="28"/>
          <w:lang w:val="x-none" w:eastAsia="x-none"/>
        </w:rPr>
        <w:t>При выборе участков под строительство жилых домов и других объектов с нормируемыми показателями качества окружающей среды в рамках              инженерно-экологических изысканий необходимо проводить оценку гамма-фона на территории предполагаемого строительства.</w:t>
      </w:r>
    </w:p>
    <w:p>
      <w:pPr>
        <w:pStyle w:val="Style72"/>
        <w:rPr/>
      </w:pPr>
      <w:r>
        <w:rPr/>
        <w:t>При отводе для строительства здания участка с плотностью потока радона более 80 мБк/м</w:t>
      </w:r>
      <w:r>
        <w:rPr>
          <w:vertAlign w:val="superscript"/>
        </w:rPr>
        <w:t>2</w:t>
      </w:r>
      <w:r>
        <w:rPr/>
        <w:t>с в проекте зданий должна быть предусмотрена система защиты от радона. Необходимость радонозащитных мероприятий при плотности потока радона с поверхности грунта менее 80 мБк/м</w:t>
      </w:r>
      <w:r>
        <w:rPr>
          <w:vertAlign w:val="superscript"/>
        </w:rPr>
        <w:t>2</w:t>
      </w:r>
      <w:r>
        <w:rPr/>
        <w:t>с определяется в каждом отдельном случае по согласованию с органами Роспотребнадзора.</w:t>
      </w:r>
    </w:p>
    <w:p>
      <w:pPr>
        <w:pStyle w:val="Style72"/>
        <w:rPr/>
      </w:pPr>
      <w:r>
        <w:rPr/>
        <w:t>Производственный радиационный контроль должен осуществляться на всех стадиях строительства, реконструкции, капитального ремонта и эксплуатации жилых домов и зданий социально-бытового назначения с целью проверки соответствия действующим нормативам. В случае обнаружения превышения нормативных значений должен проводиться анализ возможных причин.</w:t>
      </w:r>
    </w:p>
    <w:p>
      <w:pPr>
        <w:pStyle w:val="Style72"/>
        <w:rPr/>
      </w:pPr>
      <w:r>
        <w:rPr/>
      </w:r>
    </w:p>
    <w:p>
      <w:pPr>
        <w:pStyle w:val="Normal"/>
        <w:rPr>
          <w:rFonts w:ascii="Times New Roman" w:hAnsi="Times New Roman" w:cs="Times New Roman"/>
          <w:sz w:val="28"/>
          <w:szCs w:val="28"/>
        </w:rPr>
      </w:pPr>
      <w:r>
        <w:rPr>
          <w:rFonts w:cs="Times New Roman" w:ascii="Times New Roman" w:hAnsi="Times New Roman"/>
          <w:sz w:val="28"/>
          <w:szCs w:val="28"/>
        </w:rPr>
      </w:r>
      <w:r>
        <w:br w:type="page"/>
      </w:r>
    </w:p>
    <w:p>
      <w:pPr>
        <w:pStyle w:val="2"/>
        <w:numPr>
          <w:ilvl w:val="1"/>
          <w:numId w:val="49"/>
        </w:numPr>
        <w:spacing w:lineRule="auto" w:line="240" w:before="0" w:after="0"/>
        <w:ind w:left="0" w:firstLine="709"/>
        <w:jc w:val="center"/>
        <w:rPr>
          <w:rFonts w:ascii="Times New Roman" w:hAnsi="Times New Roman" w:cs="Times New Roman"/>
          <w:b/>
          <w:color w:val="auto"/>
          <w:sz w:val="28"/>
          <w:szCs w:val="28"/>
          <w:lang w:eastAsia="ru-RU"/>
        </w:rPr>
      </w:pPr>
      <w:bookmarkStart w:id="205" w:name="_Toc147740081"/>
      <w:bookmarkStart w:id="206" w:name="_Toc133908549"/>
      <w:bookmarkStart w:id="207" w:name="_Toc57443796"/>
      <w:r>
        <w:rPr>
          <w:rFonts w:cs="Times New Roman" w:ascii="Times New Roman" w:hAnsi="Times New Roman"/>
          <w:b/>
          <w:color w:val="auto"/>
          <w:sz w:val="28"/>
          <w:szCs w:val="28"/>
          <w:lang w:eastAsia="ru-RU"/>
        </w:rPr>
        <w:t>Мероприятия по оптимизации производства и размещения объектов</w:t>
      </w:r>
      <w:bookmarkEnd w:id="205"/>
      <w:bookmarkEnd w:id="206"/>
      <w:bookmarkEnd w:id="207"/>
    </w:p>
    <w:p>
      <w:pPr>
        <w:pStyle w:val="Normal"/>
        <w:spacing w:lineRule="auto" w:line="240" w:before="0" w:after="0"/>
        <w:jc w:val="both"/>
        <w:rPr>
          <w:lang w:eastAsia="ru-RU"/>
        </w:rPr>
      </w:pPr>
      <w:r>
        <w:rPr>
          <w:lang w:eastAsia="ru-RU"/>
        </w:rPr>
      </w:r>
    </w:p>
    <w:p>
      <w:pPr>
        <w:pStyle w:val="Normal"/>
        <w:spacing w:lineRule="auto" w:line="240" w:before="0" w:after="0"/>
        <w:ind w:firstLine="709"/>
        <w:jc w:val="both"/>
        <w:rPr>
          <w:rFonts w:ascii="Times New Roman" w:hAnsi="Times New Roman" w:cs="Times New Roman"/>
          <w:sz w:val="28"/>
          <w:szCs w:val="28"/>
          <w:lang w:eastAsia="ru-RU"/>
        </w:rPr>
      </w:pPr>
      <w:r>
        <w:rPr>
          <w:rFonts w:cs="Times New Roman" w:ascii="Times New Roman" w:hAnsi="Times New Roman"/>
          <w:sz w:val="28"/>
          <w:szCs w:val="28"/>
          <w:lang w:eastAsia="ru-RU"/>
        </w:rPr>
        <w:t>При решении вопросов о размещении объектов, выборе земельных участков под строительство и расширении объектов должны соблюдаться санитарные правила, выполнение которых является обязанностью индивидуальных предпринимателей и юридических лиц в соответствии с осуществляемой ими деятельностью (ст.11, п.2 ст.12 Федерального Закона «О санитарно-эпидемиологическом благополучии населения» №52-ФЗ от 30.03.1999г.).</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Если при строительстве и реконструкции объектов капитального строительства предусмотрено осуществление государственного строительного надзора, обеспечение соблюдения санитарно-эпидемиологических требований при строительстве и реконструкции объектов капитального строительства обеспечивается посредством осуществления экспертизы проектной документации и государственного строительного надзора в соответствии с законодательством о градостроительной деятельности (п.8 ст.44 Федерального Закона «О санитарно-эпидемиологическом благополучии населения» №52-ФЗ от 30.03.1999).</w:t>
      </w:r>
    </w:p>
    <w:p>
      <w:pPr>
        <w:pStyle w:val="Normal"/>
        <w:spacing w:lineRule="auto" w:line="240" w:before="0" w:after="0"/>
        <w:rPr>
          <w:lang w:eastAsia="ru-RU"/>
        </w:rPr>
      </w:pPr>
      <w:r>
        <w:rPr>
          <w:lang w:eastAsia="ru-RU"/>
        </w:rPr>
      </w:r>
    </w:p>
    <w:p>
      <w:pPr>
        <w:pStyle w:val="ListParagraph"/>
        <w:widowControl w:val="false"/>
        <w:tabs>
          <w:tab w:val="clear" w:pos="709"/>
          <w:tab w:val="left" w:pos="851" w:leader="none"/>
        </w:tabs>
        <w:suppressAutoHyphens w:val="true"/>
        <w:spacing w:lineRule="auto" w:line="240" w:before="0" w:after="0"/>
        <w:ind w:left="0" w:hanging="0"/>
        <w:contextualSpacing/>
        <w:jc w:val="center"/>
        <w:rPr>
          <w:rFonts w:ascii="Times New Roman" w:hAnsi="Times New Roman" w:cs="Times New Roman"/>
          <w:b/>
          <w:sz w:val="28"/>
          <w:szCs w:val="28"/>
          <w:lang w:eastAsia="ru-RU"/>
        </w:rPr>
      </w:pPr>
      <w:r>
        <w:rPr>
          <w:rFonts w:cs="Times New Roman" w:ascii="Times New Roman" w:hAnsi="Times New Roman"/>
          <w:b/>
          <w:sz w:val="28"/>
          <w:szCs w:val="28"/>
          <w:lang w:eastAsia="ru-RU"/>
        </w:rPr>
        <w:t>Оптимизация размещения и обустройства объектов производства</w:t>
      </w:r>
    </w:p>
    <w:p>
      <w:pPr>
        <w:pStyle w:val="ListParagraph"/>
        <w:widowControl w:val="false"/>
        <w:tabs>
          <w:tab w:val="clear" w:pos="709"/>
          <w:tab w:val="left" w:pos="851" w:leader="none"/>
        </w:tabs>
        <w:suppressAutoHyphens w:val="true"/>
        <w:spacing w:lineRule="auto" w:line="240" w:before="0" w:after="0"/>
        <w:ind w:left="0" w:hanging="0"/>
        <w:contextualSpacing/>
        <w:jc w:val="center"/>
        <w:rPr>
          <w:rFonts w:ascii="Times New Roman" w:hAnsi="Times New Roman" w:cs="Times New Roman"/>
          <w:b/>
          <w:sz w:val="28"/>
          <w:szCs w:val="28"/>
          <w:lang w:eastAsia="ru-RU"/>
        </w:rPr>
      </w:pPr>
      <w:r>
        <w:rPr>
          <w:rFonts w:cs="Times New Roman" w:ascii="Times New Roman" w:hAnsi="Times New Roman"/>
          <w:b/>
          <w:sz w:val="28"/>
          <w:szCs w:val="28"/>
          <w:lang w:eastAsia="ru-RU"/>
        </w:rPr>
      </w:r>
    </w:p>
    <w:p>
      <w:pPr>
        <w:pStyle w:val="ListParagraph"/>
        <w:widowControl w:val="false"/>
        <w:tabs>
          <w:tab w:val="clear" w:pos="709"/>
          <w:tab w:val="left" w:pos="851" w:leader="none"/>
        </w:tabs>
        <w:suppressAutoHyphens w:val="true"/>
        <w:spacing w:lineRule="auto" w:line="240" w:before="0" w:after="0"/>
        <w:ind w:left="0" w:firstLine="709"/>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Обязательным условием современного промышленного проектирования является внедрение передовых ресурсосберегающих, безотходных и малоотходных технологических решений, позволяющих максимально сократить или избежать поступлений вредных химических или биологических компонентов выбросов в атмосферный воздух, почву и водоемы, предотвратить или снизить воздействие физических факторов до гигиенических нормативов и ниже (</w:t>
      </w:r>
      <w:r>
        <w:rPr>
          <w:rFonts w:eastAsia="" w:cs="Times New Roman" w:ascii="Times New Roman" w:hAnsi="Times New Roman" w:eastAsiaTheme="minorEastAsia"/>
          <w:sz w:val="28"/>
          <w:szCs w:val="28"/>
        </w:rPr>
        <w:t>СанПиН 2.2.1/2.1.1.1200-03)</w:t>
      </w:r>
      <w:r>
        <w:rPr>
          <w:rFonts w:cs="Times New Roman" w:ascii="Times New Roman" w:hAnsi="Times New Roman"/>
          <w:sz w:val="28"/>
          <w:szCs w:val="28"/>
          <w:lang w:eastAsia="ru-RU"/>
        </w:rPr>
        <w:t>.</w:t>
      </w:r>
    </w:p>
    <w:p>
      <w:pPr>
        <w:pStyle w:val="Normal"/>
        <w:spacing w:lineRule="auto" w:line="240" w:before="0" w:after="0"/>
        <w:ind w:firstLine="709"/>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На территории поселения в процессе работы ферм, производственных объектов могут быть применены наилучшие доступные технологии в области очистки сточных вод</w:t>
      </w:r>
      <w:r>
        <w:rPr>
          <w:rFonts w:cs="Times New Roman" w:ascii="Times New Roman" w:hAnsi="Times New Roman"/>
          <w:sz w:val="28"/>
          <w:szCs w:val="28"/>
        </w:rPr>
        <w:t xml:space="preserve"> (производственных, хозяйственно-бытовых и ливневых стоков)</w:t>
      </w:r>
      <w:r>
        <w:rPr>
          <w:rFonts w:cs="Times New Roman" w:ascii="Times New Roman" w:hAnsi="Times New Roman"/>
          <w:sz w:val="28"/>
          <w:szCs w:val="28"/>
          <w:lang w:eastAsia="ru-RU"/>
        </w:rPr>
        <w:t xml:space="preserve">, размещения отходов производства и потребления, сокращения выбросов загрязняющих веществ, сбросов загрязняющих веществ при хранении и складировании товаров (грузов). Полный перечень областей применения наилучших доступных технологий утвержден распоряжением Правительства РФ от 24.12.2014 №2674-р. Информационно-технические справочники наилучших доступных технологий можно скачать по ссылке http://burondt.ru/. </w:t>
      </w:r>
    </w:p>
    <w:p>
      <w:pPr>
        <w:pStyle w:val="Normal"/>
        <w:spacing w:lineRule="auto" w:line="240" w:before="0" w:after="0"/>
        <w:ind w:firstLine="709"/>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 xml:space="preserve">При проектировании объектов капитального строительства должны быть предусмотрены мероприятия по предупреждению и устранению загрязнения окружающей среды, применяться ресурсосберегающие, малоотходные, безотходные и иные технологии, способствующие предупреждению и устранению загрязнения окружающей среды, охране окружающей среды. При наличии соответствующих отраслевых информационно-технических справочников рекомендовано применять наилучшие доступные технологии. </w:t>
      </w:r>
    </w:p>
    <w:p>
      <w:pPr>
        <w:pStyle w:val="Normal"/>
        <w:spacing w:lineRule="auto" w:line="240" w:before="0" w:after="0"/>
        <w:ind w:firstLine="709"/>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Согласно ст.36 7-ФЗ, архитектурно-строительное проектирование, строительство и реконструкция объектов капитального строительства, которые являются объектами, оказывающими негативное воздействие на окружающую среду, и относятся к областям применения наилучших доступных технологий, должны осуществляться с учетом технологических показателей наилучших доступных технологий при обеспечении приемлемого риска для здоровья населения, а также с учетом необходимости создания системы автоматического контроля выбросов загрязняющих веществ и (или) сбросов загрязняющих веществ.</w:t>
      </w:r>
    </w:p>
    <w:p>
      <w:pPr>
        <w:pStyle w:val="Normal"/>
        <w:spacing w:lineRule="auto" w:line="240" w:before="0" w:after="0"/>
        <w:ind w:firstLine="709"/>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 xml:space="preserve">В соответствии со ст. 38 № 7-ФЗ, не допускается выдача разрешения на ввод в эксплуатацию объекта капитального строительства, который является объектом, оказывающим негативное воздействие на окружающую среду, и относится к областям применения наилучших доступных технологий, в случае, если на указанном объекте применяются технологические процессы с технологическими показателями, превышающими технологические показатели наилучших доступных технологий. </w:t>
      </w:r>
    </w:p>
    <w:p>
      <w:pPr>
        <w:pStyle w:val="Normal"/>
        <w:spacing w:before="0" w:after="0"/>
        <w:jc w:val="center"/>
        <w:rPr>
          <w:rFonts w:ascii="Times New Roman" w:hAnsi="Times New Roman" w:cs="Times New Roman"/>
          <w:b/>
          <w:sz w:val="28"/>
          <w:szCs w:val="28"/>
        </w:rPr>
      </w:pPr>
      <w:r>
        <w:rPr>
          <w:rFonts w:cs="Times New Roman" w:ascii="Times New Roman" w:hAnsi="Times New Roman"/>
          <w:b/>
          <w:sz w:val="28"/>
          <w:szCs w:val="28"/>
        </w:rPr>
      </w:r>
    </w:p>
    <w:p>
      <w:pPr>
        <w:pStyle w:val="Normal"/>
        <w:spacing w:before="0" w:after="0"/>
        <w:jc w:val="center"/>
        <w:rPr>
          <w:rFonts w:ascii="Times New Roman" w:hAnsi="Times New Roman" w:cs="Times New Roman"/>
          <w:b/>
          <w:sz w:val="28"/>
          <w:szCs w:val="28"/>
        </w:rPr>
      </w:pPr>
      <w:r>
        <w:rPr>
          <w:rFonts w:cs="Times New Roman" w:ascii="Times New Roman" w:hAnsi="Times New Roman"/>
          <w:b/>
          <w:sz w:val="28"/>
          <w:szCs w:val="28"/>
        </w:rPr>
        <w:t>Оптимизация размещения объектов нового жилищного строительства, объектов социальной инфраструктуры</w:t>
      </w:r>
    </w:p>
    <w:p>
      <w:pPr>
        <w:pStyle w:val="Style91"/>
        <w:numPr>
          <w:ilvl w:val="0"/>
          <w:numId w:val="0"/>
        </w:numPr>
        <w:ind w:left="0" w:firstLine="709"/>
        <w:rPr>
          <w:szCs w:val="28"/>
        </w:rPr>
      </w:pPr>
      <w:r>
        <w:rPr>
          <w:szCs w:val="28"/>
        </w:rPr>
        <w:t>На территории поселения планируется включение земельных участков с кадастровыми номерами 16:15:030601:774, 16:15:030601:776 общей площадью 7,2424 га (под индивидуальное жилищное строительство (48 земельных участков), а также под размещение многофункционального комплекса (в том числе зрительного зала), трансформаторной подстанции, газорегуляторного пункта) в границы населенного пункта Ташевка Вахитовского сельского поселения.</w:t>
      </w:r>
    </w:p>
    <w:p>
      <w:pPr>
        <w:pStyle w:val="Style91"/>
        <w:numPr>
          <w:ilvl w:val="0"/>
          <w:numId w:val="0"/>
        </w:numPr>
        <w:ind w:left="0" w:firstLine="709"/>
        <w:rPr>
          <w:szCs w:val="28"/>
        </w:rPr>
      </w:pPr>
      <w:r>
        <w:rPr>
          <w:szCs w:val="28"/>
        </w:rPr>
        <w:t xml:space="preserve">Согласно письму Министерства экологии и природных ресурсов РТ от 28.07.2023 №12337/10, размещение выше указанных земельных участков </w:t>
      </w:r>
      <w:r>
        <w:rPr>
          <w:rFonts w:eastAsia="Calibri"/>
          <w:szCs w:val="28"/>
        </w:rPr>
        <w:t xml:space="preserve">возможно </w:t>
      </w:r>
      <w:r>
        <w:rPr>
          <w:szCs w:val="28"/>
        </w:rPr>
        <w:t>при условии определения соответствующего зонирования в границах участков, соблюдения требований природоохранного и санитарно-эпидемиологического законодательства, в том числе:</w:t>
      </w:r>
    </w:p>
    <w:p>
      <w:pPr>
        <w:pStyle w:val="Style91"/>
        <w:numPr>
          <w:ilvl w:val="0"/>
          <w:numId w:val="50"/>
        </w:numPr>
        <w:ind w:left="0" w:firstLine="709"/>
        <w:rPr>
          <w:szCs w:val="28"/>
        </w:rPr>
      </w:pPr>
      <w:r>
        <w:rPr>
          <w:szCs w:val="28"/>
        </w:rPr>
        <w:t>ограничений при осуществлении хозяйственной и иной деятельности в границах ВОЗ и ПЗП водных объектов, установленных чч. 15 - 17 ст. 65 Водного кодекса;</w:t>
      </w:r>
    </w:p>
    <w:p>
      <w:pPr>
        <w:pStyle w:val="Style91"/>
        <w:numPr>
          <w:ilvl w:val="0"/>
          <w:numId w:val="50"/>
        </w:numPr>
        <w:ind w:left="0" w:firstLine="709"/>
        <w:rPr>
          <w:szCs w:val="28"/>
        </w:rPr>
      </w:pPr>
      <w:r>
        <w:rPr>
          <w:szCs w:val="28"/>
        </w:rPr>
        <w:t>требований постановления Правительства Российской Федерации от 10.07.2018 № 800 «О проведении рекультивации и консервации земель» в части обязательной рекультивации нарушенных земель сельскохозяйственного назначения в полном объеме на основании утвержденного проекта рекультивации до состояния, пригодного для их использования в соответствии с целевым назначением и разрешенным использованием, с последующим оформлением необходимой документации (в отношении территорий, на которых расположены недействующие объекты сельскохозяйственного производства);</w:t>
      </w:r>
    </w:p>
    <w:p>
      <w:pPr>
        <w:pStyle w:val="Style91"/>
        <w:numPr>
          <w:ilvl w:val="0"/>
          <w:numId w:val="50"/>
        </w:numPr>
        <w:ind w:left="0" w:firstLine="709"/>
        <w:rPr>
          <w:szCs w:val="28"/>
        </w:rPr>
      </w:pPr>
      <w:r>
        <w:rPr>
          <w:szCs w:val="28"/>
        </w:rPr>
        <w:t>требований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утвержденных постановлением Главного государственного санитарного врача Российской Федерации от 28.01.2021 № 3, в том числе раздела VII (санитарно-эпидемиологические требования к качеству почвы);</w:t>
      </w:r>
    </w:p>
    <w:p>
      <w:pPr>
        <w:pStyle w:val="Style91"/>
        <w:numPr>
          <w:ilvl w:val="0"/>
          <w:numId w:val="50"/>
        </w:numPr>
        <w:ind w:left="0" w:firstLine="709"/>
        <w:rPr>
          <w:szCs w:val="28"/>
        </w:rPr>
      </w:pPr>
      <w:r>
        <w:rPr>
          <w:szCs w:val="28"/>
        </w:rPr>
        <w:t>требований п. 3.2 СанПиН 2.1.4.1110-02 «Зоны санитарной охраны источников водоснабжения и водопроводов питьевого назначения», утвержденных постановлением Главного государственного санитарного врача Российской Федерации от 14.03.2002 № 10, в части недопущения размещения в первом поясе ЗСО объектов, не имеющих непосредственного отношения к эксплуатации, реконструкции и расширению водопроводных сооружений, в том числе размещения жилых и хозяйственно-бытовых зданий;</w:t>
      </w:r>
    </w:p>
    <w:p>
      <w:pPr>
        <w:pStyle w:val="Style91"/>
        <w:numPr>
          <w:ilvl w:val="0"/>
          <w:numId w:val="50"/>
        </w:numPr>
        <w:ind w:left="0" w:firstLine="709"/>
        <w:rPr>
          <w:szCs w:val="28"/>
        </w:rPr>
      </w:pPr>
      <w:r>
        <w:rPr>
          <w:szCs w:val="28"/>
        </w:rPr>
        <w:t>требований Республиканских нормативов градостроительного проектирования, утвержденных постановлением Кабинета Министров Республики Татарстан от 27.12.2013 № 1071, в части опережающего выполнения работ по инженерному оборудованию территорий планируемого жилищного строительства до освоения земельных участков.</w:t>
      </w:r>
    </w:p>
    <w:p>
      <w:pPr>
        <w:pStyle w:val="Normal"/>
        <w:widowControl w:val="false"/>
        <w:tabs>
          <w:tab w:val="clear" w:pos="709"/>
          <w:tab w:val="left" w:pos="851" w:leader="none"/>
        </w:tabs>
        <w:suppressAutoHyphens w:val="tru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Согласно письму Министерство земельных и имущественных отношений РТ от 21.07.2023 №1-29/11061, на территории Вахитовского сельского поселения планируется создание пешеходной туристической тропы «Волжская тропа» на земельном участке с кадастровым номером 16:15:000000:2717. Согласно предварительной трассировке, канатная дорога будет проходить над Куйбышевским водохранилищем. Маршрут планируемой канатной дороги будет уточнен на последующих стадиях проектирования.  </w:t>
      </w:r>
    </w:p>
    <w:p>
      <w:pPr>
        <w:pStyle w:val="Normal"/>
        <w:spacing w:lineRule="auto" w:line="240" w:before="0" w:after="20"/>
        <w:ind w:firstLine="709"/>
        <w:jc w:val="both"/>
        <w:rPr>
          <w:rFonts w:ascii="Times New Roman" w:hAnsi="Times New Roman" w:cs="Times New Roman"/>
          <w:i/>
          <w:i/>
          <w:sz w:val="28"/>
          <w:szCs w:val="28"/>
          <w:lang w:eastAsia="ru-RU"/>
        </w:rPr>
      </w:pPr>
      <w:r>
        <w:rPr>
          <w:rFonts w:cs="Times New Roman" w:ascii="Times New Roman" w:hAnsi="Times New Roman"/>
          <w:sz w:val="28"/>
          <w:szCs w:val="28"/>
        </w:rPr>
        <w:t xml:space="preserve">В соответствии с Правилами безопасности пассажирских канатных дорог и фуникулеров, утвержденных Приказом Ростехнадзора от 13.11.2020 №441 (далее Правила), для канатных дорог (далее КД) устанавливаются следующие требования: </w:t>
      </w:r>
    </w:p>
    <w:p>
      <w:pPr>
        <w:pStyle w:val="ConsPlusNormal"/>
        <w:numPr>
          <w:ilvl w:val="0"/>
          <w:numId w:val="51"/>
        </w:numPr>
        <w:ind w:left="0" w:firstLine="709"/>
        <w:jc w:val="both"/>
        <w:rPr>
          <w:rFonts w:ascii="Times New Roman" w:hAnsi="Times New Roman" w:eastAsia="Calibri" w:cs="Times New Roman" w:eastAsiaTheme="minorHAnsi"/>
          <w:sz w:val="28"/>
          <w:szCs w:val="28"/>
          <w:lang w:eastAsia="en-US"/>
        </w:rPr>
      </w:pPr>
      <w:r>
        <w:rPr>
          <w:rFonts w:eastAsia="Calibri" w:cs="Times New Roman" w:ascii="Times New Roman" w:hAnsi="Times New Roman" w:eastAsiaTheme="minorHAnsi"/>
          <w:sz w:val="28"/>
          <w:szCs w:val="28"/>
          <w:lang w:eastAsia="en-US"/>
        </w:rPr>
        <w:t>при прохождении КД в лесистой местности необходимо исключить возможность падения деревьев на линию КД, ее элементы, оборудование и подвижной состав. Просека под линией канатной дороги должна иметь ширину не менее колеи КД с учетом поперечных колебаний канатов и подвижного состава. Исключения составляют случаи, когда проектом КД не предусмотрена вертикальная эвакуация пассажиров с подвижного состава (п. 46 Правил).</w:t>
      </w:r>
    </w:p>
    <w:p>
      <w:pPr>
        <w:pStyle w:val="ConsPlusNormal"/>
        <w:numPr>
          <w:ilvl w:val="0"/>
          <w:numId w:val="51"/>
        </w:numPr>
        <w:ind w:left="0" w:firstLine="709"/>
        <w:jc w:val="both"/>
        <w:rPr>
          <w:rFonts w:ascii="Times New Roman" w:hAnsi="Times New Roman" w:eastAsia="Calibri" w:cs="Times New Roman" w:eastAsiaTheme="minorHAnsi"/>
          <w:sz w:val="28"/>
          <w:szCs w:val="28"/>
          <w:lang w:eastAsia="en-US"/>
        </w:rPr>
      </w:pPr>
      <w:r>
        <w:rPr>
          <w:rFonts w:eastAsia="Calibri" w:cs="Times New Roman" w:ascii="Times New Roman" w:hAnsi="Times New Roman" w:eastAsiaTheme="minorHAnsi"/>
          <w:sz w:val="28"/>
          <w:szCs w:val="28"/>
          <w:lang w:eastAsia="en-US"/>
        </w:rPr>
        <w:t>все пересечения КД или параллельное следование с ней линий электропередачи, рек, каналов и других водных препятствий, шоссе, прокладка дороги над сооружениями должны быть согласованы на стадии проектирования КД с организациями в ведении которых находится контролируемая местность (пространство), в которую попадает трасса КД (п.47 Правил).</w:t>
      </w:r>
    </w:p>
    <w:p>
      <w:pPr>
        <w:pStyle w:val="ConsPlusNormal"/>
        <w:numPr>
          <w:ilvl w:val="0"/>
          <w:numId w:val="51"/>
        </w:numPr>
        <w:ind w:left="0" w:firstLine="709"/>
        <w:jc w:val="both"/>
        <w:rPr>
          <w:rFonts w:ascii="Times New Roman" w:hAnsi="Times New Roman" w:eastAsia="Calibri" w:cs="Times New Roman" w:eastAsiaTheme="minorHAnsi"/>
          <w:sz w:val="28"/>
          <w:szCs w:val="28"/>
          <w:lang w:eastAsia="en-US"/>
        </w:rPr>
      </w:pPr>
      <w:r>
        <w:rPr>
          <w:rFonts w:eastAsia="Calibri" w:cs="Times New Roman" w:ascii="Times New Roman" w:hAnsi="Times New Roman" w:eastAsiaTheme="minorHAnsi"/>
          <w:sz w:val="28"/>
          <w:szCs w:val="28"/>
          <w:lang w:eastAsia="en-US"/>
        </w:rPr>
        <w:t>прохождение трассы КД над территорией детских дошкольных и образовательных организаций запрещено (п. 48 Правил).</w:t>
      </w:r>
    </w:p>
    <w:p>
      <w:pPr>
        <w:pStyle w:val="ConsPlusNormal"/>
        <w:numPr>
          <w:ilvl w:val="0"/>
          <w:numId w:val="51"/>
        </w:numPr>
        <w:ind w:left="0" w:firstLine="709"/>
        <w:jc w:val="both"/>
        <w:rPr>
          <w:rFonts w:ascii="Times New Roman" w:hAnsi="Times New Roman" w:eastAsia="Calibri" w:cs="Times New Roman" w:eastAsiaTheme="minorHAnsi"/>
          <w:sz w:val="28"/>
          <w:szCs w:val="28"/>
          <w:lang w:eastAsia="en-US"/>
        </w:rPr>
      </w:pPr>
      <w:r>
        <w:rPr>
          <w:rFonts w:eastAsia="Calibri" w:cs="Times New Roman" w:ascii="Times New Roman" w:hAnsi="Times New Roman" w:eastAsiaTheme="minorHAnsi"/>
          <w:sz w:val="28"/>
          <w:szCs w:val="28"/>
          <w:lang w:eastAsia="en-US"/>
        </w:rPr>
        <w:t>расстояние по вертикали от низшей точки подвижного состава пассажирской подвесной канатной дороги (ППКД) должно быть не менее: 1,5 м - до верха деревьев; 2 м - до высшей точки здания или сооружения, находящегося под трассой ППКД, а также до верха железнодорожного, автодорожного или судоходного габарита (п. 55 Правил).</w:t>
      </w:r>
    </w:p>
    <w:p>
      <w:pPr>
        <w:pStyle w:val="Style91"/>
        <w:numPr>
          <w:ilvl w:val="0"/>
          <w:numId w:val="0"/>
        </w:numPr>
        <w:tabs>
          <w:tab w:val="clear" w:pos="709"/>
          <w:tab w:val="left" w:pos="708" w:leader="none"/>
        </w:tabs>
        <w:ind w:left="0" w:firstLine="709"/>
        <w:rPr/>
      </w:pPr>
      <w:r>
        <w:rPr/>
        <w:t xml:space="preserve">Согласно письму от…. №…., планируется изменение категории земельных участков с кадастровыми номерами 16:15:030601:783, 16:15:000000:2464 из категории земель сельскохозяйственного назначения в категорию земель особо охраняемых территорий и объектов для размещения гостевых домов. </w:t>
      </w:r>
    </w:p>
    <w:p>
      <w:pPr>
        <w:pStyle w:val="Style91"/>
        <w:numPr>
          <w:ilvl w:val="0"/>
          <w:numId w:val="0"/>
        </w:numPr>
        <w:ind w:left="0" w:firstLine="709"/>
        <w:rPr>
          <w:szCs w:val="28"/>
        </w:rPr>
      </w:pPr>
      <w:r>
        <w:rPr>
          <w:szCs w:val="28"/>
        </w:rPr>
      </w:r>
    </w:p>
    <w:p>
      <w:pPr>
        <w:sectPr>
          <w:footerReference w:type="default" r:id="rId76"/>
          <w:footerReference w:type="first" r:id="rId77"/>
          <w:footnotePr>
            <w:numFmt w:val="decimal"/>
          </w:footnotePr>
          <w:type w:val="nextPage"/>
          <w:pgSz w:w="11906" w:h="16838"/>
          <w:pgMar w:left="1134" w:right="851" w:gutter="0" w:header="0" w:top="851" w:footer="708" w:bottom="851"/>
          <w:pgNumType w:fmt="decimal"/>
          <w:formProt w:val="false"/>
          <w:textDirection w:val="lrTb"/>
          <w:docGrid w:type="default" w:linePitch="360" w:charSpace="4294959103"/>
        </w:sectPr>
        <w:pStyle w:val="Style91"/>
        <w:numPr>
          <w:ilvl w:val="0"/>
          <w:numId w:val="0"/>
        </w:numPr>
        <w:ind w:left="0" w:firstLine="709"/>
        <w:rPr>
          <w:szCs w:val="28"/>
        </w:rPr>
      </w:pPr>
      <w:r>
        <w:rPr>
          <w:szCs w:val="28"/>
        </w:rPr>
      </w:r>
    </w:p>
    <w:p>
      <w:pPr>
        <w:pStyle w:val="2"/>
        <w:numPr>
          <w:ilvl w:val="1"/>
          <w:numId w:val="49"/>
        </w:numPr>
        <w:spacing w:lineRule="auto" w:line="240" w:before="0" w:after="0"/>
        <w:ind w:left="0" w:firstLine="709"/>
        <w:jc w:val="center"/>
        <w:rPr>
          <w:rFonts w:ascii="Times New Roman" w:hAnsi="Times New Roman" w:cs="Times New Roman"/>
          <w:b/>
          <w:color w:val="auto"/>
          <w:sz w:val="28"/>
          <w:szCs w:val="28"/>
          <w:lang w:eastAsia="ru-RU"/>
        </w:rPr>
      </w:pPr>
      <w:bookmarkStart w:id="208" w:name="_Toc57443797"/>
      <w:bookmarkStart w:id="209" w:name="_Toc133908550"/>
      <w:bookmarkStart w:id="210" w:name="_Toc147740082"/>
      <w:r>
        <w:rPr>
          <w:rFonts w:cs="Times New Roman" w:ascii="Times New Roman" w:hAnsi="Times New Roman"/>
          <w:b/>
          <w:color w:val="auto"/>
          <w:sz w:val="28"/>
          <w:szCs w:val="28"/>
          <w:lang w:eastAsia="ru-RU"/>
        </w:rPr>
        <w:t>Мероприятия по организации зон с особыми условиями использования территории и соблюдению режима их использования</w:t>
      </w:r>
      <w:bookmarkEnd w:id="208"/>
      <w:bookmarkEnd w:id="209"/>
      <w:bookmarkEnd w:id="210"/>
    </w:p>
    <w:p>
      <w:pPr>
        <w:pStyle w:val="Style79"/>
        <w:spacing w:before="0" w:after="0"/>
        <w:contextualSpacing/>
        <w:rPr>
          <w:rFonts w:eastAsia="" w:eastAsiaTheme="minorEastAsia"/>
          <w:lang w:eastAsia="en-US"/>
        </w:rPr>
      </w:pPr>
      <w:r>
        <w:rPr>
          <w:rFonts w:eastAsia="" w:eastAsiaTheme="minorEastAsia"/>
          <w:lang w:eastAsia="en-US"/>
        </w:rPr>
      </w:r>
    </w:p>
    <w:p>
      <w:pPr>
        <w:pStyle w:val="Style79"/>
        <w:spacing w:before="0" w:after="0"/>
        <w:contextualSpacing/>
        <w:rPr>
          <w:rFonts w:eastAsia="" w:eastAsiaTheme="minorEastAsia"/>
          <w:lang w:eastAsia="en-US"/>
        </w:rPr>
      </w:pPr>
      <w:r>
        <w:rPr>
          <w:rFonts w:eastAsia="" w:eastAsiaTheme="minorEastAsia"/>
          <w:lang w:eastAsia="en-US"/>
        </w:rPr>
        <w:t>Установление санитарно-защитных зон</w:t>
      </w:r>
    </w:p>
    <w:p>
      <w:pPr>
        <w:pStyle w:val="Normal"/>
        <w:spacing w:lineRule="auto" w:line="240" w:before="0" w:after="0"/>
        <w:ind w:firstLine="709"/>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Требуется установить санитарно-защитные зоны от производственных объектов.</w:t>
      </w:r>
    </w:p>
    <w:p>
      <w:pPr>
        <w:pStyle w:val="Normal"/>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Процедура установления санитарно-защитных зон и внесения сведений в ЕГРН регламентируется </w:t>
      </w:r>
      <w:r>
        <w:rPr>
          <w:rFonts w:eastAsia="Times New Roman" w:cs="Times New Roman" w:ascii="Times New Roman" w:hAnsi="Times New Roman"/>
          <w:sz w:val="28"/>
          <w:szCs w:val="28"/>
          <w:lang w:eastAsia="ru-RU"/>
        </w:rPr>
        <w:t>Правилами установления санитарно-защитных зон</w:t>
      </w:r>
      <w:r>
        <w:rPr>
          <w:rFonts w:cs="Times New Roman" w:ascii="Times New Roman" w:hAnsi="Times New Roman"/>
          <w:sz w:val="28"/>
          <w:szCs w:val="28"/>
        </w:rPr>
        <w:t xml:space="preserve">. </w:t>
      </w:r>
    </w:p>
    <w:p>
      <w:pPr>
        <w:pStyle w:val="Normal"/>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Для установления санитарно-защитной зоны застройщик или правообладатель объекта направляет заявление об установлении, изменении или о прекращении существования санитарно-защитной зоны вместе с проектом СЗЗ и экспертным заключением в Управление Роспотребнадзора по Республике Татарстан. Со дня внесения сведений в ЕГРН санитарно-защитная зона и ограничения использования земельных участков, расположенных в ее границах, считаются установленными.</w:t>
      </w:r>
    </w:p>
    <w:p>
      <w:pPr>
        <w:pStyle w:val="Normal"/>
        <w:spacing w:lineRule="auto" w:line="240" w:before="0" w:after="0"/>
        <w:ind w:firstLine="709"/>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 xml:space="preserve">Правообладатели существующих объектов капитального строительства, в отношении которых подлежат установлению санитарно-защитные зоны (Таблица 6.1.1.),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проекта санитарно-защитной зоны и экспертного заключения о проведении санитарно-эпидемиологической экспертизы в отношении проекта санитарно-защитной зоны. Установление санитарно-защитных зон позволит оценить существующий уровень воздействия на окружающую среду и, в некоторых случаях, сократить размер ориентировочной санитарно-защитной зоны. </w:t>
      </w:r>
    </w:p>
    <w:p>
      <w:pPr>
        <w:pStyle w:val="Style79"/>
        <w:spacing w:before="0" w:after="0"/>
        <w:contextualSpacing/>
        <w:rPr>
          <w:rFonts w:eastAsia="" w:eastAsiaTheme="minorEastAsia"/>
          <w:lang w:eastAsia="en-US"/>
        </w:rPr>
      </w:pPr>
      <w:r>
        <w:rPr>
          <w:rFonts w:eastAsia="" w:eastAsiaTheme="minorEastAsia"/>
          <w:lang w:eastAsia="en-US"/>
        </w:rPr>
      </w:r>
    </w:p>
    <w:p>
      <w:pPr>
        <w:pStyle w:val="Style79"/>
        <w:spacing w:before="0" w:after="0"/>
        <w:contextualSpacing/>
        <w:rPr>
          <w:rFonts w:eastAsia="" w:eastAsiaTheme="minorEastAsia"/>
          <w:lang w:eastAsia="en-US"/>
        </w:rPr>
      </w:pPr>
      <w:r>
        <w:rPr>
          <w:rFonts w:eastAsia="" w:eastAsiaTheme="minorEastAsia"/>
          <w:lang w:eastAsia="en-US"/>
        </w:rPr>
        <w:t>Установление придорожных полос</w:t>
      </w:r>
    </w:p>
    <w:p>
      <w:pPr>
        <w:pStyle w:val="Normal"/>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Необходимо установить границы полос отвода и придорожные полосы от границ полос отвода автомобильных дорог регионального значения, соблюдать режим полос отвода и придорожных полос, установленный требованиями ФЗ от 08.11.2007 №257-ФЗ, Правилами установления полос отвода и придорожных полос автомобильных дорог РТ.</w:t>
      </w:r>
    </w:p>
    <w:p>
      <w:pPr>
        <w:pStyle w:val="Normal"/>
        <w:spacing w:lineRule="auto" w:line="240" w:before="0" w:after="0"/>
        <w:ind w:firstLine="709"/>
        <w:contextualSpacing/>
        <w:jc w:val="both"/>
        <w:rPr>
          <w:rFonts w:ascii="Times New Roman" w:hAnsi="Times New Roman"/>
          <w:sz w:val="28"/>
          <w:szCs w:val="28"/>
        </w:rPr>
      </w:pPr>
      <w:r>
        <w:rPr>
          <w:rFonts w:cs="Times New Roman" w:ascii="Times New Roman" w:hAnsi="Times New Roman"/>
          <w:sz w:val="28"/>
          <w:szCs w:val="28"/>
        </w:rPr>
        <w:t>Необходимо установить категорию</w:t>
      </w:r>
      <w:r>
        <w:rPr>
          <w:rFonts w:ascii="Times New Roman" w:hAnsi="Times New Roman"/>
          <w:sz w:val="28"/>
          <w:szCs w:val="28"/>
        </w:rPr>
        <w:t xml:space="preserve"> автомобильных дорог местного значения муниципального района, границы полос отвода и придорожные полосы. Решение об установлении придорожных полос автомобильных дорог местного значения принимается органом местного самоуправления.</w:t>
      </w:r>
    </w:p>
    <w:p>
      <w:pPr>
        <w:pStyle w:val="Style79"/>
        <w:spacing w:before="0" w:after="0"/>
        <w:contextualSpacing/>
        <w:rPr>
          <w:rFonts w:eastAsia="" w:eastAsiaTheme="minorEastAsia"/>
          <w:lang w:eastAsia="en-US"/>
        </w:rPr>
      </w:pPr>
      <w:r>
        <w:rPr>
          <w:rFonts w:eastAsia="" w:eastAsiaTheme="minorEastAsia"/>
          <w:lang w:eastAsia="en-US"/>
        </w:rPr>
      </w:r>
    </w:p>
    <w:p>
      <w:pPr>
        <w:pStyle w:val="Style79"/>
        <w:spacing w:before="0" w:after="0"/>
        <w:contextualSpacing/>
        <w:rPr>
          <w:rFonts w:eastAsia="" w:eastAsiaTheme="minorEastAsia"/>
          <w:lang w:eastAsia="en-US"/>
        </w:rPr>
      </w:pPr>
      <w:r>
        <w:rPr>
          <w:rFonts w:eastAsia="" w:eastAsiaTheme="minorEastAsia"/>
          <w:lang w:eastAsia="en-US"/>
        </w:rPr>
        <w:t>Установление зон минимальных расстояний</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Требуется внести в ЕГРН зоны минимальных расстояний объектов нефтяной промышленности и магистральных трубопроводов и соблюдать их режим.</w:t>
      </w:r>
    </w:p>
    <w:p>
      <w:pPr>
        <w:pStyle w:val="Normal"/>
        <w:spacing w:before="0" w:after="0"/>
        <w:ind w:firstLine="709"/>
        <w:jc w:val="center"/>
        <w:rPr>
          <w:rFonts w:ascii="Times New Roman" w:hAnsi="Times New Roman" w:cs="Times New Roman"/>
          <w:b/>
          <w:sz w:val="28"/>
          <w:szCs w:val="28"/>
        </w:rPr>
      </w:pPr>
      <w:r>
        <w:rPr>
          <w:rFonts w:cs="Times New Roman" w:ascii="Times New Roman" w:hAnsi="Times New Roman"/>
          <w:b/>
          <w:sz w:val="28"/>
          <w:szCs w:val="28"/>
        </w:rPr>
        <w:t>Установление водоохранных зон, прибрежных защитных полос</w:t>
      </w:r>
    </w:p>
    <w:p>
      <w:pPr>
        <w:pStyle w:val="Style72"/>
        <w:rPr>
          <w:rFonts w:eastAsia="" w:eastAsiaTheme="minorEastAsia"/>
          <w:szCs w:val="28"/>
          <w:lang w:eastAsia="en-US"/>
        </w:rPr>
      </w:pPr>
      <w:r>
        <w:rPr>
          <w:rFonts w:eastAsia="" w:eastAsiaTheme="minorEastAsia"/>
          <w:szCs w:val="28"/>
          <w:lang w:eastAsia="en-US"/>
        </w:rPr>
        <w:t>Необходимо обозначить на местности информационными знаками границы водоохранных зон и границы прибрежных защитных полос Куйбышевского водохранилища и его притоков. Режим использования территорий в границах данных зон установлен Водным кодексом РФ.</w:t>
      </w:r>
    </w:p>
    <w:p>
      <w:pPr>
        <w:pStyle w:val="Style72"/>
        <w:rPr>
          <w:rFonts w:eastAsia="" w:eastAsiaTheme="minorEastAsia"/>
          <w:szCs w:val="28"/>
          <w:lang w:eastAsia="en-US"/>
        </w:rPr>
      </w:pPr>
      <w:r>
        <w:rPr>
          <w:rFonts w:eastAsia="" w:eastAsiaTheme="minorEastAsia"/>
          <w:szCs w:val="28"/>
          <w:lang w:eastAsia="en-US"/>
        </w:rPr>
      </w:r>
    </w:p>
    <w:p>
      <w:pPr>
        <w:pStyle w:val="Normal"/>
        <w:spacing w:before="0" w:after="0"/>
        <w:jc w:val="center"/>
        <w:rPr>
          <w:rFonts w:ascii="Times New Roman" w:hAnsi="Times New Roman" w:cs="Times New Roman"/>
          <w:b/>
          <w:sz w:val="28"/>
          <w:szCs w:val="28"/>
        </w:rPr>
      </w:pPr>
      <w:r>
        <w:rPr>
          <w:rFonts w:cs="Times New Roman" w:ascii="Times New Roman" w:hAnsi="Times New Roman"/>
          <w:b/>
          <w:sz w:val="28"/>
          <w:szCs w:val="28"/>
        </w:rPr>
        <w:t>Установление зон санитарной охраны источников питьевого и хозяйственно-бытового водоснабжения</w:t>
      </w:r>
    </w:p>
    <w:p>
      <w:pPr>
        <w:pStyle w:val="Normal"/>
        <w:widowControl w:val="false"/>
        <w:tabs>
          <w:tab w:val="clear" w:pos="709"/>
          <w:tab w:val="left" w:pos="851" w:leader="none"/>
        </w:tabs>
        <w:suppressAutoHyphens w:val="true"/>
        <w:spacing w:lineRule="auto" w:line="240" w:before="0" w:after="0"/>
        <w:ind w:firstLine="709"/>
        <w:jc w:val="both"/>
        <w:rPr>
          <w:rFonts w:ascii="Times New Roman" w:hAnsi="Times New Roman" w:cs="Times New Roman"/>
          <w:sz w:val="28"/>
          <w:szCs w:val="28"/>
          <w:lang w:eastAsia="ru-RU"/>
        </w:rPr>
      </w:pPr>
      <w:r>
        <w:rPr>
          <w:rFonts w:cs="Times New Roman" w:ascii="Times New Roman" w:hAnsi="Times New Roman"/>
          <w:sz w:val="28"/>
          <w:szCs w:val="28"/>
          <w:lang w:eastAsia="ru-RU"/>
        </w:rPr>
        <w:t xml:space="preserve">Для всех используемых источников водоснабжения необходимо установить и внести в ЕГРН зоны санитарной охраны на основании выполненных проектов ЗСО. </w:t>
      </w:r>
    </w:p>
    <w:p>
      <w:pPr>
        <w:pStyle w:val="Normal"/>
        <w:widowControl w:val="false"/>
        <w:tabs>
          <w:tab w:val="clear" w:pos="709"/>
          <w:tab w:val="left" w:pos="851" w:leader="none"/>
        </w:tabs>
        <w:suppressAutoHyphens w:val="tru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Режим использования территорий в границах зон санитарной охраны устанавливается согласно требованиям СанПиН 2.1.4.1110-02 «Зоны санитарной охраны источников водоснабжения и водопроводов питьевого назначения». </w:t>
      </w:r>
    </w:p>
    <w:p>
      <w:pPr>
        <w:pStyle w:val="Normal"/>
        <w:widowControl w:val="false"/>
        <w:tabs>
          <w:tab w:val="clear" w:pos="709"/>
          <w:tab w:val="left" w:pos="851" w:leader="none"/>
        </w:tabs>
        <w:suppressAutoHyphens w:val="tru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sectPr>
          <w:footerReference w:type="default" r:id="rId78"/>
          <w:footerReference w:type="first" r:id="rId79"/>
          <w:footnotePr>
            <w:numFmt w:val="decimal"/>
          </w:footnotePr>
          <w:type w:val="nextPage"/>
          <w:pgSz w:w="11906" w:h="16838"/>
          <w:pgMar w:left="1134" w:right="851" w:gutter="0" w:header="0" w:top="851" w:footer="708" w:bottom="851"/>
          <w:pgNumType w:fmt="decimal"/>
          <w:formProt w:val="false"/>
          <w:textDirection w:val="lrTb"/>
          <w:docGrid w:type="default" w:linePitch="360" w:charSpace="4294959103"/>
        </w:sectPr>
        <w:pStyle w:val="Normal"/>
        <w:widowControl w:val="false"/>
        <w:tabs>
          <w:tab w:val="clear" w:pos="709"/>
          <w:tab w:val="left" w:pos="851" w:leader="none"/>
        </w:tabs>
        <w:suppressAutoHyphens w:val="tru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w:t>
      </w:r>
    </w:p>
    <w:p>
      <w:pPr>
        <w:pStyle w:val="Normal"/>
        <w:ind w:left="375" w:firstLine="709"/>
        <w:jc w:val="right"/>
        <w:rPr>
          <w:rFonts w:ascii="Times New Roman" w:hAnsi="Times New Roman" w:cs="Times New Roman"/>
          <w:sz w:val="28"/>
          <w:szCs w:val="28"/>
        </w:rPr>
      </w:pPr>
      <w:r>
        <w:rPr>
          <w:rFonts w:cs="Times New Roman" w:ascii="Times New Roman" w:hAnsi="Times New Roman"/>
          <w:sz w:val="28"/>
          <w:szCs w:val="28"/>
        </w:rPr>
        <w:t>Таблица 7.7.1</w:t>
      </w:r>
    </w:p>
    <w:p>
      <w:pPr>
        <w:pStyle w:val="Style79"/>
        <w:rPr/>
      </w:pPr>
      <w:r>
        <w:rPr/>
        <w:t xml:space="preserve">Перечень мероприятий по организации зон с особыми условиями использования территории </w:t>
      </w:r>
    </w:p>
    <w:p>
      <w:pPr>
        <w:pStyle w:val="Style79"/>
        <w:rPr/>
      </w:pPr>
      <w:r>
        <w:rPr/>
      </w:r>
    </w:p>
    <w:tbl>
      <w:tblPr>
        <w:tblpPr w:bottomFromText="0" w:horzAnchor="margin" w:leftFromText="180" w:rightFromText="180" w:tblpX="0" w:tblpXSpec="center" w:tblpY="1575" w:topFromText="0" w:vertAnchor="margin"/>
        <w:tblW w:w="5000" w:type="pct"/>
        <w:jc w:val="center"/>
        <w:tblInd w:w="0" w:type="dxa"/>
        <w:tblLayout w:type="fixed"/>
        <w:tblCellMar>
          <w:top w:w="0" w:type="dxa"/>
          <w:left w:w="108" w:type="dxa"/>
          <w:bottom w:w="0" w:type="dxa"/>
          <w:right w:w="108" w:type="dxa"/>
        </w:tblCellMar>
        <w:tblLook w:noVBand="0" w:val="0000" w:noHBand="0" w:lastColumn="0" w:firstColumn="0" w:lastRow="0" w:firstRow="0"/>
      </w:tblPr>
      <w:tblGrid>
        <w:gridCol w:w="721"/>
        <w:gridCol w:w="2911"/>
        <w:gridCol w:w="4774"/>
        <w:gridCol w:w="1735"/>
        <w:gridCol w:w="1788"/>
        <w:gridCol w:w="2923"/>
      </w:tblGrid>
      <w:tr>
        <w:trPr>
          <w:tblHeader w:val="true"/>
          <w:trHeight w:val="20" w:hRule="atLeast"/>
          <w:cantSplit w:val="true"/>
        </w:trPr>
        <w:tc>
          <w:tcPr>
            <w:tcW w:w="72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п/п</w:t>
            </w:r>
          </w:p>
        </w:tc>
        <w:tc>
          <w:tcPr>
            <w:tcW w:w="291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Наименование объекта</w:t>
            </w:r>
          </w:p>
        </w:tc>
        <w:tc>
          <w:tcPr>
            <w:tcW w:w="477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Вид мероприятия по организации ЗОУИТ</w:t>
            </w:r>
          </w:p>
        </w:tc>
        <w:tc>
          <w:tcPr>
            <w:tcW w:w="3523"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Сроки реализации</w:t>
            </w:r>
          </w:p>
        </w:tc>
        <w:tc>
          <w:tcPr>
            <w:tcW w:w="292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Источник мероприятия (наименование документа)</w:t>
            </w:r>
          </w:p>
        </w:tc>
      </w:tr>
      <w:tr>
        <w:trPr>
          <w:tblHeader w:val="true"/>
          <w:trHeight w:val="70" w:hRule="atLeast"/>
          <w:cantSplit w:val="true"/>
        </w:trPr>
        <w:tc>
          <w:tcPr>
            <w:tcW w:w="72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91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477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7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Первая очередь</w:t>
            </w:r>
          </w:p>
        </w:tc>
        <w:tc>
          <w:tcPr>
            <w:tcW w:w="17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Расчетный период</w:t>
            </w:r>
          </w:p>
        </w:tc>
        <w:tc>
          <w:tcPr>
            <w:tcW w:w="29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180" w:hRule="atLeast"/>
          <w:cantSplit w:val="true"/>
        </w:trPr>
        <w:tc>
          <w:tcPr>
            <w:tcW w:w="7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2911"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ind w:hanging="0"/>
              <w:jc w:val="center"/>
              <w:rPr>
                <w:sz w:val="24"/>
                <w:szCs w:val="24"/>
              </w:rPr>
            </w:pPr>
            <w:r>
              <w:rPr>
                <w:sz w:val="24"/>
                <w:szCs w:val="24"/>
              </w:rPr>
              <w:t>Кладбище д. М.Вахитова</w:t>
            </w:r>
          </w:p>
          <w:p>
            <w:pPr>
              <w:pStyle w:val="Style38"/>
              <w:widowControl w:val="false"/>
              <w:suppressAutoHyphens w:val="true"/>
              <w:ind w:hanging="0"/>
              <w:jc w:val="center"/>
              <w:rPr>
                <w:sz w:val="24"/>
                <w:szCs w:val="24"/>
              </w:rPr>
            </w:pPr>
            <w:r>
              <w:rPr>
                <w:sz w:val="24"/>
                <w:szCs w:val="24"/>
              </w:rPr>
              <w:t>Кладбище с. Ташевка</w:t>
            </w:r>
          </w:p>
          <w:p>
            <w:pPr>
              <w:pStyle w:val="Style38"/>
              <w:widowControl w:val="false"/>
              <w:suppressAutoHyphens w:val="true"/>
              <w:ind w:hanging="0"/>
              <w:jc w:val="center"/>
              <w:rPr>
                <w:sz w:val="24"/>
                <w:szCs w:val="24"/>
              </w:rPr>
            </w:pPr>
            <w:r>
              <w:rPr>
                <w:sz w:val="24"/>
                <w:szCs w:val="24"/>
              </w:rPr>
              <w:t>Дробильно-сортировочное оборудование по переработке карбонатных пород</w:t>
            </w:r>
          </w:p>
          <w:p>
            <w:pPr>
              <w:pStyle w:val="Style38"/>
              <w:widowControl w:val="false"/>
              <w:suppressAutoHyphens w:val="true"/>
              <w:ind w:hanging="0"/>
              <w:jc w:val="center"/>
              <w:rPr>
                <w:sz w:val="24"/>
                <w:szCs w:val="24"/>
              </w:rPr>
            </w:pPr>
            <w:r>
              <w:rPr>
                <w:sz w:val="24"/>
                <w:szCs w:val="24"/>
              </w:rPr>
              <w:t xml:space="preserve">Кладбище с. Ташевка </w:t>
            </w:r>
          </w:p>
          <w:p>
            <w:pPr>
              <w:pStyle w:val="Style38"/>
              <w:widowControl w:val="false"/>
              <w:suppressAutoHyphens w:val="true"/>
              <w:ind w:hanging="0"/>
              <w:jc w:val="center"/>
              <w:rPr>
                <w:sz w:val="24"/>
                <w:szCs w:val="24"/>
              </w:rPr>
            </w:pPr>
            <w:r>
              <w:rPr>
                <w:sz w:val="24"/>
                <w:szCs w:val="24"/>
              </w:rPr>
              <w:t>Кладбище п. Бакча Сарай</w:t>
            </w:r>
          </w:p>
        </w:tc>
        <w:tc>
          <w:tcPr>
            <w:tcW w:w="47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Установить СЗЗ и внести сведения в ЕГРН</w:t>
            </w:r>
          </w:p>
        </w:tc>
        <w:tc>
          <w:tcPr>
            <w:tcW w:w="17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c>
          <w:tcPr>
            <w:tcW w:w="17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9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Правила установления санитарно-защитных зон, утв. Постановлением РФ от 03.03.2018 №222</w:t>
            </w:r>
          </w:p>
        </w:tc>
      </w:tr>
      <w:tr>
        <w:trPr>
          <w:trHeight w:val="180" w:hRule="atLeast"/>
          <w:cantSplit w:val="true"/>
        </w:trPr>
        <w:tc>
          <w:tcPr>
            <w:tcW w:w="7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2911"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ind w:hanging="0"/>
              <w:jc w:val="center"/>
              <w:rPr>
                <w:sz w:val="24"/>
                <w:szCs w:val="24"/>
              </w:rPr>
            </w:pPr>
            <w:r>
              <w:rPr>
                <w:sz w:val="24"/>
                <w:szCs w:val="24"/>
              </w:rPr>
              <w:t xml:space="preserve">Планируемая федеральная дорога </w:t>
            </w:r>
            <w:r>
              <w:rPr>
                <w:sz w:val="24"/>
                <w:szCs w:val="24"/>
                <w:lang w:val="en-US"/>
              </w:rPr>
              <w:t>I</w:t>
            </w:r>
            <w:r>
              <w:rPr>
                <w:sz w:val="24"/>
                <w:szCs w:val="24"/>
              </w:rPr>
              <w:t>Б категории: М12 Москва-Казань</w:t>
            </w:r>
          </w:p>
        </w:tc>
        <w:tc>
          <w:tcPr>
            <w:tcW w:w="47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Установление придорожной полосы и внесение сведений в ЕГРН </w:t>
            </w:r>
          </w:p>
        </w:tc>
        <w:tc>
          <w:tcPr>
            <w:tcW w:w="17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7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c>
          <w:tcPr>
            <w:tcW w:w="29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ФЗ от 08.11.2007 №257-ФЗ</w:t>
            </w:r>
          </w:p>
        </w:tc>
      </w:tr>
      <w:tr>
        <w:trPr>
          <w:trHeight w:val="180" w:hRule="atLeast"/>
          <w:cantSplit w:val="true"/>
        </w:trPr>
        <w:tc>
          <w:tcPr>
            <w:tcW w:w="7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tc>
        <w:tc>
          <w:tcPr>
            <w:tcW w:w="2911"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ind w:hanging="0"/>
              <w:jc w:val="center"/>
              <w:rPr>
                <w:sz w:val="24"/>
                <w:szCs w:val="24"/>
              </w:rPr>
            </w:pPr>
            <w:r>
              <w:rPr>
                <w:sz w:val="24"/>
                <w:szCs w:val="24"/>
              </w:rPr>
              <w:t xml:space="preserve">Региональные дороги существующие и планируемые </w:t>
            </w:r>
            <w:r>
              <w:rPr>
                <w:sz w:val="24"/>
                <w:szCs w:val="24"/>
                <w:lang w:val="en-US"/>
              </w:rPr>
              <w:t>IV</w:t>
            </w:r>
            <w:r>
              <w:rPr>
                <w:sz w:val="24"/>
                <w:szCs w:val="24"/>
              </w:rPr>
              <w:t xml:space="preserve">. </w:t>
            </w:r>
            <w:r>
              <w:rPr>
                <w:sz w:val="24"/>
                <w:szCs w:val="24"/>
                <w:lang w:val="en-US"/>
              </w:rPr>
              <w:t>V</w:t>
            </w:r>
            <w:r>
              <w:rPr>
                <w:sz w:val="24"/>
                <w:szCs w:val="24"/>
              </w:rPr>
              <w:t xml:space="preserve"> категории: Вахитово – Ташевка, Подъезд к д. Ватан, Янга-Болгар - Матюшино - Бакча-Сарай, Казань - Ульяновск - Камское Устье – Гребени, Янга-Болгар - Матюшино - Бакча-Сарай</w:t>
            </w:r>
          </w:p>
        </w:tc>
        <w:tc>
          <w:tcPr>
            <w:tcW w:w="47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Установить полосу отвода и придорожную полосу</w:t>
            </w:r>
          </w:p>
        </w:tc>
        <w:tc>
          <w:tcPr>
            <w:tcW w:w="17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c>
          <w:tcPr>
            <w:tcW w:w="17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9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sz w:val="24"/>
                <w:szCs w:val="24"/>
                <w:lang w:eastAsia="ru-RU"/>
              </w:rPr>
              <w:t>ФЗ от 08.11.2007 №257-ФЗ</w:t>
            </w:r>
          </w:p>
        </w:tc>
      </w:tr>
      <w:tr>
        <w:trPr>
          <w:trHeight w:val="70" w:hRule="atLeast"/>
          <w:cantSplit w:val="true"/>
        </w:trPr>
        <w:tc>
          <w:tcPr>
            <w:tcW w:w="7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2911"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ind w:hanging="0"/>
              <w:jc w:val="center"/>
              <w:rPr>
                <w:sz w:val="24"/>
                <w:szCs w:val="24"/>
              </w:rPr>
            </w:pPr>
            <w:r>
              <w:rPr>
                <w:sz w:val="24"/>
                <w:szCs w:val="24"/>
              </w:rPr>
              <w:t>Куйбышевское водохранилище с притоками р. Малая Меша</w:t>
            </w:r>
          </w:p>
        </w:tc>
        <w:tc>
          <w:tcPr>
            <w:tcW w:w="4774"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ind w:hanging="0"/>
              <w:jc w:val="center"/>
              <w:rPr>
                <w:sz w:val="24"/>
                <w:szCs w:val="24"/>
              </w:rPr>
            </w:pPr>
            <w:r>
              <w:rPr>
                <w:sz w:val="24"/>
                <w:szCs w:val="24"/>
              </w:rPr>
              <w:t>Обозначить на местности информационными знаками границы прибрежных защитных полос и водоохранных зон</w:t>
            </w:r>
          </w:p>
        </w:tc>
        <w:tc>
          <w:tcPr>
            <w:tcW w:w="17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c>
          <w:tcPr>
            <w:tcW w:w="17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c>
          <w:tcPr>
            <w:tcW w:w="29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9"/>
                <w:tab w:val="left" w:pos="2431" w:leader="none"/>
              </w:tabs>
              <w:suppressAutoHyphens w:val="tru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Водный кодекс РФ</w:t>
            </w:r>
          </w:p>
        </w:tc>
      </w:tr>
      <w:tr>
        <w:trPr>
          <w:trHeight w:val="70" w:hRule="atLeast"/>
          <w:cantSplit w:val="true"/>
        </w:trPr>
        <w:tc>
          <w:tcPr>
            <w:tcW w:w="7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w:t>
            </w:r>
          </w:p>
        </w:tc>
        <w:tc>
          <w:tcPr>
            <w:tcW w:w="2911"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ind w:hanging="0"/>
              <w:jc w:val="center"/>
              <w:rPr>
                <w:sz w:val="24"/>
                <w:szCs w:val="24"/>
              </w:rPr>
            </w:pPr>
            <w:r>
              <w:rPr>
                <w:sz w:val="24"/>
                <w:szCs w:val="24"/>
              </w:rPr>
              <w:t xml:space="preserve">Водозаборные скважины </w:t>
            </w:r>
          </w:p>
        </w:tc>
        <w:tc>
          <w:tcPr>
            <w:tcW w:w="4774"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rPr>
            </w:pPr>
            <w:r>
              <w:rPr>
                <w:color w:val="auto"/>
              </w:rPr>
              <w:t>Установить и внести в ЕГРН границы зоны санитарной охраны</w:t>
            </w:r>
          </w:p>
        </w:tc>
        <w:tc>
          <w:tcPr>
            <w:tcW w:w="17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c>
          <w:tcPr>
            <w:tcW w:w="17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9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9"/>
                <w:tab w:val="left" w:pos="2431" w:leader="none"/>
              </w:tabs>
              <w:suppressAutoHyphens w:val="true"/>
              <w:spacing w:lineRule="auto" w:line="240" w:before="0" w:after="0"/>
              <w:jc w:val="center"/>
              <w:rPr>
                <w:rFonts w:ascii="Times New Roman" w:hAnsi="Times New Roman" w:cs="Times New Roman"/>
                <w:sz w:val="24"/>
                <w:szCs w:val="24"/>
              </w:rPr>
            </w:pPr>
            <w:r>
              <w:rPr>
                <w:rFonts w:cs="Times New Roman" w:ascii="Times New Roman" w:hAnsi="Times New Roman"/>
                <w:bCs/>
                <w:sz w:val="24"/>
                <w:szCs w:val="24"/>
              </w:rPr>
              <w:t>СанПиН 2.1.4.1110-02 «Зоны санитарной охраны источников водоснабжения и водопроводов питьевого назначения»</w:t>
            </w:r>
          </w:p>
        </w:tc>
      </w:tr>
      <w:tr>
        <w:trPr>
          <w:trHeight w:val="70" w:hRule="atLeast"/>
          <w:cantSplit w:val="true"/>
        </w:trPr>
        <w:tc>
          <w:tcPr>
            <w:tcW w:w="7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w:t>
            </w:r>
          </w:p>
        </w:tc>
        <w:tc>
          <w:tcPr>
            <w:tcW w:w="2911"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ind w:hanging="0"/>
              <w:jc w:val="center"/>
              <w:rPr>
                <w:sz w:val="24"/>
                <w:szCs w:val="24"/>
              </w:rPr>
            </w:pPr>
            <w:r>
              <w:rPr>
                <w:sz w:val="24"/>
                <w:szCs w:val="24"/>
              </w:rPr>
              <w:t>Территории планируемые для развития жилищного строительства</w:t>
            </w:r>
          </w:p>
        </w:tc>
        <w:tc>
          <w:tcPr>
            <w:tcW w:w="4774"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rPr>
            </w:pPr>
            <w:r>
              <w:rPr>
                <w:color w:val="auto"/>
              </w:rPr>
              <w:t xml:space="preserve">До начала их освоения необходимо обеспечить подготовку проектов планировки и проектов межевания территорий с проработкой вопросов, обеспечивающих выполнение требований экологического законодательства, а также комплексного обеспечения данных участков сетями инженерной инфраструктуры. </w:t>
            </w:r>
          </w:p>
        </w:tc>
        <w:tc>
          <w:tcPr>
            <w:tcW w:w="17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c>
          <w:tcPr>
            <w:tcW w:w="17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9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9"/>
                <w:tab w:val="left" w:pos="2431" w:leader="none"/>
              </w:tabs>
              <w:suppressAutoHyphens w:val="tru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Генеральный план Вахитовского с.п.</w:t>
            </w:r>
          </w:p>
        </w:tc>
      </w:tr>
      <w:tr>
        <w:trPr>
          <w:trHeight w:val="70" w:hRule="atLeast"/>
          <w:cantSplit w:val="true"/>
        </w:trPr>
        <w:tc>
          <w:tcPr>
            <w:tcW w:w="7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w:t>
            </w:r>
          </w:p>
        </w:tc>
        <w:tc>
          <w:tcPr>
            <w:tcW w:w="2911"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ind w:hanging="0"/>
              <w:jc w:val="center"/>
              <w:rPr>
                <w:sz w:val="24"/>
                <w:szCs w:val="24"/>
              </w:rPr>
            </w:pPr>
            <w:r>
              <w:rPr>
                <w:sz w:val="24"/>
                <w:szCs w:val="24"/>
              </w:rPr>
              <w:t xml:space="preserve">Площадка перспективного развития АПК до </w:t>
            </w:r>
            <w:r>
              <w:rPr>
                <w:sz w:val="24"/>
                <w:szCs w:val="24"/>
                <w:lang w:val="en-US"/>
              </w:rPr>
              <w:t>V</w:t>
            </w:r>
            <w:r>
              <w:rPr>
                <w:sz w:val="24"/>
                <w:szCs w:val="24"/>
              </w:rPr>
              <w:t xml:space="preserve"> класса опасности</w:t>
            </w:r>
          </w:p>
          <w:p>
            <w:pPr>
              <w:pStyle w:val="Style38"/>
              <w:widowControl w:val="false"/>
              <w:suppressAutoHyphens w:val="true"/>
              <w:ind w:hanging="0"/>
              <w:jc w:val="center"/>
              <w:rPr>
                <w:sz w:val="24"/>
                <w:szCs w:val="24"/>
              </w:rPr>
            </w:pPr>
            <w:r>
              <w:rPr>
                <w:sz w:val="24"/>
                <w:szCs w:val="24"/>
              </w:rPr>
              <w:t xml:space="preserve">Площадка перспективного развития АПК до </w:t>
            </w:r>
            <w:r>
              <w:rPr>
                <w:sz w:val="24"/>
                <w:szCs w:val="24"/>
                <w:lang w:val="en-US"/>
              </w:rPr>
              <w:t>V</w:t>
            </w:r>
            <w:r>
              <w:rPr>
                <w:sz w:val="24"/>
                <w:szCs w:val="24"/>
              </w:rPr>
              <w:t xml:space="preserve"> класса опасности</w:t>
            </w:r>
          </w:p>
        </w:tc>
        <w:tc>
          <w:tcPr>
            <w:tcW w:w="4774"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rPr>
            </w:pPr>
            <w:r>
              <w:rPr>
                <w:color w:val="auto"/>
              </w:rPr>
              <w:t>Обеспечение инженерными сетями с внедрением наилучших доступных технологий в вопросах организации водоснабжения, водоотведения с очисткой производственных, хозяйственно-бытовых и ливневых стоков, повторного использования очищенных стоков, очистки выбросов загрязняющих веществ в атмосферный воздух, а также в вопросах обращения с отходами производства и потребления.</w:t>
            </w:r>
          </w:p>
        </w:tc>
        <w:tc>
          <w:tcPr>
            <w:tcW w:w="17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c>
          <w:tcPr>
            <w:tcW w:w="17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9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9"/>
                <w:tab w:val="left" w:pos="2431" w:leader="none"/>
              </w:tabs>
              <w:suppressAutoHyphens w:val="tru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Генеральный план Вахитовского с.п.</w:t>
            </w:r>
          </w:p>
        </w:tc>
      </w:tr>
      <w:tr>
        <w:trPr>
          <w:trHeight w:val="70" w:hRule="atLeast"/>
          <w:cantSplit w:val="true"/>
        </w:trPr>
        <w:tc>
          <w:tcPr>
            <w:tcW w:w="7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w:t>
            </w:r>
          </w:p>
        </w:tc>
        <w:tc>
          <w:tcPr>
            <w:tcW w:w="2911"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uppressAutoHyphens w:val="true"/>
              <w:ind w:hanging="0"/>
              <w:jc w:val="center"/>
              <w:rPr>
                <w:sz w:val="24"/>
                <w:szCs w:val="24"/>
              </w:rPr>
            </w:pPr>
            <w:r>
              <w:rPr>
                <w:sz w:val="24"/>
                <w:szCs w:val="24"/>
              </w:rPr>
              <w:t>Грузовой причал АО "Татагрохимсервис"</w:t>
            </w:r>
          </w:p>
        </w:tc>
        <w:tc>
          <w:tcPr>
            <w:tcW w:w="4774"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color w:val="auto"/>
              </w:rPr>
            </w:pPr>
            <w:r>
              <w:rPr>
                <w:color w:val="auto"/>
              </w:rPr>
              <w:t xml:space="preserve">Требуется сокращение СЗЗ при размещении рекреационной зоны </w:t>
            </w:r>
          </w:p>
        </w:tc>
        <w:tc>
          <w:tcPr>
            <w:tcW w:w="17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c>
          <w:tcPr>
            <w:tcW w:w="17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9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9"/>
                <w:tab w:val="left" w:pos="2431" w:leader="none"/>
              </w:tabs>
              <w:suppressAutoHyphens w:val="tru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Правила установления санитарно-защитных зон, утв. Постановлением РФ от 03.03.2018 №222</w:t>
            </w:r>
          </w:p>
        </w:tc>
      </w:tr>
    </w:tbl>
    <w:p>
      <w:pPr>
        <w:pStyle w:val="Normal"/>
        <w:spacing w:lineRule="auto" w:line="240" w:before="0" w:after="0"/>
        <w:contextualSpacing/>
        <w:jc w:val="both"/>
        <w:rPr>
          <w:rFonts w:ascii="Times New Roman" w:hAnsi="Times New Roman" w:cs="Times New Roman"/>
          <w:sz w:val="28"/>
          <w:szCs w:val="28"/>
          <w:highlight w:val="green"/>
        </w:rPr>
      </w:pPr>
      <w:r>
        <w:rPr>
          <w:rFonts w:cs="Times New Roman" w:ascii="Times New Roman" w:hAnsi="Times New Roman"/>
          <w:sz w:val="28"/>
          <w:szCs w:val="28"/>
          <w:highlight w:val="green"/>
        </w:rPr>
      </w:r>
    </w:p>
    <w:p>
      <w:pPr>
        <w:sectPr>
          <w:footerReference w:type="default" r:id="rId80"/>
          <w:footerReference w:type="first" r:id="rId81"/>
          <w:footnotePr>
            <w:numFmt w:val="decimal"/>
          </w:footnotePr>
          <w:type w:val="nextPage"/>
          <w:pgSz w:orient="landscape" w:w="16838" w:h="11906"/>
          <w:pgMar w:left="1134" w:right="851" w:gutter="0" w:header="0" w:top="851" w:footer="708" w:bottom="851"/>
          <w:pgNumType w:fmt="decimal"/>
          <w:formProt w:val="false"/>
          <w:textDirection w:val="lrTb"/>
          <w:docGrid w:type="default" w:linePitch="360" w:charSpace="4294959103"/>
        </w:sectPr>
        <w:pStyle w:val="Normal"/>
        <w:spacing w:lineRule="auto" w:line="240" w:before="0" w:after="0"/>
        <w:ind w:firstLine="709"/>
        <w:contextualSpacing/>
        <w:jc w:val="both"/>
        <w:rPr>
          <w:rFonts w:ascii="Times New Roman" w:hAnsi="Times New Roman" w:cs="Times New Roman"/>
          <w:sz w:val="28"/>
          <w:szCs w:val="28"/>
          <w:highlight w:val="green"/>
        </w:rPr>
      </w:pPr>
      <w:r>
        <w:rPr>
          <w:rFonts w:cs="Times New Roman" w:ascii="Times New Roman" w:hAnsi="Times New Roman"/>
          <w:sz w:val="28"/>
          <w:szCs w:val="28"/>
          <w:highlight w:val="green"/>
        </w:rPr>
      </w:r>
    </w:p>
    <w:p>
      <w:pPr>
        <w:pStyle w:val="2"/>
        <w:numPr>
          <w:ilvl w:val="1"/>
          <w:numId w:val="49"/>
        </w:numPr>
        <w:spacing w:lineRule="auto" w:line="240" w:before="0" w:after="40"/>
        <w:ind w:left="0" w:firstLine="709"/>
        <w:contextualSpacing/>
        <w:jc w:val="center"/>
        <w:rPr>
          <w:rFonts w:ascii="Times New Roman" w:hAnsi="Times New Roman" w:cs="Times New Roman"/>
          <w:b/>
          <w:color w:val="auto"/>
          <w:sz w:val="28"/>
          <w:szCs w:val="28"/>
          <w:lang w:eastAsia="ru-RU"/>
        </w:rPr>
      </w:pPr>
      <w:bookmarkStart w:id="211" w:name="_Toc147740083"/>
      <w:bookmarkStart w:id="212" w:name="_Toc133908551"/>
      <w:bookmarkStart w:id="213" w:name="_Toc57443798"/>
      <w:r>
        <w:rPr>
          <w:rFonts w:cs="Times New Roman" w:ascii="Times New Roman" w:hAnsi="Times New Roman"/>
          <w:b/>
          <w:color w:val="auto"/>
          <w:sz w:val="28"/>
          <w:szCs w:val="28"/>
          <w:lang w:eastAsia="ru-RU"/>
        </w:rPr>
        <w:t>Мероприятия по охране особо охраняемых природных территорий</w:t>
      </w:r>
      <w:bookmarkEnd w:id="211"/>
      <w:bookmarkEnd w:id="212"/>
    </w:p>
    <w:p>
      <w:pPr>
        <w:pStyle w:val="Style35"/>
        <w:jc w:val="both"/>
        <w:rPr>
          <w:rFonts w:eastAsia="Calibri" w:eastAsiaTheme="minorHAnsi"/>
          <w:b w:val="false"/>
          <w:szCs w:val="28"/>
          <w:lang w:val="ru-RU"/>
        </w:rPr>
      </w:pPr>
      <w:r>
        <w:rPr>
          <w:rFonts w:eastAsia="Calibri" w:eastAsiaTheme="minorHAnsi"/>
          <w:b w:val="false"/>
          <w:szCs w:val="28"/>
          <w:lang w:val="ru-RU"/>
        </w:rPr>
        <w:t>В целях предотвращения негативного антропогенного воздействия на государственный природный заказник регионального значения ландшафтного профиля «Волжские просторы»; государственный природный зоологический (охотничий) заказник регионального значения «Лесной ключ»; памятник природы регионального значения «Ташевские склоны» необходимо соблюдать границы и режим особой охраны данных особо охраняемых природных территорий.</w:t>
      </w:r>
    </w:p>
    <w:p>
      <w:pPr>
        <w:pStyle w:val="Style35"/>
        <w:jc w:val="both"/>
        <w:rPr>
          <w:rFonts w:eastAsia="Calibri" w:eastAsiaTheme="minorHAnsi"/>
          <w:b w:val="false"/>
          <w:szCs w:val="28"/>
          <w:lang w:val="ru-RU"/>
        </w:rPr>
      </w:pPr>
      <w:r>
        <w:rPr>
          <w:rFonts w:eastAsia="Calibri" w:eastAsiaTheme="minorHAnsi"/>
          <w:b w:val="false"/>
          <w:szCs w:val="28"/>
          <w:lang w:val="ru-RU"/>
        </w:rPr>
      </w:r>
    </w:p>
    <w:p>
      <w:pPr>
        <w:pStyle w:val="2"/>
        <w:numPr>
          <w:ilvl w:val="1"/>
          <w:numId w:val="49"/>
        </w:numPr>
        <w:spacing w:lineRule="auto" w:line="240" w:before="0" w:after="0"/>
        <w:ind w:left="0" w:firstLine="709"/>
        <w:jc w:val="center"/>
        <w:rPr>
          <w:rFonts w:ascii="Times New Roman" w:hAnsi="Times New Roman" w:cs="Times New Roman"/>
          <w:b/>
          <w:color w:val="auto"/>
          <w:sz w:val="28"/>
          <w:szCs w:val="28"/>
          <w:lang w:eastAsia="ru-RU"/>
        </w:rPr>
      </w:pPr>
      <w:bookmarkStart w:id="214" w:name="_Toc57443798"/>
      <w:bookmarkStart w:id="215" w:name="_Toc133908552"/>
      <w:bookmarkStart w:id="216" w:name="_Toc147740084"/>
      <w:r>
        <w:rPr>
          <w:rFonts w:cs="Times New Roman" w:ascii="Times New Roman" w:hAnsi="Times New Roman"/>
          <w:b/>
          <w:color w:val="auto"/>
          <w:sz w:val="28"/>
          <w:szCs w:val="28"/>
          <w:lang w:eastAsia="ru-RU"/>
        </w:rPr>
        <w:t>Мероприятия по формированию природно-экологического каркаса территории</w:t>
      </w:r>
      <w:bookmarkEnd w:id="214"/>
      <w:bookmarkEnd w:id="215"/>
      <w:bookmarkEnd w:id="216"/>
    </w:p>
    <w:p>
      <w:pPr>
        <w:pStyle w:val="Normal"/>
        <w:widowControl w:val="false"/>
        <w:suppressAutoHyphens w:val="tru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lang w:eastAsia="ru-RU"/>
        </w:rPr>
        <w:t>Вдоль прибрежных защитных полос водотоков следует организовать озеленение специального назначения, которое будет способствовать сокращению стока взвешенных частиц с сельскохозяйственных полей.</w:t>
      </w:r>
    </w:p>
    <w:p>
      <w:pPr>
        <w:pStyle w:val="Normal"/>
        <w:widowControl w:val="false"/>
        <w:suppressAutoHyphens w:val="tru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Предлагается организация защитных лесополос вдоль автодорог регионального значения, в целях снего, газо- и пылезащиты.</w:t>
      </w:r>
    </w:p>
    <w:p>
      <w:pPr>
        <w:pStyle w:val="ListParagraph"/>
        <w:spacing w:lineRule="auto" w:line="240" w:before="0" w:after="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При проведении работ по озеленению рекомендуется использовать местные породы насаждений, наиболее приспособленные к данным почвенно-климатическим условиям. Рекомендуется создание смешанных насаждений из хвойных и лиственных пород, которые обладают широкими и разнообразными декоративными возможностями и в то же время более устойчивы к загрязнению окружающей среды.</w:t>
      </w:r>
    </w:p>
    <w:p>
      <w:pPr>
        <w:pStyle w:val="Style72"/>
        <w:rPr>
          <w:szCs w:val="28"/>
        </w:rPr>
      </w:pPr>
      <w:r>
        <w:rPr>
          <w:szCs w:val="28"/>
        </w:rPr>
      </w:r>
    </w:p>
    <w:p>
      <w:pPr>
        <w:pStyle w:val="2"/>
        <w:numPr>
          <w:ilvl w:val="1"/>
          <w:numId w:val="49"/>
        </w:numPr>
        <w:spacing w:lineRule="auto" w:line="240" w:before="0" w:after="0"/>
        <w:ind w:left="0" w:firstLine="709"/>
        <w:jc w:val="center"/>
        <w:rPr>
          <w:rFonts w:ascii="Times New Roman" w:hAnsi="Times New Roman" w:cs="Times New Roman"/>
          <w:b/>
          <w:color w:val="auto"/>
          <w:sz w:val="28"/>
          <w:szCs w:val="28"/>
          <w:lang w:eastAsia="ru-RU"/>
        </w:rPr>
      </w:pPr>
      <w:bookmarkStart w:id="217" w:name="_Toc133908553"/>
      <w:bookmarkStart w:id="218" w:name="_Toc57443801"/>
      <w:bookmarkStart w:id="219" w:name="_Toc147740085"/>
      <w:r>
        <w:rPr>
          <w:rFonts w:cs="Times New Roman" w:ascii="Times New Roman" w:hAnsi="Times New Roman"/>
          <w:b/>
          <w:color w:val="auto"/>
          <w:sz w:val="28"/>
          <w:szCs w:val="28"/>
          <w:lang w:eastAsia="ru-RU"/>
        </w:rPr>
        <w:t>Мероприятия по охране животного и растительного мира</w:t>
      </w:r>
      <w:bookmarkEnd w:id="217"/>
      <w:bookmarkEnd w:id="218"/>
      <w:bookmarkEnd w:id="219"/>
    </w:p>
    <w:p>
      <w:pPr>
        <w:pStyle w:val="ListParagraph"/>
        <w:widowControl w:val="false"/>
        <w:suppressAutoHyphens w:val="true"/>
        <w:spacing w:lineRule="auto" w:line="240" w:before="0" w:after="0"/>
        <w:ind w:left="0" w:firstLine="709"/>
        <w:contextualSpacing w:val="false"/>
        <w:jc w:val="both"/>
        <w:rPr>
          <w:rFonts w:ascii="Times New Roman" w:hAnsi="Times New Roman" w:cs="Times New Roman"/>
          <w:sz w:val="28"/>
          <w:szCs w:val="28"/>
          <w:lang w:eastAsia="ru-RU"/>
        </w:rPr>
      </w:pPr>
      <w:r>
        <w:rPr>
          <w:rFonts w:cs="Times New Roman" w:ascii="Times New Roman" w:hAnsi="Times New Roman"/>
          <w:sz w:val="28"/>
          <w:szCs w:val="28"/>
          <w:lang w:eastAsia="ru-RU"/>
        </w:rPr>
        <w:t>Согласно статье 22 Федерального закона от 24.04.1995 № 52-ФЗ «О животном мире», любая деятельность, влекущая за собой изменение среды обитания объектов животного мира и ухудшение условий их размножения, нагула, отдыха и путей миграции, должна осуществляться с соблюдением требований, обеспечивающих охрану животного мира.</w:t>
      </w:r>
    </w:p>
    <w:p>
      <w:pPr>
        <w:pStyle w:val="ListParagraph"/>
        <w:widowControl w:val="false"/>
        <w:suppressAutoHyphens w:val="true"/>
        <w:spacing w:lineRule="auto" w:line="240" w:before="0" w:after="0"/>
        <w:ind w:left="0" w:firstLine="709"/>
        <w:contextualSpacing w:val="false"/>
        <w:jc w:val="both"/>
        <w:rPr>
          <w:rFonts w:ascii="Times New Roman" w:hAnsi="Times New Roman" w:cs="Times New Roman"/>
          <w:sz w:val="28"/>
          <w:szCs w:val="28"/>
          <w:lang w:eastAsia="ru-RU"/>
        </w:rPr>
      </w:pPr>
      <w:r>
        <w:rPr>
          <w:rFonts w:cs="Times New Roman" w:ascii="Times New Roman" w:hAnsi="Times New Roman"/>
          <w:sz w:val="28"/>
          <w:szCs w:val="28"/>
          <w:lang w:eastAsia="ru-RU"/>
        </w:rPr>
        <w:t>Для сохранения разнообразия условий местообитания лесных видов растений и животных при разработке лесосек сохраняются ключевые биотопы – участки небольшой площади, которые не затрагиваются рубкой и имеют важные значение для сохранения биоразнообразия. Их наличие способствует восстановлению лесной среды на вырубках. Эти объекты являются потенциальными местами обитания редких и уязвимых видов живых организмов. Перечень ключевых биотопов определен в лесохозяйственных регламентах.</w:t>
      </w:r>
    </w:p>
    <w:p>
      <w:pPr>
        <w:pStyle w:val="Normal"/>
        <w:widowControl w:val="false"/>
        <w:suppressAutoHyphens w:val="true"/>
        <w:spacing w:lineRule="auto" w:line="240" w:before="0" w:after="0"/>
        <w:ind w:firstLine="709"/>
        <w:jc w:val="both"/>
        <w:rPr>
          <w:rFonts w:ascii="Times New Roman" w:hAnsi="Times New Roman" w:cs="Times New Roman"/>
          <w:sz w:val="28"/>
          <w:szCs w:val="28"/>
          <w:lang w:eastAsia="ru-RU"/>
        </w:rPr>
      </w:pPr>
      <w:r>
        <w:rPr>
          <w:rFonts w:cs="Times New Roman" w:ascii="Times New Roman" w:hAnsi="Times New Roman"/>
          <w:sz w:val="28"/>
          <w:szCs w:val="28"/>
          <w:lang w:eastAsia="ru-RU"/>
        </w:rPr>
        <w:t>При осуществлении производственных процессов в сельском, рыбном, лесном хозяйстве и лесной промышленности, на производственных и строительных площадках с открыто размещенным оборудованием, сырьем и вспомогательными материалами, на гидротехнических сооружениях и водохранилищах, на водных транспортных путях и магистралях автомобильного, железнодорожного транспорта и аэродромах, а также при эксплуатации трубопроводов, линий электропередачи и линий проводной связи в проектной документации необходимо предусмотреть мероприятия по предотвращению гибели объектов животного мира и ухудшению среды их обитания, согласно постановлению Кабинета Министров Республики Татарстан от 15.09.2000 № 669 «О Требованиях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Республики Татарстан».</w:t>
      </w:r>
    </w:p>
    <w:p>
      <w:pPr>
        <w:sectPr>
          <w:footerReference w:type="default" r:id="rId82"/>
          <w:footerReference w:type="first" r:id="rId83"/>
          <w:footnotePr>
            <w:numFmt w:val="decimal"/>
          </w:footnotePr>
          <w:type w:val="nextPage"/>
          <w:pgSz w:w="11906" w:h="16838"/>
          <w:pgMar w:left="1134" w:right="851" w:gutter="0" w:header="0" w:top="851" w:footer="708" w:bottom="851"/>
          <w:pgNumType w:fmt="decimal"/>
          <w:formProt w:val="false"/>
          <w:textDirection w:val="lrTb"/>
          <w:docGrid w:type="default" w:linePitch="360" w:charSpace="4294959103"/>
        </w:sectPr>
        <w:pStyle w:val="ListParagraph"/>
        <w:widowControl w:val="false"/>
        <w:suppressAutoHyphens w:val="true"/>
        <w:spacing w:lineRule="auto" w:line="240" w:before="0" w:after="0"/>
        <w:ind w:left="0" w:firstLine="709"/>
        <w:contextualSpacing w:val="false"/>
        <w:jc w:val="both"/>
        <w:rPr>
          <w:rFonts w:ascii="Times New Roman" w:hAnsi="Times New Roman" w:eastAsia="" w:cs="Times New Roman" w:eastAsiaTheme="minorEastAsia"/>
          <w:sz w:val="28"/>
          <w:szCs w:val="28"/>
        </w:rPr>
      </w:pPr>
      <w:r>
        <w:rPr>
          <w:rFonts w:eastAsia="" w:cs="Times New Roman" w:eastAsiaTheme="minorEastAsia" w:ascii="Times New Roman" w:hAnsi="Times New Roman"/>
          <w:sz w:val="28"/>
          <w:szCs w:val="28"/>
        </w:rPr>
      </w:r>
    </w:p>
    <w:p>
      <w:pPr>
        <w:pStyle w:val="ListParagraph"/>
        <w:widowControl w:val="false"/>
        <w:suppressAutoHyphens w:val="true"/>
        <w:spacing w:lineRule="auto" w:line="240" w:before="0" w:after="0"/>
        <w:ind w:left="0" w:firstLine="709"/>
        <w:contextualSpacing w:val="false"/>
        <w:jc w:val="right"/>
        <w:rPr>
          <w:rFonts w:ascii="Times New Roman" w:hAnsi="Times New Roman" w:cs="Times New Roman"/>
          <w:sz w:val="28"/>
          <w:szCs w:val="28"/>
          <w:lang w:eastAsia="ru-RU"/>
        </w:rPr>
      </w:pPr>
      <w:r>
        <w:rPr>
          <w:rFonts w:cs="Times New Roman" w:ascii="Times New Roman" w:hAnsi="Times New Roman"/>
          <w:sz w:val="28"/>
          <w:szCs w:val="28"/>
          <w:lang w:eastAsia="ru-RU"/>
        </w:rPr>
        <w:t>Таблица 7.10.1</w:t>
      </w:r>
    </w:p>
    <w:tbl>
      <w:tblPr>
        <w:tblpPr w:bottomFromText="0" w:horzAnchor="margin" w:leftFromText="180" w:rightFromText="180" w:tblpX="0" w:tblpY="2386" w:topFromText="0" w:vertAnchor="page"/>
        <w:tblW w:w="5000" w:type="pct"/>
        <w:jc w:val="left"/>
        <w:tblInd w:w="-5" w:type="dxa"/>
        <w:tblLayout w:type="fixed"/>
        <w:tblCellMar>
          <w:top w:w="0" w:type="dxa"/>
          <w:left w:w="108" w:type="dxa"/>
          <w:bottom w:w="0" w:type="dxa"/>
          <w:right w:w="108" w:type="dxa"/>
        </w:tblCellMar>
        <w:tblLook w:noVBand="0" w:val="0000" w:noHBand="0" w:lastColumn="0" w:firstColumn="0" w:lastRow="0" w:firstRow="0"/>
      </w:tblPr>
      <w:tblGrid>
        <w:gridCol w:w="681"/>
        <w:gridCol w:w="2871"/>
        <w:gridCol w:w="4115"/>
        <w:gridCol w:w="1770"/>
        <w:gridCol w:w="1456"/>
        <w:gridCol w:w="3959"/>
      </w:tblGrid>
      <w:tr>
        <w:trPr>
          <w:tblHeader w:val="true"/>
          <w:trHeight w:val="20" w:hRule="atLeast"/>
          <w:cantSplit w:val="true"/>
        </w:trPr>
        <w:tc>
          <w:tcPr>
            <w:tcW w:w="68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720" w:firstLine="142"/>
              <w:contextualSpacing/>
              <w:jc w:val="center"/>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п/п</w:t>
            </w:r>
          </w:p>
        </w:tc>
        <w:tc>
          <w:tcPr>
            <w:tcW w:w="287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720" w:firstLine="142"/>
              <w:contextualSpacing/>
              <w:jc w:val="center"/>
              <w:rPr>
                <w:rFonts w:ascii="Times New Roman" w:hAnsi="Times New Roman" w:cs="Times New Roman"/>
                <w:sz w:val="24"/>
                <w:szCs w:val="24"/>
              </w:rPr>
            </w:pPr>
            <w:r>
              <w:rPr>
                <w:rFonts w:cs="Times New Roman" w:ascii="Times New Roman" w:hAnsi="Times New Roman"/>
                <w:sz w:val="24"/>
                <w:szCs w:val="24"/>
              </w:rPr>
              <w:t>Наименование объекта</w:t>
            </w:r>
          </w:p>
        </w:tc>
        <w:tc>
          <w:tcPr>
            <w:tcW w:w="411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720" w:firstLine="142"/>
              <w:contextualSpacing/>
              <w:jc w:val="center"/>
              <w:rPr>
                <w:rFonts w:ascii="Times New Roman" w:hAnsi="Times New Roman" w:cs="Times New Roman"/>
                <w:sz w:val="24"/>
                <w:szCs w:val="24"/>
              </w:rPr>
            </w:pPr>
            <w:r>
              <w:rPr>
                <w:rFonts w:cs="Times New Roman" w:ascii="Times New Roman" w:hAnsi="Times New Roman"/>
                <w:sz w:val="24"/>
                <w:szCs w:val="24"/>
              </w:rPr>
              <w:t>Содержание мероприятия</w:t>
            </w:r>
          </w:p>
        </w:tc>
        <w:tc>
          <w:tcPr>
            <w:tcW w:w="3226"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720" w:firstLine="142"/>
              <w:contextualSpacing/>
              <w:jc w:val="center"/>
              <w:rPr>
                <w:rFonts w:ascii="Times New Roman" w:hAnsi="Times New Roman" w:cs="Times New Roman"/>
                <w:sz w:val="24"/>
                <w:szCs w:val="24"/>
              </w:rPr>
            </w:pPr>
            <w:r>
              <w:rPr>
                <w:rFonts w:cs="Times New Roman" w:ascii="Times New Roman" w:hAnsi="Times New Roman"/>
                <w:sz w:val="24"/>
                <w:szCs w:val="24"/>
              </w:rPr>
              <w:t>Сроки реализации</w:t>
            </w:r>
          </w:p>
        </w:tc>
        <w:tc>
          <w:tcPr>
            <w:tcW w:w="395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720" w:firstLine="142"/>
              <w:contextualSpacing/>
              <w:jc w:val="center"/>
              <w:rPr>
                <w:rFonts w:ascii="Times New Roman" w:hAnsi="Times New Roman" w:cs="Times New Roman"/>
                <w:sz w:val="24"/>
                <w:szCs w:val="24"/>
              </w:rPr>
            </w:pPr>
            <w:r>
              <w:rPr>
                <w:rFonts w:cs="Times New Roman" w:ascii="Times New Roman" w:hAnsi="Times New Roman"/>
                <w:sz w:val="24"/>
                <w:szCs w:val="24"/>
              </w:rPr>
              <w:t>Источник мероприятия (наименование документа)</w:t>
            </w:r>
          </w:p>
        </w:tc>
      </w:tr>
      <w:tr>
        <w:trPr>
          <w:tblHeader w:val="true"/>
          <w:trHeight w:val="70" w:hRule="atLeast"/>
          <w:cantSplit w:val="true"/>
        </w:trPr>
        <w:tc>
          <w:tcPr>
            <w:tcW w:w="6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720" w:firstLine="142"/>
              <w:contextualSpacing/>
              <w:jc w:val="center"/>
              <w:rPr>
                <w:rFonts w:ascii="Times New Roman" w:hAnsi="Times New Roman" w:cs="Times New Roman"/>
                <w:sz w:val="24"/>
                <w:szCs w:val="24"/>
              </w:rPr>
            </w:pPr>
            <w:r>
              <w:rPr>
                <w:rFonts w:cs="Times New Roman" w:ascii="Times New Roman" w:hAnsi="Times New Roman"/>
                <w:sz w:val="24"/>
                <w:szCs w:val="24"/>
              </w:rPr>
            </w:r>
          </w:p>
        </w:tc>
        <w:tc>
          <w:tcPr>
            <w:tcW w:w="287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720" w:firstLine="142"/>
              <w:contextualSpacing/>
              <w:jc w:val="center"/>
              <w:rPr>
                <w:rFonts w:ascii="Times New Roman" w:hAnsi="Times New Roman" w:cs="Times New Roman"/>
                <w:sz w:val="24"/>
                <w:szCs w:val="24"/>
              </w:rPr>
            </w:pPr>
            <w:r>
              <w:rPr>
                <w:rFonts w:cs="Times New Roman" w:ascii="Times New Roman" w:hAnsi="Times New Roman"/>
                <w:sz w:val="24"/>
                <w:szCs w:val="24"/>
              </w:rPr>
            </w:r>
          </w:p>
        </w:tc>
        <w:tc>
          <w:tcPr>
            <w:tcW w:w="41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720" w:firstLine="142"/>
              <w:contextualSpacing/>
              <w:jc w:val="center"/>
              <w:rPr>
                <w:rFonts w:ascii="Times New Roman" w:hAnsi="Times New Roman" w:cs="Times New Roman"/>
                <w:sz w:val="24"/>
                <w:szCs w:val="24"/>
              </w:rPr>
            </w:pPr>
            <w:r>
              <w:rPr>
                <w:rFonts w:cs="Times New Roman" w:ascii="Times New Roman" w:hAnsi="Times New Roman"/>
                <w:sz w:val="24"/>
                <w:szCs w:val="24"/>
              </w:rPr>
            </w:r>
          </w:p>
        </w:tc>
        <w:tc>
          <w:tcPr>
            <w:tcW w:w="17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720" w:firstLine="142"/>
              <w:contextualSpacing/>
              <w:jc w:val="center"/>
              <w:rPr>
                <w:rFonts w:ascii="Times New Roman" w:hAnsi="Times New Roman" w:cs="Times New Roman"/>
                <w:sz w:val="24"/>
                <w:szCs w:val="24"/>
              </w:rPr>
            </w:pPr>
            <w:r>
              <w:rPr>
                <w:rFonts w:cs="Times New Roman" w:ascii="Times New Roman" w:hAnsi="Times New Roman"/>
                <w:sz w:val="24"/>
                <w:szCs w:val="24"/>
              </w:rPr>
              <w:t>Первая очередь</w:t>
            </w:r>
          </w:p>
        </w:tc>
        <w:tc>
          <w:tcPr>
            <w:tcW w:w="1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720" w:firstLine="142"/>
              <w:contextualSpacing/>
              <w:jc w:val="center"/>
              <w:rPr>
                <w:rFonts w:ascii="Times New Roman" w:hAnsi="Times New Roman" w:cs="Times New Roman"/>
                <w:sz w:val="24"/>
                <w:szCs w:val="24"/>
              </w:rPr>
            </w:pPr>
            <w:r>
              <w:rPr>
                <w:rFonts w:cs="Times New Roman" w:ascii="Times New Roman" w:hAnsi="Times New Roman"/>
                <w:sz w:val="24"/>
                <w:szCs w:val="24"/>
              </w:rPr>
              <w:t>Расчетный период</w:t>
            </w:r>
          </w:p>
        </w:tc>
        <w:tc>
          <w:tcPr>
            <w:tcW w:w="39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720" w:firstLine="142"/>
              <w:contextualSpacing/>
              <w:jc w:val="center"/>
              <w:rPr>
                <w:rFonts w:ascii="Times New Roman" w:hAnsi="Times New Roman" w:cs="Times New Roman"/>
                <w:sz w:val="24"/>
                <w:szCs w:val="24"/>
              </w:rPr>
            </w:pPr>
            <w:r>
              <w:rPr>
                <w:rFonts w:cs="Times New Roman" w:ascii="Times New Roman" w:hAnsi="Times New Roman"/>
                <w:sz w:val="24"/>
                <w:szCs w:val="24"/>
              </w:rPr>
            </w:r>
          </w:p>
        </w:tc>
      </w:tr>
      <w:tr>
        <w:trPr>
          <w:trHeight w:val="1125" w:hRule="atLeast"/>
          <w:cantSplit w:val="true"/>
        </w:trPr>
        <w:tc>
          <w:tcPr>
            <w:tcW w:w="6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720" w:firstLine="142"/>
              <w:contextualSpacing/>
              <w:jc w:val="center"/>
              <w:rPr>
                <w:rFonts w:ascii="Times New Roman" w:hAnsi="Times New Roman" w:cs="Times New Roman"/>
                <w:sz w:val="24"/>
                <w:szCs w:val="24"/>
                <w:lang w:val="en-US"/>
              </w:rPr>
            </w:pPr>
            <w:r>
              <w:rPr>
                <w:rFonts w:cs="Times New Roman" w:ascii="Times New Roman" w:hAnsi="Times New Roman"/>
                <w:sz w:val="24"/>
                <w:szCs w:val="24"/>
                <w:lang w:val="en-US"/>
              </w:rPr>
              <w:t>1</w:t>
            </w:r>
          </w:p>
        </w:tc>
        <w:tc>
          <w:tcPr>
            <w:tcW w:w="28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720" w:firstLine="142"/>
              <w:contextualSpacing/>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Лесные насаждения</w:t>
            </w:r>
          </w:p>
        </w:tc>
        <w:tc>
          <w:tcPr>
            <w:tcW w:w="41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720" w:firstLine="142"/>
              <w:contextualSpacing/>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Соблюдение противопожарных расстояний от жилых домов до границ лесных насаждений</w:t>
            </w:r>
          </w:p>
        </w:tc>
        <w:tc>
          <w:tcPr>
            <w:tcW w:w="17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720" w:firstLine="142"/>
              <w:contextualSpacing/>
              <w:jc w:val="center"/>
              <w:rPr>
                <w:rFonts w:ascii="Times New Roman" w:hAnsi="Times New Roman" w:cs="Times New Roman"/>
                <w:sz w:val="24"/>
                <w:szCs w:val="24"/>
              </w:rPr>
            </w:pPr>
            <w:r>
              <w:rPr>
                <w:rFonts w:cs="Times New Roman" w:ascii="Times New Roman" w:hAnsi="Times New Roman"/>
                <w:sz w:val="24"/>
                <w:szCs w:val="24"/>
              </w:rPr>
              <w:t>+</w:t>
            </w:r>
          </w:p>
        </w:tc>
        <w:tc>
          <w:tcPr>
            <w:tcW w:w="1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720" w:firstLine="142"/>
              <w:contextualSpacing/>
              <w:jc w:val="center"/>
              <w:rPr>
                <w:rFonts w:ascii="Times New Roman" w:hAnsi="Times New Roman" w:cs="Times New Roman"/>
                <w:sz w:val="24"/>
                <w:szCs w:val="24"/>
              </w:rPr>
            </w:pPr>
            <w:r>
              <w:rPr>
                <w:rFonts w:cs="Times New Roman" w:ascii="Times New Roman" w:hAnsi="Times New Roman"/>
                <w:sz w:val="24"/>
                <w:szCs w:val="24"/>
              </w:rPr>
            </w:r>
          </w:p>
        </w:tc>
        <w:tc>
          <w:tcPr>
            <w:tcW w:w="395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2431" w:leader="none"/>
              </w:tabs>
              <w:suppressAutoHyphens w:val="tru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t>СП 4.13130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tc>
      </w:tr>
      <w:tr>
        <w:trPr>
          <w:trHeight w:val="1125" w:hRule="atLeast"/>
          <w:cantSplit w:val="true"/>
        </w:trPr>
        <w:tc>
          <w:tcPr>
            <w:tcW w:w="6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720" w:firstLine="142"/>
              <w:contextualSpacing/>
              <w:jc w:val="center"/>
              <w:rPr>
                <w:rFonts w:ascii="Times New Roman" w:hAnsi="Times New Roman" w:cs="Times New Roman"/>
                <w:sz w:val="24"/>
                <w:szCs w:val="24"/>
              </w:rPr>
            </w:pPr>
            <w:r>
              <w:rPr>
                <w:rFonts w:cs="Times New Roman" w:ascii="Times New Roman" w:hAnsi="Times New Roman"/>
                <w:sz w:val="24"/>
                <w:szCs w:val="24"/>
              </w:rPr>
              <w:t>2</w:t>
            </w:r>
          </w:p>
        </w:tc>
        <w:tc>
          <w:tcPr>
            <w:tcW w:w="28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720" w:firstLine="142"/>
              <w:contextualSpacing/>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Флора и фауна поверхностных водных объектов</w:t>
            </w:r>
          </w:p>
        </w:tc>
        <w:tc>
          <w:tcPr>
            <w:tcW w:w="41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720" w:firstLine="142"/>
              <w:contextualSpacing/>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Не допускать загрязнения водных объектов</w:t>
            </w:r>
          </w:p>
        </w:tc>
        <w:tc>
          <w:tcPr>
            <w:tcW w:w="177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720" w:firstLine="142"/>
              <w:contextualSpacing/>
              <w:jc w:val="center"/>
              <w:rPr>
                <w:rFonts w:ascii="Times New Roman" w:hAnsi="Times New Roman" w:cs="Times New Roman"/>
                <w:sz w:val="24"/>
                <w:szCs w:val="24"/>
              </w:rPr>
            </w:pPr>
            <w:r>
              <w:rPr>
                <w:rFonts w:cs="Times New Roman" w:ascii="Times New Roman" w:hAnsi="Times New Roman"/>
                <w:sz w:val="24"/>
                <w:szCs w:val="24"/>
              </w:rPr>
              <w:t>+</w:t>
            </w:r>
          </w:p>
        </w:tc>
        <w:tc>
          <w:tcPr>
            <w:tcW w:w="1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720" w:firstLine="142"/>
              <w:contextualSpacing/>
              <w:jc w:val="center"/>
              <w:rPr>
                <w:rFonts w:ascii="Times New Roman" w:hAnsi="Times New Roman" w:cs="Times New Roman"/>
                <w:sz w:val="24"/>
                <w:szCs w:val="24"/>
              </w:rPr>
            </w:pPr>
            <w:r>
              <w:rPr>
                <w:rFonts w:cs="Times New Roman" w:ascii="Times New Roman" w:hAnsi="Times New Roman"/>
                <w:sz w:val="24"/>
                <w:szCs w:val="24"/>
              </w:rPr>
            </w:r>
          </w:p>
        </w:tc>
        <w:tc>
          <w:tcPr>
            <w:tcW w:w="395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2431" w:leader="none"/>
              </w:tabs>
              <w:suppressAutoHyphens w:val="true"/>
              <w:spacing w:lineRule="auto" w:line="240" w:before="0" w:after="0"/>
              <w:contextualSpacing/>
              <w:jc w:val="center"/>
              <w:rPr>
                <w:rFonts w:ascii="Times New Roman" w:hAnsi="Times New Roman" w:cs="Times New Roman"/>
                <w:sz w:val="24"/>
                <w:szCs w:val="24"/>
              </w:rPr>
            </w:pPr>
            <w:r>
              <w:rPr>
                <w:rFonts w:cs="Times New Roman" w:ascii="Times New Roman" w:hAnsi="Times New Roman"/>
                <w:sz w:val="24"/>
                <w:szCs w:val="24"/>
              </w:rPr>
              <w:t>Статья 22, Федеральный закон от 24.04.1995 № 52-ФЗ "О животном мире"</w:t>
            </w:r>
          </w:p>
        </w:tc>
      </w:tr>
    </w:tbl>
    <w:p>
      <w:pPr>
        <w:sectPr>
          <w:footerReference w:type="default" r:id="rId84"/>
          <w:footerReference w:type="first" r:id="rId85"/>
          <w:footnotePr>
            <w:numFmt w:val="decimal"/>
          </w:footnotePr>
          <w:type w:val="nextPage"/>
          <w:pgSz w:orient="landscape" w:w="16838" w:h="11906"/>
          <w:pgMar w:left="1134" w:right="851" w:gutter="0" w:header="0" w:top="851" w:footer="708" w:bottom="851"/>
          <w:pgNumType w:fmt="decimal"/>
          <w:formProt w:val="false"/>
          <w:textDirection w:val="lrTb"/>
          <w:docGrid w:type="default" w:linePitch="360" w:charSpace="4294959103"/>
        </w:sectPr>
        <w:pStyle w:val="Normal"/>
        <w:spacing w:lineRule="auto" w:line="240" w:before="0" w:after="0"/>
        <w:contextualSpacing/>
        <w:jc w:val="center"/>
        <w:rPr>
          <w:rFonts w:ascii="Times New Roman" w:hAnsi="Times New Roman" w:eastAsia="Times New Roman" w:cs="Times New Roman"/>
          <w:b/>
          <w:sz w:val="28"/>
          <w:szCs w:val="28"/>
          <w:lang w:eastAsia="ru-RU"/>
        </w:rPr>
      </w:pPr>
      <w:r>
        <w:rPr>
          <w:rFonts w:eastAsia="Times New Roman" w:cs="Times New Roman" w:ascii="Times New Roman" w:hAnsi="Times New Roman"/>
          <w:b/>
          <w:sz w:val="28"/>
          <w:szCs w:val="28"/>
          <w:lang w:eastAsia="ru-RU"/>
        </w:rPr>
        <w:t>Перечень мероприятий по охране животного и растительного мира</w:t>
      </w:r>
    </w:p>
    <w:p>
      <w:pPr>
        <w:pStyle w:val="2"/>
        <w:numPr>
          <w:ilvl w:val="1"/>
          <w:numId w:val="49"/>
        </w:numPr>
        <w:spacing w:lineRule="auto" w:line="240" w:before="0" w:after="0"/>
        <w:ind w:left="0" w:hanging="0"/>
        <w:contextualSpacing/>
        <w:jc w:val="center"/>
        <w:rPr>
          <w:rFonts w:ascii="Times New Roman" w:hAnsi="Times New Roman" w:cs="Times New Roman"/>
          <w:b/>
          <w:color w:val="auto"/>
          <w:sz w:val="28"/>
          <w:szCs w:val="28"/>
          <w:lang w:eastAsia="ru-RU"/>
        </w:rPr>
      </w:pPr>
      <w:bookmarkStart w:id="220" w:name="_Toc57443803"/>
      <w:bookmarkStart w:id="221" w:name="_Toc147740086"/>
      <w:bookmarkStart w:id="222" w:name="_Toc133908554"/>
      <w:r>
        <w:rPr>
          <w:rFonts w:cs="Times New Roman" w:ascii="Times New Roman" w:hAnsi="Times New Roman"/>
          <w:b/>
          <w:color w:val="auto"/>
          <w:sz w:val="28"/>
          <w:szCs w:val="28"/>
          <w:lang w:eastAsia="ru-RU"/>
        </w:rPr>
        <w:t>Мероприятия по оптимизации санитарно-эпидемиологического негативного воздействия территории и здоровья населения</w:t>
      </w:r>
      <w:bookmarkEnd w:id="220"/>
      <w:bookmarkEnd w:id="221"/>
      <w:bookmarkEnd w:id="222"/>
    </w:p>
    <w:p>
      <w:pPr>
        <w:pStyle w:val="ListParagraph"/>
        <w:widowControl w:val="false"/>
        <w:suppressAutoHyphens w:val="true"/>
        <w:spacing w:lineRule="auto" w:line="240" w:before="0" w:after="0"/>
        <w:ind w:left="0" w:firstLine="709"/>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Соблюдение режима использования земельных участков в границах санитарно-защитных зон, установление санитарно-защитных зон для существующих и планируемых производственных предприятий; соблюдение режима зон санитарной охраны источников питьевого водоснабжения и лабораторный контроль качества питьевых вод; организация озеленения специального назначения вдоль дорог регионального значения; проведение водоохранных мероприятий, в том числе установка локальных очистных сооружений; правильное обращение с отходами и сточными водами; производственный контроль качества атмосферного воздуха, поверхностных и подземных вод, почв.</w:t>
      </w:r>
    </w:p>
    <w:p>
      <w:pPr>
        <w:pStyle w:val="Normal"/>
        <w:spacing w:lineRule="auto" w:line="240"/>
        <w:rPr>
          <w:highlight w:val="yellow"/>
          <w:lang w:eastAsia="ru-RU"/>
        </w:rPr>
      </w:pPr>
      <w:r>
        <w:rPr>
          <w:highlight w:val="yellow"/>
          <w:lang w:eastAsia="ru-RU"/>
        </w:rPr>
      </w:r>
      <w:r>
        <w:br w:type="page"/>
      </w:r>
    </w:p>
    <w:p>
      <w:pPr>
        <w:pStyle w:val="Normal"/>
        <w:widowControl w:val="false"/>
        <w:numPr>
          <w:ilvl w:val="0"/>
          <w:numId w:val="0"/>
        </w:numPr>
        <w:suppressAutoHyphens w:val="true"/>
        <w:spacing w:lineRule="auto" w:line="240"/>
        <w:ind w:firstLine="709"/>
        <w:jc w:val="center"/>
        <w:outlineLvl w:val="0"/>
        <w:rPr>
          <w:rFonts w:ascii="Times New Roman" w:hAnsi="Times New Roman" w:eastAsia="" w:cs="Times New Roman" w:eastAsiaTheme="majorEastAsia"/>
          <w:b/>
          <w:sz w:val="28"/>
          <w:szCs w:val="28"/>
          <w:lang w:eastAsia="ru-RU"/>
        </w:rPr>
      </w:pPr>
      <w:bookmarkStart w:id="223" w:name="_Toc31180051"/>
      <w:bookmarkStart w:id="224" w:name="_Toc147740087"/>
      <w:bookmarkStart w:id="225" w:name="_Toc133908555"/>
      <w:r>
        <w:rPr>
          <w:rFonts w:eastAsia="" w:cs="Times New Roman" w:ascii="Times New Roman" w:hAnsi="Times New Roman" w:eastAsiaTheme="majorEastAsia"/>
          <w:b/>
          <w:sz w:val="28"/>
          <w:szCs w:val="28"/>
          <w:lang w:eastAsia="ru-RU"/>
        </w:rPr>
        <w:t>8. МЕРОПРИЯТИЯ ИНЖЕНЕРНОЙ ПОДГОТОВКИ ТЕРРИТОРИИ</w:t>
      </w:r>
      <w:bookmarkEnd w:id="223"/>
      <w:bookmarkEnd w:id="224"/>
      <w:bookmarkEnd w:id="225"/>
    </w:p>
    <w:p>
      <w:pPr>
        <w:pStyle w:val="Normal"/>
        <w:spacing w:lineRule="atLeast" w:line="23"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Целью инженерной подготовки территории населенных мест является улучшение физических характеристик территории и создание условий для эффективного гражданского и промышленного строительства. </w:t>
      </w:r>
    </w:p>
    <w:p>
      <w:pPr>
        <w:pStyle w:val="Normal"/>
        <w:spacing w:lineRule="atLeast" w:line="23" w:before="0" w:after="0"/>
        <w:ind w:firstLine="709"/>
        <w:jc w:val="both"/>
        <w:rPr>
          <w:rFonts w:ascii="Times New Roman" w:hAnsi="Times New Roman" w:cs="Times New Roman"/>
          <w:sz w:val="28"/>
          <w:szCs w:val="28"/>
        </w:rPr>
      </w:pPr>
      <w:r>
        <w:rPr>
          <w:rFonts w:cs="Times New Roman" w:ascii="Times New Roman" w:hAnsi="Times New Roman"/>
          <w:sz w:val="28"/>
          <w:szCs w:val="28"/>
        </w:rPr>
        <w:t>Основной задачей инженерной подготовки является защита территории района от воздействия неблагоприятных физико-геологических процессов. Для этого необходимы мероприятия по инженерной подготовке, состав которых следует устанавливать в зависимости от природных условий осваиваемой территории (рельефа, грунтовых условий, степени затопляемости, заболоченности, наличия опасных природных процессов на осваиваемой территории), характера использования территории.</w:t>
      </w:r>
    </w:p>
    <w:p>
      <w:pPr>
        <w:pStyle w:val="Normal"/>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В данном разделе даны общие рекомендации по мероприятиям инженерной подготовки территории. На практике необходимо исходить из конкретных проблем, присущих определенному участку. При возведении объектов капитального строительства обязательно проведение инженерно-геологических изысканий с целью оценки геологических условий территории, породного состава и физических свойств грунтов, определения эрозионной устойчивости грунтов, уровня залегания грунтовых вод. Также необходимо использовать имеющийся опыт строительства в аналогичных инженерно-геологических условиях. Окончательный вариант организации рельефа территории выбирается в зависимости от интенсивности нежелательных природных процессов, осложняющих эксплуатацию земельного участка, предполагаемых нагрузок и воздействий, эксплуатационных затрат на инженерные мероприятия и их целесообразности.</w:t>
      </w:r>
    </w:p>
    <w:p>
      <w:pPr>
        <w:pStyle w:val="Normal"/>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ind w:firstLine="709"/>
        <w:jc w:val="center"/>
        <w:rPr>
          <w:rFonts w:ascii="Times New Roman" w:hAnsi="Times New Roman" w:eastAsia="Times New Roman" w:cs="Times New Roman"/>
          <w:b/>
          <w:sz w:val="28"/>
          <w:szCs w:val="28"/>
          <w:lang w:eastAsia="ru-RU"/>
        </w:rPr>
      </w:pPr>
      <w:r>
        <w:rPr>
          <w:rFonts w:eastAsia="Times New Roman" w:cs="Times New Roman" w:ascii="Times New Roman" w:hAnsi="Times New Roman"/>
          <w:b/>
          <w:sz w:val="28"/>
          <w:szCs w:val="28"/>
          <w:lang w:eastAsia="ru-RU"/>
        </w:rPr>
        <w:t>Перечень и категория опасности природных процессов</w:t>
      </w:r>
    </w:p>
    <w:p>
      <w:pPr>
        <w:pStyle w:val="ListParagraph"/>
        <w:widowControl w:val="false"/>
        <w:suppressAutoHyphens w:val="true"/>
        <w:spacing w:lineRule="auto" w:line="240" w:before="0" w:after="0"/>
        <w:ind w:left="0" w:firstLine="709"/>
        <w:contextualSpacing w:val="false"/>
        <w:jc w:val="both"/>
        <w:rPr>
          <w:rFonts w:ascii="Times New Roman" w:hAnsi="Times New Roman" w:cs="Times New Roman"/>
          <w:sz w:val="28"/>
          <w:szCs w:val="28"/>
          <w:lang w:eastAsia="ru-RU"/>
        </w:rPr>
      </w:pPr>
      <w:r>
        <w:rPr>
          <w:rFonts w:cs="Times New Roman" w:ascii="Times New Roman" w:hAnsi="Times New Roman"/>
          <w:sz w:val="28"/>
          <w:szCs w:val="28"/>
          <w:lang w:eastAsia="ru-RU"/>
        </w:rPr>
        <w:t>Населенные пункты поселения не включены в «Перечень населенных пунктов Республики Татарстан, попадающих в зоны возможного затопления (подтопления) в паводковый период», утвержденный распоряжением Кабинета Министров Республики Татарстан от 29.08.2013 №1625-р (с изменениями и дополнениями).</w:t>
      </w:r>
    </w:p>
    <w:p>
      <w:pPr>
        <w:pStyle w:val="Normal"/>
        <w:widowControl w:val="false"/>
        <w:tabs>
          <w:tab w:val="clear" w:pos="709"/>
          <w:tab w:val="left" w:pos="1080" w:leader="none"/>
        </w:tabs>
        <w:overflowPunct w:val="true"/>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Целесообразность освоения территории под новое строительство предварительно определяется путем </w:t>
      </w:r>
      <w:r>
        <w:rPr>
          <w:rFonts w:eastAsia="Calibri" w:cs="Times New Roman" w:ascii="Times New Roman" w:hAnsi="Times New Roman"/>
          <w:bCs/>
          <w:sz w:val="28"/>
          <w:szCs w:val="28"/>
          <w:lang w:eastAsia="ru-RU"/>
        </w:rPr>
        <w:t xml:space="preserve">определения категории опасности природных процессов, которым подвержено поселение муниципального района Республики Татарстан, согласно таблице 5.1 «СП 115.13330.2016 </w:t>
      </w:r>
      <w:r>
        <w:rPr>
          <w:rFonts w:cs="Times New Roman" w:ascii="Times New Roman" w:hAnsi="Times New Roman"/>
          <w:sz w:val="28"/>
          <w:szCs w:val="28"/>
          <w:lang w:eastAsia="ru-RU"/>
        </w:rPr>
        <w:t>Свод правил. Геофизика опасных природных воздействий. Актуализированная редакция СНиП 22-01-95», утвержденного</w:t>
      </w:r>
      <w:r>
        <w:rPr>
          <w:rFonts w:cs="Segoe UI" w:ascii="Segoe UI" w:hAnsi="Segoe UI"/>
          <w:shd w:fill="FFFFFF" w:val="clear"/>
        </w:rPr>
        <w:t xml:space="preserve"> </w:t>
      </w:r>
      <w:r>
        <w:rPr>
          <w:rFonts w:eastAsia="Times New Roman" w:cs="Times New Roman" w:ascii="Times New Roman" w:hAnsi="Times New Roman"/>
          <w:sz w:val="28"/>
          <w:szCs w:val="28"/>
          <w:lang w:eastAsia="ru-RU"/>
        </w:rPr>
        <w:t xml:space="preserve">Приказом Минстроя России от 16.12.2016 № 956/пр (далее </w:t>
      </w:r>
      <w:r>
        <w:rPr>
          <w:rFonts w:eastAsia="Calibri" w:cs="Times New Roman" w:ascii="Times New Roman" w:hAnsi="Times New Roman"/>
          <w:bCs/>
          <w:sz w:val="28"/>
          <w:szCs w:val="28"/>
          <w:lang w:eastAsia="ru-RU"/>
        </w:rPr>
        <w:t>СП 115.13330.2016)</w:t>
      </w:r>
      <w:r>
        <w:rPr>
          <w:rFonts w:eastAsia="Times New Roman" w:cs="Times New Roman" w:ascii="Times New Roman" w:hAnsi="Times New Roman"/>
          <w:sz w:val="28"/>
          <w:szCs w:val="28"/>
          <w:lang w:eastAsia="ru-RU"/>
        </w:rPr>
        <w:t xml:space="preserve">. </w:t>
      </w:r>
    </w:p>
    <w:p>
      <w:pPr>
        <w:pStyle w:val="Normal"/>
        <w:spacing w:lineRule="auto" w:line="240" w:before="0" w:after="0"/>
        <w:ind w:firstLine="709"/>
        <w:jc w:val="both"/>
        <w:rPr>
          <w:rFonts w:ascii="Times New Roman" w:hAnsi="Times New Roman" w:eastAsia="Calibri" w:cs="Times New Roman"/>
          <w:bCs/>
          <w:sz w:val="28"/>
          <w:szCs w:val="28"/>
          <w:lang w:eastAsia="ru-RU"/>
        </w:rPr>
      </w:pPr>
      <w:r>
        <w:rPr>
          <w:rFonts w:eastAsia="Calibri" w:cs="Times New Roman" w:ascii="Times New Roman" w:hAnsi="Times New Roman"/>
          <w:bCs/>
          <w:sz w:val="28"/>
          <w:szCs w:val="28"/>
          <w:lang w:eastAsia="ru-RU"/>
        </w:rPr>
      </w:r>
    </w:p>
    <w:p>
      <w:pPr>
        <w:pStyle w:val="Normal"/>
        <w:rPr>
          <w:rFonts w:ascii="Times New Roman" w:hAnsi="Times New Roman" w:eastAsia="Calibri" w:cs="Times New Roman"/>
          <w:bCs/>
          <w:sz w:val="28"/>
          <w:szCs w:val="28"/>
          <w:lang w:eastAsia="ru-RU"/>
        </w:rPr>
      </w:pPr>
      <w:r>
        <w:rPr>
          <w:rFonts w:eastAsia="Calibri" w:cs="Times New Roman" w:ascii="Times New Roman" w:hAnsi="Times New Roman"/>
          <w:bCs/>
          <w:sz w:val="28"/>
          <w:szCs w:val="28"/>
          <w:lang w:eastAsia="ru-RU"/>
        </w:rPr>
      </w:r>
      <w:r>
        <w:br w:type="page"/>
      </w:r>
    </w:p>
    <w:p>
      <w:pPr>
        <w:pStyle w:val="Normal"/>
        <w:spacing w:lineRule="auto" w:line="240" w:before="0" w:after="0"/>
        <w:jc w:val="right"/>
        <w:rPr>
          <w:rFonts w:ascii="Times New Roman" w:hAnsi="Times New Roman" w:eastAsia="Calibri" w:cs="Times New Roman"/>
          <w:bCs/>
          <w:sz w:val="28"/>
          <w:szCs w:val="28"/>
          <w:lang w:eastAsia="ru-RU"/>
        </w:rPr>
      </w:pPr>
      <w:r>
        <w:rPr>
          <w:rFonts w:eastAsia="Calibri" w:cs="Times New Roman" w:ascii="Times New Roman" w:hAnsi="Times New Roman"/>
          <w:bCs/>
          <w:sz w:val="28"/>
          <w:szCs w:val="28"/>
          <w:lang w:eastAsia="ru-RU"/>
        </w:rPr>
        <w:t>Таблица 8.1.</w:t>
      </w:r>
    </w:p>
    <w:p>
      <w:pPr>
        <w:pStyle w:val="Normal"/>
        <w:spacing w:lineRule="auto" w:line="240" w:before="0" w:after="0"/>
        <w:jc w:val="center"/>
        <w:rPr>
          <w:rFonts w:ascii="Times New Roman" w:hAnsi="Times New Roman" w:eastAsia="Calibri" w:cs="Times New Roman"/>
          <w:bCs/>
          <w:sz w:val="28"/>
          <w:szCs w:val="28"/>
          <w:lang w:eastAsia="ru-RU"/>
        </w:rPr>
      </w:pPr>
      <w:r>
        <w:rPr>
          <w:rFonts w:eastAsia="Calibri" w:cs="Times New Roman" w:ascii="Times New Roman" w:hAnsi="Times New Roman"/>
          <w:bCs/>
          <w:sz w:val="28"/>
          <w:szCs w:val="28"/>
          <w:lang w:eastAsia="ru-RU"/>
        </w:rPr>
        <w:t>Категории опасности природных воздействий</w:t>
      </w:r>
    </w:p>
    <w:tbl>
      <w:tblPr>
        <w:tblW w:w="9070" w:type="dxa"/>
        <w:jc w:val="center"/>
        <w:tblInd w:w="0" w:type="dxa"/>
        <w:tblLayout w:type="fixed"/>
        <w:tblCellMar>
          <w:top w:w="102" w:type="dxa"/>
          <w:left w:w="62" w:type="dxa"/>
          <w:bottom w:w="102" w:type="dxa"/>
          <w:right w:w="62" w:type="dxa"/>
        </w:tblCellMar>
        <w:tblLook w:noVBand="0" w:val="0000" w:noHBand="0" w:lastColumn="0" w:firstColumn="0" w:lastRow="0" w:firstRow="0"/>
      </w:tblPr>
      <w:tblGrid>
        <w:gridCol w:w="3458"/>
        <w:gridCol w:w="1417"/>
        <w:gridCol w:w="1416"/>
        <w:gridCol w:w="1305"/>
        <w:gridCol w:w="1474"/>
      </w:tblGrid>
      <w:tr>
        <w:trPr/>
        <w:tc>
          <w:tcPr>
            <w:tcW w:w="3458"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Показатели, используемые при оценке категории опасности природного процесса (ОПП)</w:t>
            </w:r>
          </w:p>
        </w:tc>
        <w:tc>
          <w:tcPr>
            <w:tcW w:w="5612"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Категории опасности процессов</w:t>
            </w:r>
          </w:p>
        </w:tc>
      </w:tr>
      <w:tr>
        <w:trPr/>
        <w:tc>
          <w:tcPr>
            <w:tcW w:w="345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r>
          </w:p>
        </w:tc>
        <w:tc>
          <w:tcPr>
            <w:tcW w:w="14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чрезвычайно опасные (катастрофические)</w:t>
            </w:r>
          </w:p>
        </w:tc>
        <w:tc>
          <w:tcPr>
            <w:tcW w:w="141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весьма опасные</w:t>
            </w:r>
          </w:p>
        </w:tc>
        <w:tc>
          <w:tcPr>
            <w:tcW w:w="13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опасные</w:t>
            </w:r>
          </w:p>
        </w:tc>
        <w:tc>
          <w:tcPr>
            <w:tcW w:w="147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умеренно опасные</w:t>
            </w:r>
          </w:p>
        </w:tc>
      </w:tr>
      <w:tr>
        <w:trPr/>
        <w:tc>
          <w:tcPr>
            <w:tcW w:w="34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Оползни</w:t>
            </w:r>
          </w:p>
        </w:tc>
        <w:tc>
          <w:tcPr>
            <w:tcW w:w="14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41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3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4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r>
      <w:tr>
        <w:trPr/>
        <w:tc>
          <w:tcPr>
            <w:tcW w:w="34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Сели</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3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4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r>
      <w:tr>
        <w:trPr/>
        <w:tc>
          <w:tcPr>
            <w:tcW w:w="34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Лавины</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3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4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r>
      <w:tr>
        <w:trPr/>
        <w:tc>
          <w:tcPr>
            <w:tcW w:w="34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Землетрясения</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3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4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r>
      <w:tr>
        <w:trPr/>
        <w:tc>
          <w:tcPr>
            <w:tcW w:w="34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Абразия и термоабразия</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3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4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r>
      <w:tr>
        <w:trPr/>
        <w:tc>
          <w:tcPr>
            <w:tcW w:w="34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Переработка берегов водохранилищ, озер</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3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4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r>
      <w:tr>
        <w:trPr/>
        <w:tc>
          <w:tcPr>
            <w:tcW w:w="34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Карст</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3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4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r>
      <w:tr>
        <w:trPr/>
        <w:tc>
          <w:tcPr>
            <w:tcW w:w="34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Суффозия</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3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4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r>
      <w:tr>
        <w:trPr/>
        <w:tc>
          <w:tcPr>
            <w:tcW w:w="34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Просадочность лессовых пород</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3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4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r>
      <w:tr>
        <w:trPr/>
        <w:tc>
          <w:tcPr>
            <w:tcW w:w="34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Подтопление территории</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3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4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r>
      <w:tr>
        <w:trPr/>
        <w:tc>
          <w:tcPr>
            <w:tcW w:w="34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Эрозия плоскостная и овражная</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3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4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r>
      <w:tr>
        <w:trPr/>
        <w:tc>
          <w:tcPr>
            <w:tcW w:w="34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Русловые деформации</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3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4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r>
      <w:tr>
        <w:trPr/>
        <w:tc>
          <w:tcPr>
            <w:tcW w:w="34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Термоэрозия овражная</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3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4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r>
      <w:tr>
        <w:trPr/>
        <w:tc>
          <w:tcPr>
            <w:tcW w:w="34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Термокарст</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3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4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r>
      <w:tr>
        <w:trPr/>
        <w:tc>
          <w:tcPr>
            <w:tcW w:w="34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Пучение</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3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4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r>
      <w:tr>
        <w:trPr/>
        <w:tc>
          <w:tcPr>
            <w:tcW w:w="34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Солифлюкция</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3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4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r>
      <w:tr>
        <w:trPr/>
        <w:tc>
          <w:tcPr>
            <w:tcW w:w="34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Наледеобразование</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3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4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r>
      <w:tr>
        <w:trPr/>
        <w:tc>
          <w:tcPr>
            <w:tcW w:w="34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Наводнение (вследствие половодья, затора, зажора, катастрофического ливня)</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3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4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r>
      <w:tr>
        <w:trPr/>
        <w:tc>
          <w:tcPr>
            <w:tcW w:w="34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Ураганы, смерчи</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3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4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r>
      <w:tr>
        <w:trPr/>
        <w:tc>
          <w:tcPr>
            <w:tcW w:w="34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Цунами</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4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3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c>
          <w:tcPr>
            <w:tcW w:w="14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bCs/>
                <w:sz w:val="20"/>
                <w:szCs w:val="20"/>
                <w:lang w:eastAsia="ru-RU"/>
              </w:rPr>
            </w:pPr>
            <w:r>
              <w:rPr>
                <w:rFonts w:eastAsia="Calibri" w:cs="Times New Roman" w:ascii="Times New Roman" w:hAnsi="Times New Roman"/>
                <w:bCs/>
                <w:sz w:val="20"/>
                <w:szCs w:val="20"/>
                <w:lang w:eastAsia="ru-RU"/>
              </w:rPr>
              <w:t>-</w:t>
            </w:r>
          </w:p>
        </w:tc>
      </w:tr>
    </w:tbl>
    <w:p>
      <w:pPr>
        <w:pStyle w:val="Normal"/>
        <w:spacing w:lineRule="auto" w:line="240" w:before="0" w:after="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При возведении объектов капитального строительства обязательно проведение инженерно-геологических изысканий с целью оценки геологических условий территории и выявления неблагоприятных участков. </w:t>
      </w:r>
    </w:p>
    <w:p>
      <w:pPr>
        <w:pStyle w:val="Normal"/>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ind w:firstLine="709"/>
        <w:jc w:val="center"/>
        <w:rPr>
          <w:rFonts w:ascii="Times New Roman" w:hAnsi="Times New Roman" w:eastAsia="Times New Roman" w:cs="Times New Roman"/>
          <w:b/>
          <w:sz w:val="28"/>
          <w:szCs w:val="28"/>
          <w:lang w:eastAsia="ru-RU"/>
        </w:rPr>
      </w:pPr>
      <w:r>
        <w:rPr>
          <w:rFonts w:eastAsia="Times New Roman" w:cs="Times New Roman" w:ascii="Times New Roman" w:hAnsi="Times New Roman"/>
          <w:b/>
          <w:sz w:val="28"/>
          <w:szCs w:val="28"/>
          <w:lang w:eastAsia="ru-RU"/>
        </w:rPr>
        <w:t>Противоэрозионные, противооползневые мероприятия</w:t>
      </w:r>
    </w:p>
    <w:p>
      <w:pPr>
        <w:pStyle w:val="Normal"/>
        <w:spacing w:lineRule="auto" w:line="240" w:before="0" w:after="0"/>
        <w:ind w:firstLine="709"/>
        <w:jc w:val="both"/>
        <w:rPr>
          <w:rFonts w:ascii="Times New Roman" w:hAnsi="Times New Roman" w:eastAsia="Times New Roman" w:cs="Times New Roman"/>
          <w:spacing w:val="2"/>
          <w:sz w:val="28"/>
          <w:szCs w:val="28"/>
          <w:shd w:fill="FFFFFF" w:val="clear"/>
          <w:lang w:eastAsia="ru-RU"/>
        </w:rPr>
      </w:pPr>
      <w:r>
        <w:rPr>
          <w:rFonts w:cs="Times New Roman" w:ascii="Times New Roman" w:hAnsi="Times New Roman"/>
          <w:sz w:val="28"/>
          <w:szCs w:val="28"/>
        </w:rPr>
        <w:t xml:space="preserve">Для борьбы со склоновой эрозией и развитием оврагов необходимо укрепление склонов террас речных долин и овражных склонов посредством агролесомелиорации. </w:t>
      </w:r>
      <w:r>
        <w:rPr>
          <w:rFonts w:eastAsia="Times New Roman" w:cs="Times New Roman" w:ascii="Times New Roman" w:hAnsi="Times New Roman"/>
          <w:spacing w:val="2"/>
          <w:sz w:val="28"/>
          <w:szCs w:val="28"/>
          <w:shd w:fill="FFFFFF" w:val="clear"/>
          <w:lang w:eastAsia="ru-RU"/>
        </w:rPr>
        <w:t>Согласно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 утвержденным приказом Министерства регионального развития РФ от 30 июня 2012 № 274 (далее СП 116.13330.2012), посев многолетних трав без других вспомогательных средств защиты допускается на склонах (откосах) крутизной до 35°, а при большей крутизне (до 45°) - с пропиткой грунта вяжущими материалами или с использованием зеленых габионов и биоматов.</w:t>
      </w:r>
    </w:p>
    <w:p>
      <w:pPr>
        <w:pStyle w:val="Normal"/>
        <w:spacing w:lineRule="auto" w:line="240" w:before="0" w:after="0"/>
        <w:ind w:firstLine="709"/>
        <w:jc w:val="both"/>
        <w:rPr>
          <w:rFonts w:ascii="Times New Roman" w:hAnsi="Times New Roman" w:eastAsia="Times New Roman" w:cs="Times New Roman"/>
          <w:spacing w:val="2"/>
          <w:sz w:val="28"/>
          <w:szCs w:val="28"/>
          <w:shd w:fill="FFFFFF" w:val="clear"/>
          <w:lang w:eastAsia="ru-RU"/>
        </w:rPr>
      </w:pPr>
      <w:r>
        <w:rPr>
          <w:rFonts w:eastAsia="Times New Roman" w:cs="Times New Roman" w:ascii="Times New Roman" w:hAnsi="Times New Roman"/>
          <w:spacing w:val="2"/>
          <w:sz w:val="28"/>
          <w:szCs w:val="28"/>
          <w:shd w:fill="FFFFFF" w:val="clear"/>
          <w:lang w:eastAsia="ru-RU"/>
        </w:rPr>
        <w:t>Для предупреждения и стабилизации процессов движения грунта при экономической целесообразности возможно прибегнуть к мероприятиям по образованию рационального профиля склона путем придания ему требуемой крутизны, террасирования склона с последующим устройством на террасах водоотводов (нагорных канав), удаления или замены неустойчивых грунтов.</w:t>
      </w:r>
    </w:p>
    <w:p>
      <w:pPr>
        <w:pStyle w:val="Normal"/>
        <w:spacing w:lineRule="auto" w:line="240" w:before="0" w:after="0"/>
        <w:ind w:firstLine="709"/>
        <w:jc w:val="both"/>
        <w:rPr>
          <w:rFonts w:ascii="Times New Roman" w:hAnsi="Times New Roman" w:eastAsia="Times New Roman" w:cs="Times New Roman"/>
          <w:spacing w:val="2"/>
          <w:sz w:val="28"/>
          <w:szCs w:val="28"/>
          <w:shd w:fill="FFFFFF" w:val="clear"/>
          <w:lang w:eastAsia="ru-RU"/>
        </w:rPr>
      </w:pPr>
      <w:r>
        <w:rPr>
          <w:rFonts w:eastAsia="Times New Roman" w:cs="Times New Roman" w:ascii="Times New Roman" w:hAnsi="Times New Roman"/>
          <w:spacing w:val="2"/>
          <w:sz w:val="28"/>
          <w:szCs w:val="28"/>
          <w:shd w:fill="FFFFFF" w:val="clear"/>
          <w:lang w:eastAsia="ru-RU"/>
        </w:rPr>
        <w:t>При невозможности изменения рельефа склона необходимо предусмотреть удерживающие сооружения.</w:t>
      </w:r>
    </w:p>
    <w:p>
      <w:pPr>
        <w:pStyle w:val="Normal"/>
        <w:spacing w:lineRule="atLeast" w:line="23" w:before="0" w:after="0"/>
        <w:ind w:firstLine="709"/>
        <w:jc w:val="both"/>
        <w:rPr>
          <w:rFonts w:ascii="Times New Roman" w:hAnsi="Times New Roman" w:eastAsia="Times New Roman" w:cs="Times New Roman"/>
          <w:sz w:val="28"/>
          <w:szCs w:val="28"/>
          <w:lang w:eastAsia="ru-RU"/>
        </w:rPr>
      </w:pPr>
      <w:r>
        <w:rPr>
          <w:rFonts w:cs="Times New Roman" w:ascii="Times New Roman" w:hAnsi="Times New Roman"/>
          <w:sz w:val="28"/>
          <w:szCs w:val="28"/>
        </w:rPr>
        <w:t xml:space="preserve">Для поселения в целом актуальна защита почвы от почвенной эрозии, которая включает </w:t>
      </w:r>
      <w:r>
        <w:rPr>
          <w:rFonts w:eastAsia="Times New Roman" w:cs="Times New Roman" w:ascii="Times New Roman" w:hAnsi="Times New Roman"/>
          <w:sz w:val="28"/>
          <w:szCs w:val="28"/>
          <w:lang w:eastAsia="ru-RU"/>
        </w:rPr>
        <w:t>систему следующих групп противоэрозионных мероприятий:</w:t>
      </w:r>
    </w:p>
    <w:p>
      <w:pPr>
        <w:pStyle w:val="Normal"/>
        <w:spacing w:lineRule="atLeast" w:line="23"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организационно – хозяйственных;</w:t>
      </w:r>
    </w:p>
    <w:p>
      <w:pPr>
        <w:pStyle w:val="Normal"/>
        <w:spacing w:lineRule="atLeast" w:line="23"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агротехнических;</w:t>
      </w:r>
    </w:p>
    <w:p>
      <w:pPr>
        <w:pStyle w:val="Normal"/>
        <w:spacing w:lineRule="atLeast" w:line="23"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лесомелиоративных;</w:t>
      </w:r>
    </w:p>
    <w:p>
      <w:pPr>
        <w:pStyle w:val="Normal"/>
        <w:spacing w:lineRule="atLeast" w:line="23"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гидротехнических.</w:t>
      </w:r>
    </w:p>
    <w:p>
      <w:pPr>
        <w:pStyle w:val="Normal"/>
        <w:spacing w:lineRule="auto" w:line="240" w:before="0" w:after="0"/>
        <w:ind w:firstLine="709"/>
        <w:jc w:val="both"/>
        <w:rPr>
          <w:rFonts w:ascii="Times New Roman" w:hAnsi="Times New Roman" w:cs="Times New Roman"/>
          <w:sz w:val="28"/>
          <w:szCs w:val="28"/>
        </w:rPr>
      </w:pPr>
      <w:r>
        <w:rPr>
          <w:rFonts w:eastAsia="Times New Roman" w:cs="Times New Roman" w:ascii="Times New Roman" w:hAnsi="Times New Roman"/>
          <w:sz w:val="28"/>
          <w:szCs w:val="28"/>
          <w:lang w:eastAsia="ru-RU"/>
        </w:rPr>
        <w:t>Конкретный состав противоэрозионных мероприятий прежде всего определяется особенностями увлажнения территории, продолжительностью вегетационного периода, условиями рельефа, преобладающими видами эрозии и направлением использования почв.</w:t>
      </w:r>
      <w:r>
        <w:rPr>
          <w:rFonts w:eastAsia="Times New Roman" w:cs="Times New Roman" w:ascii="Times New Roman" w:hAnsi="Times New Roman"/>
          <w:spacing w:val="2"/>
          <w:sz w:val="28"/>
          <w:szCs w:val="28"/>
          <w:shd w:fill="FFFFFF" w:val="clear"/>
          <w:lang w:eastAsia="ru-RU"/>
        </w:rPr>
        <w:t xml:space="preserve"> </w:t>
      </w:r>
    </w:p>
    <w:p>
      <w:pPr>
        <w:pStyle w:val="Normal"/>
        <w:spacing w:lineRule="atLeast" w:line="23" w:before="0" w:after="0"/>
        <w:ind w:firstLine="709"/>
        <w:jc w:val="both"/>
        <w:rPr>
          <w:rFonts w:ascii="Times New Roman" w:hAnsi="Times New Roman" w:eastAsia="Times New Roman" w:cs="Times New Roman"/>
          <w:spacing w:val="2"/>
          <w:sz w:val="28"/>
          <w:szCs w:val="28"/>
          <w:shd w:fill="FFFFFF" w:val="clear"/>
          <w:lang w:eastAsia="ru-RU"/>
        </w:rPr>
      </w:pPr>
      <w:r>
        <w:rPr>
          <w:rFonts w:eastAsia="Times New Roman" w:cs="Times New Roman" w:ascii="Times New Roman" w:hAnsi="Times New Roman"/>
          <w:spacing w:val="2"/>
          <w:sz w:val="28"/>
          <w:szCs w:val="28"/>
          <w:shd w:fill="FFFFFF" w:val="clear"/>
          <w:lang w:eastAsia="ru-RU"/>
        </w:rPr>
        <w:t>Озеленение территории прибрежной защитной полосы позволит не допустить распашки земель и будет также способствовать укреплению почвенного покрова.</w:t>
      </w:r>
    </w:p>
    <w:p>
      <w:pPr>
        <w:pStyle w:val="Normal"/>
        <w:spacing w:lineRule="atLeast" w:line="23"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Мощным агротехническим средством повышения противоэрозийной устойчивости почв является применение органических и минеральных удобрений. Учитывая то, что культурные растения, выросшие на удобренной почве, развивают более мощную корневую систему, более густой надземный полог, улучшают физические свойства почв, что в совокупности способствует лучшей защите ее от эрозии.</w:t>
      </w:r>
    </w:p>
    <w:p>
      <w:pPr>
        <w:pStyle w:val="Style89"/>
        <w:numPr>
          <w:ilvl w:val="0"/>
          <w:numId w:val="0"/>
        </w:numPr>
        <w:ind w:left="709" w:hanging="0"/>
        <w:rPr>
          <w:rFonts w:eastAsia="Calibri"/>
          <w:szCs w:val="28"/>
        </w:rPr>
      </w:pPr>
      <w:r>
        <w:rPr>
          <w:rFonts w:eastAsia="Calibri"/>
          <w:szCs w:val="28"/>
        </w:rPr>
        <w:t>Строительство в зоне развития речных излучин недопустимо.</w:t>
      </w:r>
    </w:p>
    <w:p>
      <w:pPr>
        <w:pStyle w:val="Style89"/>
        <w:numPr>
          <w:ilvl w:val="0"/>
          <w:numId w:val="0"/>
        </w:numPr>
        <w:ind w:left="0" w:firstLine="709"/>
        <w:rPr>
          <w:rFonts w:eastAsia="Calibri"/>
          <w:szCs w:val="28"/>
        </w:rPr>
      </w:pPr>
      <w:r>
        <w:rPr>
          <w:rFonts w:eastAsia="Calibri"/>
          <w:szCs w:val="28"/>
        </w:rPr>
        <w:t>Реализация противоэрозионных мероприятий позволит сохранить грунт, а также снизить интенсивность процесса заиливания водных объектов.</w:t>
      </w:r>
    </w:p>
    <w:p>
      <w:pPr>
        <w:pStyle w:val="Style89"/>
        <w:numPr>
          <w:ilvl w:val="0"/>
          <w:numId w:val="0"/>
        </w:numPr>
        <w:ind w:left="0" w:firstLine="709"/>
        <w:rPr>
          <w:szCs w:val="28"/>
        </w:rPr>
      </w:pPr>
      <w:r>
        <w:rPr>
          <w:szCs w:val="28"/>
        </w:rPr>
      </w:r>
    </w:p>
    <w:p>
      <w:pPr>
        <w:pStyle w:val="Style89"/>
        <w:numPr>
          <w:ilvl w:val="0"/>
          <w:numId w:val="0"/>
        </w:numPr>
        <w:ind w:left="0" w:hanging="0"/>
        <w:jc w:val="center"/>
        <w:rPr>
          <w:b/>
          <w:szCs w:val="28"/>
        </w:rPr>
      </w:pPr>
      <w:r>
        <w:rPr>
          <w:b/>
          <w:szCs w:val="28"/>
        </w:rPr>
        <w:t>Берегозащитные</w:t>
      </w:r>
      <w:r>
        <w:rPr>
          <w:szCs w:val="28"/>
        </w:rPr>
        <w:t xml:space="preserve"> </w:t>
      </w:r>
      <w:r>
        <w:rPr>
          <w:b/>
          <w:szCs w:val="28"/>
        </w:rPr>
        <w:t>сооружения и мероприятия</w:t>
      </w:r>
    </w:p>
    <w:p>
      <w:pPr>
        <w:pStyle w:val="Style89"/>
        <w:numPr>
          <w:ilvl w:val="0"/>
          <w:numId w:val="0"/>
        </w:numPr>
        <w:ind w:left="0" w:firstLine="568"/>
        <w:jc w:val="both"/>
        <w:rPr/>
      </w:pPr>
      <w:r>
        <w:rPr>
          <w:szCs w:val="28"/>
        </w:rPr>
        <w:t>Для инженерной защиты берегов рек, озер, морей, водохранилищ применяют виды сооружений и мероприятий, приведенные таблице 8.2.</w:t>
      </w:r>
    </w:p>
    <w:p>
      <w:pPr>
        <w:pStyle w:val="Style89"/>
        <w:numPr>
          <w:ilvl w:val="0"/>
          <w:numId w:val="0"/>
        </w:numPr>
        <w:ind w:left="0" w:firstLine="568"/>
        <w:jc w:val="both"/>
        <w:rPr/>
      </w:pPr>
      <w:r>
        <w:rPr>
          <w:szCs w:val="28"/>
        </w:rPr>
        <w:t>При проектировании берегозащитных сооружений на размываемых грунтовых основаниях глубину заложения фундаментов таких сооружений следует назначать ниже возможного размыва грунта с учетом воздействия проектируемого сооружения.</w:t>
      </w:r>
    </w:p>
    <w:p>
      <w:pPr>
        <w:pStyle w:val="Style89"/>
        <w:numPr>
          <w:ilvl w:val="0"/>
          <w:numId w:val="0"/>
        </w:numPr>
        <w:ind w:left="0" w:firstLine="568"/>
        <w:jc w:val="both"/>
        <w:rPr/>
      </w:pPr>
      <w:r>
        <w:rPr>
          <w:szCs w:val="28"/>
        </w:rPr>
        <w:t>При этом следует учитывать толщину активного слоя наносов.</w:t>
      </w:r>
    </w:p>
    <w:p>
      <w:pPr>
        <w:pStyle w:val="Style89"/>
        <w:numPr>
          <w:ilvl w:val="0"/>
          <w:numId w:val="0"/>
        </w:numPr>
        <w:ind w:left="0" w:firstLine="568"/>
        <w:jc w:val="both"/>
        <w:rPr/>
      </w:pPr>
      <w:r>
        <w:rPr>
          <w:szCs w:val="28"/>
        </w:rPr>
        <w:t>Глубину размыва подводного склона следует определять расчетом или устанавливать по данным натурных наблюдений, толщину активного слоя наносов - по данным натурных наблюдений.</w:t>
      </w:r>
    </w:p>
    <w:p>
      <w:pPr>
        <w:pStyle w:val="Style89"/>
        <w:numPr>
          <w:ilvl w:val="0"/>
          <w:numId w:val="0"/>
        </w:numPr>
        <w:ind w:left="0" w:firstLine="568"/>
        <w:jc w:val="both"/>
        <w:rPr/>
      </w:pPr>
      <w:r>
        <w:rPr>
          <w:szCs w:val="28"/>
        </w:rPr>
        <w:t>При проектировании берегозащитных сооружений необходимо предусматривать мероприятия против общего и местного размывов дна.</w:t>
      </w:r>
    </w:p>
    <w:p>
      <w:pPr>
        <w:pStyle w:val="Style89"/>
        <w:numPr>
          <w:ilvl w:val="0"/>
          <w:numId w:val="0"/>
        </w:numPr>
        <w:ind w:left="0" w:firstLine="568"/>
        <w:jc w:val="both"/>
        <w:rPr/>
      </w:pPr>
      <w:r>
        <w:rPr>
          <w:szCs w:val="28"/>
        </w:rPr>
        <w:t>При значительных глубинах размыва подводного склона берегозащитные сооружения следует проектировать на свайных фундаментах, сваях-оболочках или на каменных постелях.</w:t>
      </w:r>
    </w:p>
    <w:p>
      <w:pPr>
        <w:pStyle w:val="Style89"/>
        <w:numPr>
          <w:ilvl w:val="0"/>
          <w:numId w:val="0"/>
        </w:numPr>
        <w:ind w:left="0" w:firstLine="568"/>
        <w:jc w:val="both"/>
        <w:rPr/>
      </w:pPr>
      <w:r>
        <w:rPr>
          <w:szCs w:val="28"/>
        </w:rPr>
        <w:t>Берегозащитные сооружения, проектируемые в районах с тяжелыми ледовыми условиями, должны состоять из крупных гравитационных массивов, устойчивых при расчетных ледовых нагрузках.</w:t>
      </w:r>
    </w:p>
    <w:p>
      <w:pPr>
        <w:pStyle w:val="Style89"/>
        <w:numPr>
          <w:ilvl w:val="0"/>
          <w:numId w:val="0"/>
        </w:numPr>
        <w:ind w:left="0" w:firstLine="568"/>
        <w:jc w:val="both"/>
        <w:rPr/>
      </w:pPr>
      <w:r>
        <w:rPr>
          <w:szCs w:val="28"/>
        </w:rPr>
        <w:t>Применение берегозащитных сооружений всех типов должно сопровождаться мероприятиями, предупреждающими размывы на участках, смежных с укрепляемым, или восполняющими дефицит пляжевого материала на этих участках.</w:t>
      </w:r>
    </w:p>
    <w:p>
      <w:pPr>
        <w:pStyle w:val="Style89"/>
        <w:numPr>
          <w:ilvl w:val="0"/>
          <w:numId w:val="0"/>
        </w:numPr>
        <w:ind w:left="0" w:firstLine="568"/>
        <w:jc w:val="both"/>
        <w:rPr/>
      </w:pPr>
      <w:r>
        <w:rPr>
          <w:szCs w:val="28"/>
        </w:rPr>
        <w:t>В проекте берегозащитных сооружений следует предусматривать отвод подземных и поверхностных вод.</w:t>
      </w:r>
    </w:p>
    <w:p>
      <w:pPr>
        <w:pStyle w:val="Style89"/>
        <w:numPr>
          <w:ilvl w:val="0"/>
          <w:numId w:val="0"/>
        </w:numPr>
        <w:ind w:left="0" w:firstLine="568"/>
        <w:jc w:val="both"/>
        <w:rPr/>
      </w:pPr>
      <w:r>
        <w:rPr>
          <w:szCs w:val="28"/>
        </w:rPr>
        <w:t>Дамбы обвалования для защиты пониженных территорий от затопления при нагонных подъемах уровня моря следует проектировать в соответствии с требованиями «СП 39.13330.2012. Свод правил. Плотины из грунтовых материалов. Актуализированная редакция СНиП 2.06.05-84*» (с изменениями и дополнениями).</w:t>
      </w:r>
    </w:p>
    <w:p>
      <w:pPr>
        <w:pStyle w:val="Style89"/>
        <w:numPr>
          <w:ilvl w:val="0"/>
          <w:numId w:val="0"/>
        </w:numPr>
        <w:ind w:left="0" w:firstLine="568"/>
        <w:jc w:val="both"/>
        <w:rPr>
          <w:szCs w:val="28"/>
        </w:rPr>
      </w:pPr>
      <w:r>
        <w:rPr>
          <w:szCs w:val="28"/>
        </w:rPr>
      </w:r>
    </w:p>
    <w:p>
      <w:pPr>
        <w:pStyle w:val="Style89"/>
        <w:numPr>
          <w:ilvl w:val="0"/>
          <w:numId w:val="0"/>
        </w:numPr>
        <w:ind w:left="0" w:firstLine="568"/>
        <w:jc w:val="both"/>
        <w:rPr/>
      </w:pPr>
      <w:r>
        <w:rPr>
          <w:szCs w:val="28"/>
        </w:rPr>
        <w:t>Таблица 8.2</w:t>
      </w:r>
    </w:p>
    <w:p>
      <w:pPr>
        <w:pStyle w:val="Style89"/>
        <w:numPr>
          <w:ilvl w:val="0"/>
          <w:numId w:val="0"/>
        </w:numPr>
        <w:ind w:left="285" w:hanging="0"/>
        <w:jc w:val="both"/>
        <w:rPr/>
      </w:pPr>
      <w:r>
        <w:rPr>
          <w:szCs w:val="28"/>
        </w:rPr>
        <w:t>Виды сооружений и мероприятий, применяемые</w:t>
      </w:r>
    </w:p>
    <w:p>
      <w:pPr>
        <w:pStyle w:val="Style89"/>
        <w:numPr>
          <w:ilvl w:val="0"/>
          <w:numId w:val="0"/>
        </w:numPr>
        <w:spacing w:lineRule="auto" w:line="360"/>
        <w:ind w:left="285" w:hanging="0"/>
        <w:jc w:val="both"/>
        <w:rPr/>
      </w:pPr>
      <w:r>
        <w:rPr>
          <w:szCs w:val="28"/>
        </w:rPr>
        <w:t>Для инженерной защиты берегов рек, озер, морей, водохранилищ</w:t>
      </w:r>
    </w:p>
    <w:tbl>
      <w:tblPr>
        <w:tblW w:w="9070" w:type="dxa"/>
        <w:jc w:val="center"/>
        <w:tblInd w:w="0" w:type="dxa"/>
        <w:tblLayout w:type="fixed"/>
        <w:tblCellMar>
          <w:top w:w="102" w:type="dxa"/>
          <w:left w:w="62" w:type="dxa"/>
          <w:bottom w:w="102" w:type="dxa"/>
          <w:right w:w="62" w:type="dxa"/>
        </w:tblCellMar>
        <w:tblLook w:noVBand="0" w:val="0000" w:noHBand="0" w:lastColumn="0" w:firstColumn="0" w:lastRow="0" w:firstRow="0"/>
      </w:tblPr>
      <w:tblGrid>
        <w:gridCol w:w="4421"/>
        <w:gridCol w:w="4648"/>
      </w:tblGrid>
      <w:tr>
        <w:trPr/>
        <w:tc>
          <w:tcPr>
            <w:tcW w:w="4421" w:type="dxa"/>
            <w:tcBorders>
              <w:top w:val="single" w:sz="4" w:space="0" w:color="000000"/>
              <w:left w:val="single" w:sz="4" w:space="0" w:color="000000"/>
              <w:bottom w:val="single" w:sz="4" w:space="0" w:color="000000"/>
              <w:right w:val="single" w:sz="4" w:space="0" w:color="000000"/>
            </w:tcBorders>
            <w:vAlign w:val="center"/>
          </w:tcPr>
          <w:p>
            <w:pPr>
              <w:pStyle w:val="Style89"/>
              <w:widowControl w:val="false"/>
              <w:numPr>
                <w:ilvl w:val="0"/>
                <w:numId w:val="0"/>
              </w:numPr>
              <w:ind w:left="0" w:hanging="0"/>
              <w:jc w:val="both"/>
              <w:rPr/>
            </w:pPr>
            <w:r>
              <w:rPr>
                <w:sz w:val="20"/>
                <w:szCs w:val="20"/>
              </w:rPr>
              <w:t>Вид сооружения и мероприятия</w:t>
            </w:r>
          </w:p>
        </w:tc>
        <w:tc>
          <w:tcPr>
            <w:tcW w:w="4648" w:type="dxa"/>
            <w:tcBorders>
              <w:top w:val="single" w:sz="4" w:space="0" w:color="000000"/>
              <w:left w:val="single" w:sz="4" w:space="0" w:color="000000"/>
              <w:bottom w:val="single" w:sz="4" w:space="0" w:color="000000"/>
              <w:right w:val="single" w:sz="4" w:space="0" w:color="000000"/>
            </w:tcBorders>
            <w:vAlign w:val="center"/>
          </w:tcPr>
          <w:p>
            <w:pPr>
              <w:pStyle w:val="Style89"/>
              <w:widowControl w:val="false"/>
              <w:numPr>
                <w:ilvl w:val="0"/>
                <w:numId w:val="0"/>
              </w:numPr>
              <w:ind w:left="0" w:hanging="0"/>
              <w:jc w:val="both"/>
              <w:rPr/>
            </w:pPr>
            <w:r>
              <w:rPr>
                <w:sz w:val="20"/>
                <w:szCs w:val="20"/>
              </w:rPr>
              <w:t>Назначение сооружения и мероприятия и условия их применения</w:t>
            </w:r>
          </w:p>
        </w:tc>
      </w:tr>
      <w:tr>
        <w:trPr/>
        <w:tc>
          <w:tcPr>
            <w:tcW w:w="4421" w:type="dxa"/>
            <w:tcBorders>
              <w:top w:val="single" w:sz="4" w:space="0" w:color="000000"/>
              <w:left w:val="single" w:sz="4" w:space="0" w:color="000000"/>
              <w:right w:val="single" w:sz="4" w:space="0" w:color="000000"/>
            </w:tcBorders>
          </w:tcPr>
          <w:p>
            <w:pPr>
              <w:pStyle w:val="Style89"/>
              <w:widowControl w:val="false"/>
              <w:numPr>
                <w:ilvl w:val="0"/>
                <w:numId w:val="0"/>
              </w:numPr>
              <w:ind w:left="0" w:hanging="0"/>
              <w:jc w:val="both"/>
              <w:rPr/>
            </w:pPr>
            <w:r>
              <w:rPr>
                <w:b/>
                <w:bCs/>
                <w:sz w:val="20"/>
                <w:szCs w:val="20"/>
              </w:rPr>
              <w:t>I Волнозащитные</w:t>
            </w:r>
          </w:p>
        </w:tc>
        <w:tc>
          <w:tcPr>
            <w:tcW w:w="4648" w:type="dxa"/>
            <w:tcBorders>
              <w:top w:val="single" w:sz="4" w:space="0" w:color="000000"/>
              <w:left w:val="single" w:sz="4" w:space="0" w:color="000000"/>
              <w:right w:val="single" w:sz="4" w:space="0" w:color="000000"/>
            </w:tcBorders>
          </w:tcPr>
          <w:p>
            <w:pPr>
              <w:pStyle w:val="Style89"/>
              <w:widowControl w:val="false"/>
              <w:numPr>
                <w:ilvl w:val="0"/>
                <w:numId w:val="0"/>
              </w:numPr>
              <w:ind w:left="0" w:hanging="0"/>
              <w:jc w:val="both"/>
              <w:rPr>
                <w:sz w:val="20"/>
                <w:szCs w:val="20"/>
              </w:rPr>
            </w:pPr>
            <w:r>
              <w:rPr>
                <w:sz w:val="20"/>
                <w:szCs w:val="20"/>
              </w:rPr>
            </w:r>
          </w:p>
        </w:tc>
      </w:tr>
      <w:tr>
        <w:trPr/>
        <w:tc>
          <w:tcPr>
            <w:tcW w:w="4421" w:type="dxa"/>
            <w:tcBorders>
              <w:left w:val="single" w:sz="4" w:space="0" w:color="000000"/>
              <w:right w:val="single" w:sz="4" w:space="0" w:color="000000"/>
            </w:tcBorders>
          </w:tcPr>
          <w:p>
            <w:pPr>
              <w:pStyle w:val="Style89"/>
              <w:widowControl w:val="false"/>
              <w:numPr>
                <w:ilvl w:val="0"/>
                <w:numId w:val="0"/>
              </w:numPr>
              <w:ind w:left="0" w:hanging="0"/>
              <w:jc w:val="both"/>
              <w:rPr/>
            </w:pPr>
            <w:r>
              <w:rPr>
                <w:i/>
                <w:iCs/>
                <w:sz w:val="20"/>
                <w:szCs w:val="20"/>
              </w:rPr>
              <w:t>1 Вдольбереговые</w:t>
            </w:r>
          </w:p>
        </w:tc>
        <w:tc>
          <w:tcPr>
            <w:tcW w:w="4648" w:type="dxa"/>
            <w:tcBorders>
              <w:left w:val="single" w:sz="4" w:space="0" w:color="000000"/>
              <w:right w:val="single" w:sz="4" w:space="0" w:color="000000"/>
            </w:tcBorders>
          </w:tcPr>
          <w:p>
            <w:pPr>
              <w:pStyle w:val="Style89"/>
              <w:widowControl w:val="false"/>
              <w:numPr>
                <w:ilvl w:val="0"/>
                <w:numId w:val="0"/>
              </w:numPr>
              <w:ind w:left="0" w:hanging="0"/>
              <w:jc w:val="both"/>
              <w:rPr>
                <w:sz w:val="20"/>
                <w:szCs w:val="20"/>
              </w:rPr>
            </w:pPr>
            <w:r>
              <w:rPr>
                <w:sz w:val="20"/>
                <w:szCs w:val="20"/>
              </w:rPr>
            </w:r>
          </w:p>
        </w:tc>
      </w:tr>
      <w:tr>
        <w:trPr/>
        <w:tc>
          <w:tcPr>
            <w:tcW w:w="4421" w:type="dxa"/>
            <w:tcBorders>
              <w:left w:val="single" w:sz="4" w:space="0" w:color="000000"/>
              <w:right w:val="single" w:sz="4" w:space="0" w:color="000000"/>
            </w:tcBorders>
          </w:tcPr>
          <w:p>
            <w:pPr>
              <w:pStyle w:val="Style89"/>
              <w:widowControl w:val="false"/>
              <w:numPr>
                <w:ilvl w:val="0"/>
                <w:numId w:val="0"/>
              </w:numPr>
              <w:ind w:left="0" w:hanging="0"/>
              <w:jc w:val="both"/>
              <w:rPr/>
            </w:pPr>
            <w:r>
              <w:rPr>
                <w:sz w:val="20"/>
                <w:szCs w:val="20"/>
              </w:rPr>
              <w:t>Подпорные береговые стены (набережные) волноотбойного профиля из монолитного и сборного бетона и железобетона, камня, ряжей, свай</w:t>
            </w:r>
          </w:p>
        </w:tc>
        <w:tc>
          <w:tcPr>
            <w:tcW w:w="4648" w:type="dxa"/>
            <w:tcBorders>
              <w:left w:val="single" w:sz="4" w:space="0" w:color="000000"/>
              <w:right w:val="single" w:sz="4" w:space="0" w:color="000000"/>
            </w:tcBorders>
          </w:tcPr>
          <w:p>
            <w:pPr>
              <w:pStyle w:val="Style89"/>
              <w:widowControl w:val="false"/>
              <w:numPr>
                <w:ilvl w:val="0"/>
                <w:numId w:val="0"/>
              </w:numPr>
              <w:ind w:left="0" w:hanging="0"/>
              <w:jc w:val="both"/>
              <w:rPr/>
            </w:pPr>
            <w:r>
              <w:rPr>
                <w:sz w:val="20"/>
                <w:szCs w:val="20"/>
              </w:rPr>
              <w:t>На морях, водохранилищах, озерах и реках для защиты зданий и сооружений I и II классов, автомобильных и железных дорог, ценных земельных угодий</w:t>
            </w:r>
          </w:p>
        </w:tc>
      </w:tr>
      <w:tr>
        <w:trPr/>
        <w:tc>
          <w:tcPr>
            <w:tcW w:w="4421" w:type="dxa"/>
            <w:tcBorders>
              <w:left w:val="single" w:sz="4" w:space="0" w:color="000000"/>
              <w:right w:val="single" w:sz="4" w:space="0" w:color="000000"/>
            </w:tcBorders>
          </w:tcPr>
          <w:p>
            <w:pPr>
              <w:pStyle w:val="Style89"/>
              <w:widowControl w:val="false"/>
              <w:numPr>
                <w:ilvl w:val="0"/>
                <w:numId w:val="0"/>
              </w:numPr>
              <w:ind w:left="0" w:hanging="0"/>
              <w:jc w:val="both"/>
              <w:rPr/>
            </w:pPr>
            <w:r>
              <w:rPr>
                <w:sz w:val="20"/>
                <w:szCs w:val="20"/>
              </w:rPr>
              <w:t>Шпунтовые стенки железобетонные и металлические</w:t>
            </w:r>
          </w:p>
        </w:tc>
        <w:tc>
          <w:tcPr>
            <w:tcW w:w="4648" w:type="dxa"/>
            <w:tcBorders>
              <w:left w:val="single" w:sz="4" w:space="0" w:color="000000"/>
              <w:right w:val="single" w:sz="4" w:space="0" w:color="000000"/>
            </w:tcBorders>
          </w:tcPr>
          <w:p>
            <w:pPr>
              <w:pStyle w:val="Style89"/>
              <w:widowControl w:val="false"/>
              <w:numPr>
                <w:ilvl w:val="0"/>
                <w:numId w:val="0"/>
              </w:numPr>
              <w:ind w:left="0" w:hanging="0"/>
              <w:jc w:val="both"/>
              <w:rPr/>
            </w:pPr>
            <w:r>
              <w:rPr>
                <w:sz w:val="20"/>
                <w:szCs w:val="20"/>
              </w:rPr>
              <w:t>В основном на реках и водохранилищах</w:t>
            </w:r>
          </w:p>
        </w:tc>
      </w:tr>
      <w:tr>
        <w:trPr/>
        <w:tc>
          <w:tcPr>
            <w:tcW w:w="4421" w:type="dxa"/>
            <w:tcBorders>
              <w:left w:val="single" w:sz="4" w:space="0" w:color="000000"/>
              <w:right w:val="single" w:sz="4" w:space="0" w:color="000000"/>
            </w:tcBorders>
          </w:tcPr>
          <w:p>
            <w:pPr>
              <w:pStyle w:val="Style89"/>
              <w:widowControl w:val="false"/>
              <w:numPr>
                <w:ilvl w:val="0"/>
                <w:numId w:val="0"/>
              </w:numPr>
              <w:ind w:left="0" w:hanging="0"/>
              <w:jc w:val="both"/>
              <w:rPr/>
            </w:pPr>
            <w:r>
              <w:rPr>
                <w:sz w:val="20"/>
                <w:szCs w:val="20"/>
              </w:rPr>
              <w:t>Ступенчатые крепления с укреплением основания террас</w:t>
            </w:r>
          </w:p>
        </w:tc>
        <w:tc>
          <w:tcPr>
            <w:tcW w:w="4648" w:type="dxa"/>
            <w:tcBorders>
              <w:left w:val="single" w:sz="4" w:space="0" w:color="000000"/>
              <w:right w:val="single" w:sz="4" w:space="0" w:color="000000"/>
            </w:tcBorders>
          </w:tcPr>
          <w:p>
            <w:pPr>
              <w:pStyle w:val="Style89"/>
              <w:widowControl w:val="false"/>
              <w:numPr>
                <w:ilvl w:val="0"/>
                <w:numId w:val="0"/>
              </w:numPr>
              <w:ind w:left="0" w:hanging="0"/>
              <w:jc w:val="both"/>
              <w:rPr/>
            </w:pPr>
            <w:r>
              <w:rPr>
                <w:sz w:val="20"/>
                <w:szCs w:val="20"/>
              </w:rPr>
              <w:t>На морях и водохранилищах при крутизне откосов более 15°</w:t>
            </w:r>
          </w:p>
        </w:tc>
      </w:tr>
      <w:tr>
        <w:trPr/>
        <w:tc>
          <w:tcPr>
            <w:tcW w:w="4421" w:type="dxa"/>
            <w:tcBorders>
              <w:left w:val="single" w:sz="4" w:space="0" w:color="000000"/>
              <w:right w:val="single" w:sz="4" w:space="0" w:color="000000"/>
            </w:tcBorders>
          </w:tcPr>
          <w:p>
            <w:pPr>
              <w:pStyle w:val="Style89"/>
              <w:widowControl w:val="false"/>
              <w:numPr>
                <w:ilvl w:val="0"/>
                <w:numId w:val="0"/>
              </w:numPr>
              <w:ind w:left="0" w:hanging="0"/>
              <w:jc w:val="both"/>
              <w:rPr/>
            </w:pPr>
            <w:r>
              <w:rPr>
                <w:sz w:val="20"/>
                <w:szCs w:val="20"/>
              </w:rPr>
              <w:t>Массивные волноломы</w:t>
            </w:r>
          </w:p>
        </w:tc>
        <w:tc>
          <w:tcPr>
            <w:tcW w:w="4648" w:type="dxa"/>
            <w:tcBorders>
              <w:left w:val="single" w:sz="4" w:space="0" w:color="000000"/>
              <w:right w:val="single" w:sz="4" w:space="0" w:color="000000"/>
            </w:tcBorders>
          </w:tcPr>
          <w:p>
            <w:pPr>
              <w:pStyle w:val="Style89"/>
              <w:widowControl w:val="false"/>
              <w:numPr>
                <w:ilvl w:val="0"/>
                <w:numId w:val="0"/>
              </w:numPr>
              <w:ind w:left="0" w:hanging="0"/>
              <w:jc w:val="both"/>
              <w:rPr/>
            </w:pPr>
            <w:r>
              <w:rPr>
                <w:sz w:val="20"/>
                <w:szCs w:val="20"/>
              </w:rPr>
              <w:t>На морях и водохранилищах при стабильном уровне воды</w:t>
            </w:r>
          </w:p>
        </w:tc>
      </w:tr>
      <w:tr>
        <w:trPr/>
        <w:tc>
          <w:tcPr>
            <w:tcW w:w="4421" w:type="dxa"/>
            <w:tcBorders>
              <w:left w:val="single" w:sz="4" w:space="0" w:color="000000"/>
              <w:right w:val="single" w:sz="4" w:space="0" w:color="000000"/>
            </w:tcBorders>
          </w:tcPr>
          <w:p>
            <w:pPr>
              <w:pStyle w:val="Style89"/>
              <w:widowControl w:val="false"/>
              <w:numPr>
                <w:ilvl w:val="0"/>
                <w:numId w:val="0"/>
              </w:numPr>
              <w:ind w:left="0" w:hanging="0"/>
              <w:jc w:val="both"/>
              <w:rPr/>
            </w:pPr>
            <w:r>
              <w:rPr>
                <w:i/>
                <w:iCs/>
                <w:sz w:val="20"/>
                <w:szCs w:val="20"/>
              </w:rPr>
              <w:t>2 Откосные</w:t>
            </w:r>
          </w:p>
        </w:tc>
        <w:tc>
          <w:tcPr>
            <w:tcW w:w="4648" w:type="dxa"/>
            <w:tcBorders>
              <w:left w:val="single" w:sz="4" w:space="0" w:color="000000"/>
              <w:right w:val="single" w:sz="4" w:space="0" w:color="000000"/>
            </w:tcBorders>
          </w:tcPr>
          <w:p>
            <w:pPr>
              <w:pStyle w:val="Style89"/>
              <w:widowControl w:val="false"/>
              <w:numPr>
                <w:ilvl w:val="0"/>
                <w:numId w:val="0"/>
              </w:numPr>
              <w:ind w:left="0" w:hanging="0"/>
              <w:jc w:val="both"/>
              <w:rPr>
                <w:sz w:val="20"/>
                <w:szCs w:val="20"/>
              </w:rPr>
            </w:pPr>
            <w:r>
              <w:rPr>
                <w:sz w:val="20"/>
                <w:szCs w:val="20"/>
              </w:rPr>
            </w:r>
          </w:p>
        </w:tc>
      </w:tr>
      <w:tr>
        <w:trPr/>
        <w:tc>
          <w:tcPr>
            <w:tcW w:w="4421" w:type="dxa"/>
            <w:tcBorders>
              <w:left w:val="single" w:sz="4" w:space="0" w:color="000000"/>
              <w:right w:val="single" w:sz="4" w:space="0" w:color="000000"/>
            </w:tcBorders>
          </w:tcPr>
          <w:p>
            <w:pPr>
              <w:pStyle w:val="Style89"/>
              <w:widowControl w:val="false"/>
              <w:numPr>
                <w:ilvl w:val="0"/>
                <w:numId w:val="0"/>
              </w:numPr>
              <w:ind w:left="0" w:hanging="0"/>
              <w:jc w:val="both"/>
              <w:rPr/>
            </w:pPr>
            <w:r>
              <w:rPr>
                <w:sz w:val="20"/>
                <w:szCs w:val="20"/>
              </w:rPr>
              <w:t>Монолитные покрытия из бетона, асфальтобетона, асфальта</w:t>
            </w:r>
          </w:p>
        </w:tc>
        <w:tc>
          <w:tcPr>
            <w:tcW w:w="4648" w:type="dxa"/>
            <w:tcBorders>
              <w:left w:val="single" w:sz="4" w:space="0" w:color="000000"/>
              <w:right w:val="single" w:sz="4" w:space="0" w:color="000000"/>
            </w:tcBorders>
          </w:tcPr>
          <w:p>
            <w:pPr>
              <w:pStyle w:val="Style89"/>
              <w:widowControl w:val="false"/>
              <w:numPr>
                <w:ilvl w:val="0"/>
                <w:numId w:val="0"/>
              </w:numPr>
              <w:ind w:left="0" w:hanging="0"/>
              <w:jc w:val="both"/>
              <w:rPr/>
            </w:pPr>
            <w:r>
              <w:rPr>
                <w:sz w:val="20"/>
                <w:szCs w:val="20"/>
              </w:rPr>
              <w:t>На морях, водохранилищах, реках, откосах подпорных земляных сооружений при достаточной их статической устойчивости</w:t>
            </w:r>
          </w:p>
        </w:tc>
      </w:tr>
      <w:tr>
        <w:trPr/>
        <w:tc>
          <w:tcPr>
            <w:tcW w:w="4421" w:type="dxa"/>
            <w:tcBorders>
              <w:left w:val="single" w:sz="4" w:space="0" w:color="000000"/>
              <w:right w:val="single" w:sz="4" w:space="0" w:color="000000"/>
            </w:tcBorders>
          </w:tcPr>
          <w:p>
            <w:pPr>
              <w:pStyle w:val="Style89"/>
              <w:widowControl w:val="false"/>
              <w:numPr>
                <w:ilvl w:val="0"/>
                <w:numId w:val="0"/>
              </w:numPr>
              <w:ind w:left="0" w:hanging="0"/>
              <w:jc w:val="both"/>
              <w:rPr/>
            </w:pPr>
            <w:r>
              <w:rPr>
                <w:sz w:val="20"/>
                <w:szCs w:val="20"/>
              </w:rPr>
              <w:t>Гибкие бетонные покрытия</w:t>
            </w:r>
          </w:p>
        </w:tc>
        <w:tc>
          <w:tcPr>
            <w:tcW w:w="4648" w:type="dxa"/>
            <w:tcBorders>
              <w:left w:val="single" w:sz="4" w:space="0" w:color="000000"/>
              <w:right w:val="single" w:sz="4" w:space="0" w:color="000000"/>
            </w:tcBorders>
          </w:tcPr>
          <w:p>
            <w:pPr>
              <w:pStyle w:val="Style89"/>
              <w:widowControl w:val="false"/>
              <w:numPr>
                <w:ilvl w:val="0"/>
                <w:numId w:val="0"/>
              </w:numPr>
              <w:ind w:left="0" w:hanging="0"/>
              <w:jc w:val="both"/>
              <w:rPr/>
            </w:pPr>
            <w:r>
              <w:rPr>
                <w:sz w:val="20"/>
                <w:szCs w:val="20"/>
              </w:rPr>
              <w:t>При волнах до 4 м</w:t>
            </w:r>
          </w:p>
        </w:tc>
      </w:tr>
      <w:tr>
        <w:trPr/>
        <w:tc>
          <w:tcPr>
            <w:tcW w:w="4421" w:type="dxa"/>
            <w:tcBorders>
              <w:left w:val="single" w:sz="4" w:space="0" w:color="000000"/>
              <w:right w:val="single" w:sz="4" w:space="0" w:color="000000"/>
            </w:tcBorders>
          </w:tcPr>
          <w:p>
            <w:pPr>
              <w:pStyle w:val="Style89"/>
              <w:widowControl w:val="false"/>
              <w:numPr>
                <w:ilvl w:val="0"/>
                <w:numId w:val="0"/>
              </w:numPr>
              <w:ind w:left="0" w:hanging="0"/>
              <w:jc w:val="both"/>
              <w:rPr/>
            </w:pPr>
            <w:r>
              <w:rPr>
                <w:sz w:val="20"/>
                <w:szCs w:val="20"/>
              </w:rPr>
              <w:t>Покрытия из сборных плит</w:t>
            </w:r>
          </w:p>
        </w:tc>
        <w:tc>
          <w:tcPr>
            <w:tcW w:w="4648" w:type="dxa"/>
            <w:tcBorders>
              <w:left w:val="single" w:sz="4" w:space="0" w:color="000000"/>
              <w:right w:val="single" w:sz="4" w:space="0" w:color="000000"/>
            </w:tcBorders>
          </w:tcPr>
          <w:p>
            <w:pPr>
              <w:pStyle w:val="Style89"/>
              <w:widowControl w:val="false"/>
              <w:numPr>
                <w:ilvl w:val="0"/>
                <w:numId w:val="0"/>
              </w:numPr>
              <w:ind w:left="0" w:hanging="0"/>
              <w:jc w:val="both"/>
              <w:rPr/>
            </w:pPr>
            <w:r>
              <w:rPr>
                <w:sz w:val="20"/>
                <w:szCs w:val="20"/>
              </w:rPr>
              <w:t>При волнах до 2,5 м</w:t>
            </w:r>
          </w:p>
        </w:tc>
      </w:tr>
      <w:tr>
        <w:trPr/>
        <w:tc>
          <w:tcPr>
            <w:tcW w:w="4421" w:type="dxa"/>
            <w:tcBorders>
              <w:left w:val="single" w:sz="4" w:space="0" w:color="000000"/>
              <w:right w:val="single" w:sz="4" w:space="0" w:color="000000"/>
            </w:tcBorders>
          </w:tcPr>
          <w:p>
            <w:pPr>
              <w:pStyle w:val="Style89"/>
              <w:widowControl w:val="false"/>
              <w:numPr>
                <w:ilvl w:val="0"/>
                <w:numId w:val="0"/>
              </w:numPr>
              <w:ind w:left="0" w:hanging="0"/>
              <w:jc w:val="both"/>
              <w:rPr/>
            </w:pPr>
            <w:r>
              <w:rPr>
                <w:sz w:val="20"/>
                <w:szCs w:val="20"/>
              </w:rPr>
              <w:t>Покрытия из гибких тюфяков и сетчатых блоков, заполненных камнем</w:t>
            </w:r>
          </w:p>
        </w:tc>
        <w:tc>
          <w:tcPr>
            <w:tcW w:w="4648" w:type="dxa"/>
            <w:tcBorders>
              <w:left w:val="single" w:sz="4" w:space="0" w:color="000000"/>
              <w:right w:val="single" w:sz="4" w:space="0" w:color="000000"/>
            </w:tcBorders>
          </w:tcPr>
          <w:p>
            <w:pPr>
              <w:pStyle w:val="Style89"/>
              <w:widowControl w:val="false"/>
              <w:numPr>
                <w:ilvl w:val="0"/>
                <w:numId w:val="0"/>
              </w:numPr>
              <w:ind w:left="0" w:hanging="0"/>
              <w:jc w:val="both"/>
              <w:rPr/>
            </w:pPr>
            <w:r>
              <w:rPr>
                <w:sz w:val="20"/>
                <w:szCs w:val="20"/>
              </w:rPr>
              <w:t>На водохранилищах, реках, откосах земляных сооружений (при пологих откосах и невысоких волнах - менее 0,5 - 0,6 м)</w:t>
            </w:r>
          </w:p>
        </w:tc>
      </w:tr>
      <w:tr>
        <w:trPr/>
        <w:tc>
          <w:tcPr>
            <w:tcW w:w="4421" w:type="dxa"/>
            <w:tcBorders>
              <w:left w:val="single" w:sz="4" w:space="0" w:color="000000"/>
              <w:bottom w:val="single" w:sz="4" w:space="0" w:color="000000"/>
              <w:right w:val="single" w:sz="4" w:space="0" w:color="000000"/>
            </w:tcBorders>
          </w:tcPr>
          <w:p>
            <w:pPr>
              <w:pStyle w:val="Style89"/>
              <w:widowControl w:val="false"/>
              <w:numPr>
                <w:ilvl w:val="0"/>
                <w:numId w:val="0"/>
              </w:numPr>
              <w:ind w:left="0" w:hanging="0"/>
              <w:jc w:val="both"/>
              <w:rPr/>
            </w:pPr>
            <w:r>
              <w:rPr>
                <w:sz w:val="20"/>
                <w:szCs w:val="20"/>
              </w:rPr>
              <w:t>Покрытия из синтетических материалов и вторичного сырья</w:t>
            </w:r>
          </w:p>
        </w:tc>
        <w:tc>
          <w:tcPr>
            <w:tcW w:w="4648" w:type="dxa"/>
            <w:tcBorders>
              <w:left w:val="single" w:sz="4" w:space="0" w:color="000000"/>
              <w:bottom w:val="single" w:sz="4" w:space="0" w:color="000000"/>
              <w:right w:val="single" w:sz="4" w:space="0" w:color="000000"/>
            </w:tcBorders>
          </w:tcPr>
          <w:p>
            <w:pPr>
              <w:pStyle w:val="Style89"/>
              <w:widowControl w:val="false"/>
              <w:numPr>
                <w:ilvl w:val="0"/>
                <w:numId w:val="0"/>
              </w:numPr>
              <w:ind w:left="0" w:hanging="0"/>
              <w:jc w:val="both"/>
              <w:rPr/>
            </w:pPr>
            <w:r>
              <w:rPr>
                <w:sz w:val="20"/>
                <w:szCs w:val="20"/>
              </w:rPr>
              <w:t>То же</w:t>
            </w:r>
          </w:p>
        </w:tc>
      </w:tr>
      <w:tr>
        <w:trPr/>
        <w:tc>
          <w:tcPr>
            <w:tcW w:w="4421" w:type="dxa"/>
            <w:tcBorders>
              <w:top w:val="single" w:sz="4" w:space="0" w:color="000000"/>
              <w:left w:val="single" w:sz="4" w:space="0" w:color="000000"/>
              <w:right w:val="single" w:sz="4" w:space="0" w:color="000000"/>
            </w:tcBorders>
          </w:tcPr>
          <w:p>
            <w:pPr>
              <w:pStyle w:val="Style89"/>
              <w:widowControl w:val="false"/>
              <w:numPr>
                <w:ilvl w:val="0"/>
                <w:numId w:val="0"/>
              </w:numPr>
              <w:ind w:left="0" w:hanging="0"/>
              <w:jc w:val="both"/>
              <w:rPr/>
            </w:pPr>
            <w:r>
              <w:rPr>
                <w:b/>
                <w:bCs/>
                <w:sz w:val="20"/>
                <w:szCs w:val="20"/>
              </w:rPr>
              <w:t>II Волногасящие</w:t>
            </w:r>
          </w:p>
        </w:tc>
        <w:tc>
          <w:tcPr>
            <w:tcW w:w="4648" w:type="dxa"/>
            <w:tcBorders>
              <w:top w:val="single" w:sz="4" w:space="0" w:color="000000"/>
              <w:left w:val="single" w:sz="4" w:space="0" w:color="000000"/>
              <w:right w:val="single" w:sz="4" w:space="0" w:color="000000"/>
            </w:tcBorders>
          </w:tcPr>
          <w:p>
            <w:pPr>
              <w:pStyle w:val="Style89"/>
              <w:widowControl w:val="false"/>
              <w:numPr>
                <w:ilvl w:val="0"/>
                <w:numId w:val="0"/>
              </w:numPr>
              <w:ind w:left="0" w:hanging="0"/>
              <w:jc w:val="both"/>
              <w:rPr>
                <w:sz w:val="20"/>
                <w:szCs w:val="20"/>
              </w:rPr>
            </w:pPr>
            <w:r>
              <w:rPr>
                <w:sz w:val="20"/>
                <w:szCs w:val="20"/>
              </w:rPr>
            </w:r>
          </w:p>
        </w:tc>
      </w:tr>
      <w:tr>
        <w:trPr/>
        <w:tc>
          <w:tcPr>
            <w:tcW w:w="4421" w:type="dxa"/>
            <w:tcBorders>
              <w:left w:val="single" w:sz="4" w:space="0" w:color="000000"/>
              <w:right w:val="single" w:sz="4" w:space="0" w:color="000000"/>
            </w:tcBorders>
          </w:tcPr>
          <w:p>
            <w:pPr>
              <w:pStyle w:val="Style89"/>
              <w:widowControl w:val="false"/>
              <w:numPr>
                <w:ilvl w:val="0"/>
                <w:numId w:val="0"/>
              </w:numPr>
              <w:ind w:left="0" w:hanging="0"/>
              <w:jc w:val="both"/>
              <w:rPr/>
            </w:pPr>
            <w:r>
              <w:rPr>
                <w:i/>
                <w:iCs/>
                <w:sz w:val="20"/>
                <w:szCs w:val="20"/>
              </w:rPr>
              <w:t>1 Вдольбереговые</w:t>
            </w:r>
          </w:p>
        </w:tc>
        <w:tc>
          <w:tcPr>
            <w:tcW w:w="4648" w:type="dxa"/>
            <w:tcBorders>
              <w:left w:val="single" w:sz="4" w:space="0" w:color="000000"/>
              <w:right w:val="single" w:sz="4" w:space="0" w:color="000000"/>
            </w:tcBorders>
          </w:tcPr>
          <w:p>
            <w:pPr>
              <w:pStyle w:val="Style89"/>
              <w:widowControl w:val="false"/>
              <w:numPr>
                <w:ilvl w:val="0"/>
                <w:numId w:val="0"/>
              </w:numPr>
              <w:ind w:left="0" w:hanging="0"/>
              <w:jc w:val="both"/>
              <w:rPr>
                <w:sz w:val="20"/>
                <w:szCs w:val="20"/>
              </w:rPr>
            </w:pPr>
            <w:r>
              <w:rPr>
                <w:sz w:val="20"/>
                <w:szCs w:val="20"/>
              </w:rPr>
            </w:r>
          </w:p>
        </w:tc>
      </w:tr>
      <w:tr>
        <w:trPr/>
        <w:tc>
          <w:tcPr>
            <w:tcW w:w="4421" w:type="dxa"/>
            <w:tcBorders>
              <w:left w:val="single" w:sz="4" w:space="0" w:color="000000"/>
              <w:right w:val="single" w:sz="4" w:space="0" w:color="000000"/>
            </w:tcBorders>
          </w:tcPr>
          <w:p>
            <w:pPr>
              <w:pStyle w:val="Style89"/>
              <w:widowControl w:val="false"/>
              <w:numPr>
                <w:ilvl w:val="0"/>
                <w:numId w:val="0"/>
              </w:numPr>
              <w:ind w:left="0" w:hanging="0"/>
              <w:jc w:val="both"/>
              <w:rPr/>
            </w:pPr>
            <w:r>
              <w:rPr>
                <w:sz w:val="20"/>
                <w:szCs w:val="20"/>
              </w:rPr>
              <w:t>Проницаемые сооружения с пористой напорной гранью и волногасящими камерами</w:t>
            </w:r>
          </w:p>
        </w:tc>
        <w:tc>
          <w:tcPr>
            <w:tcW w:w="4648" w:type="dxa"/>
            <w:tcBorders>
              <w:left w:val="single" w:sz="4" w:space="0" w:color="000000"/>
              <w:right w:val="single" w:sz="4" w:space="0" w:color="000000"/>
            </w:tcBorders>
          </w:tcPr>
          <w:p>
            <w:pPr>
              <w:pStyle w:val="Style89"/>
              <w:widowControl w:val="false"/>
              <w:numPr>
                <w:ilvl w:val="0"/>
                <w:numId w:val="0"/>
              </w:numPr>
              <w:ind w:left="0" w:hanging="0"/>
              <w:jc w:val="both"/>
              <w:rPr/>
            </w:pPr>
            <w:r>
              <w:rPr>
                <w:sz w:val="20"/>
                <w:szCs w:val="20"/>
              </w:rPr>
              <w:t>На морях и водохранилищах</w:t>
            </w:r>
          </w:p>
        </w:tc>
      </w:tr>
      <w:tr>
        <w:trPr/>
        <w:tc>
          <w:tcPr>
            <w:tcW w:w="4421" w:type="dxa"/>
            <w:tcBorders>
              <w:left w:val="single" w:sz="4" w:space="0" w:color="000000"/>
              <w:right w:val="single" w:sz="4" w:space="0" w:color="000000"/>
            </w:tcBorders>
          </w:tcPr>
          <w:p>
            <w:pPr>
              <w:pStyle w:val="Style89"/>
              <w:widowControl w:val="false"/>
              <w:numPr>
                <w:ilvl w:val="0"/>
                <w:numId w:val="0"/>
              </w:numPr>
              <w:ind w:left="0" w:hanging="0"/>
              <w:jc w:val="both"/>
              <w:rPr/>
            </w:pPr>
            <w:r>
              <w:rPr>
                <w:i/>
                <w:iCs/>
                <w:sz w:val="20"/>
                <w:szCs w:val="20"/>
              </w:rPr>
              <w:t>2 Откосные</w:t>
            </w:r>
          </w:p>
        </w:tc>
        <w:tc>
          <w:tcPr>
            <w:tcW w:w="4648" w:type="dxa"/>
            <w:tcBorders>
              <w:left w:val="single" w:sz="4" w:space="0" w:color="000000"/>
              <w:right w:val="single" w:sz="4" w:space="0" w:color="000000"/>
            </w:tcBorders>
          </w:tcPr>
          <w:p>
            <w:pPr>
              <w:pStyle w:val="Style89"/>
              <w:widowControl w:val="false"/>
              <w:numPr>
                <w:ilvl w:val="0"/>
                <w:numId w:val="0"/>
              </w:numPr>
              <w:ind w:left="0" w:hanging="0"/>
              <w:jc w:val="both"/>
              <w:rPr>
                <w:sz w:val="20"/>
                <w:szCs w:val="20"/>
              </w:rPr>
            </w:pPr>
            <w:r>
              <w:rPr>
                <w:sz w:val="20"/>
                <w:szCs w:val="20"/>
              </w:rPr>
            </w:r>
          </w:p>
        </w:tc>
      </w:tr>
      <w:tr>
        <w:trPr/>
        <w:tc>
          <w:tcPr>
            <w:tcW w:w="4421" w:type="dxa"/>
            <w:tcBorders>
              <w:left w:val="single" w:sz="4" w:space="0" w:color="000000"/>
              <w:right w:val="single" w:sz="4" w:space="0" w:color="000000"/>
            </w:tcBorders>
          </w:tcPr>
          <w:p>
            <w:pPr>
              <w:pStyle w:val="Style89"/>
              <w:widowControl w:val="false"/>
              <w:numPr>
                <w:ilvl w:val="0"/>
                <w:numId w:val="0"/>
              </w:numPr>
              <w:ind w:left="0" w:hanging="0"/>
              <w:jc w:val="both"/>
              <w:rPr/>
            </w:pPr>
            <w:r>
              <w:rPr>
                <w:sz w:val="20"/>
                <w:szCs w:val="20"/>
              </w:rPr>
              <w:t>Наброска из камня, гибкие бетонные покрытия</w:t>
            </w:r>
          </w:p>
        </w:tc>
        <w:tc>
          <w:tcPr>
            <w:tcW w:w="4648" w:type="dxa"/>
            <w:tcBorders>
              <w:left w:val="single" w:sz="4" w:space="0" w:color="000000"/>
              <w:right w:val="single" w:sz="4" w:space="0" w:color="000000"/>
            </w:tcBorders>
          </w:tcPr>
          <w:p>
            <w:pPr>
              <w:pStyle w:val="Style89"/>
              <w:widowControl w:val="false"/>
              <w:numPr>
                <w:ilvl w:val="0"/>
                <w:numId w:val="0"/>
              </w:numPr>
              <w:ind w:left="0" w:hanging="0"/>
              <w:jc w:val="both"/>
              <w:rPr/>
            </w:pPr>
            <w:r>
              <w:rPr>
                <w:sz w:val="20"/>
                <w:szCs w:val="20"/>
              </w:rPr>
              <w:t>На водохранилищах, реках, откосах земляных сооружений при отсутствии рекреационного использования</w:t>
            </w:r>
          </w:p>
        </w:tc>
      </w:tr>
      <w:tr>
        <w:trPr/>
        <w:tc>
          <w:tcPr>
            <w:tcW w:w="4421" w:type="dxa"/>
            <w:tcBorders>
              <w:left w:val="single" w:sz="4" w:space="0" w:color="000000"/>
              <w:right w:val="single" w:sz="4" w:space="0" w:color="000000"/>
            </w:tcBorders>
          </w:tcPr>
          <w:p>
            <w:pPr>
              <w:pStyle w:val="Style89"/>
              <w:widowControl w:val="false"/>
              <w:numPr>
                <w:ilvl w:val="0"/>
                <w:numId w:val="0"/>
              </w:numPr>
              <w:ind w:left="0" w:hanging="0"/>
              <w:jc w:val="both"/>
              <w:rPr/>
            </w:pPr>
            <w:r>
              <w:rPr>
                <w:sz w:val="20"/>
                <w:szCs w:val="20"/>
              </w:rPr>
              <w:t>Наброска или укладка из фасонных блоков</w:t>
            </w:r>
          </w:p>
        </w:tc>
        <w:tc>
          <w:tcPr>
            <w:tcW w:w="4648" w:type="dxa"/>
            <w:tcBorders>
              <w:left w:val="single" w:sz="4" w:space="0" w:color="000000"/>
              <w:right w:val="single" w:sz="4" w:space="0" w:color="000000"/>
            </w:tcBorders>
          </w:tcPr>
          <w:p>
            <w:pPr>
              <w:pStyle w:val="Style89"/>
              <w:widowControl w:val="false"/>
              <w:numPr>
                <w:ilvl w:val="0"/>
                <w:numId w:val="0"/>
              </w:numPr>
              <w:ind w:left="0" w:hanging="0"/>
              <w:jc w:val="both"/>
              <w:rPr/>
            </w:pPr>
            <w:r>
              <w:rPr>
                <w:sz w:val="20"/>
                <w:szCs w:val="20"/>
              </w:rPr>
              <w:t>На морях и водохранилищах при отсутствии рекреационного использования</w:t>
            </w:r>
          </w:p>
        </w:tc>
      </w:tr>
      <w:tr>
        <w:trPr/>
        <w:tc>
          <w:tcPr>
            <w:tcW w:w="4421" w:type="dxa"/>
            <w:tcBorders>
              <w:left w:val="single" w:sz="4" w:space="0" w:color="000000"/>
              <w:bottom w:val="single" w:sz="4" w:space="0" w:color="000000"/>
              <w:right w:val="single" w:sz="4" w:space="0" w:color="000000"/>
            </w:tcBorders>
          </w:tcPr>
          <w:p>
            <w:pPr>
              <w:pStyle w:val="Style89"/>
              <w:widowControl w:val="false"/>
              <w:numPr>
                <w:ilvl w:val="0"/>
                <w:numId w:val="0"/>
              </w:numPr>
              <w:ind w:left="0" w:hanging="0"/>
              <w:jc w:val="both"/>
              <w:rPr/>
            </w:pPr>
            <w:r>
              <w:rPr>
                <w:sz w:val="20"/>
                <w:szCs w:val="20"/>
              </w:rPr>
              <w:t>Искусственные свободные пляжи</w:t>
            </w:r>
          </w:p>
        </w:tc>
        <w:tc>
          <w:tcPr>
            <w:tcW w:w="4648" w:type="dxa"/>
            <w:tcBorders>
              <w:left w:val="single" w:sz="4" w:space="0" w:color="000000"/>
              <w:bottom w:val="single" w:sz="4" w:space="0" w:color="000000"/>
              <w:right w:val="single" w:sz="4" w:space="0" w:color="000000"/>
            </w:tcBorders>
          </w:tcPr>
          <w:p>
            <w:pPr>
              <w:pStyle w:val="Style89"/>
              <w:widowControl w:val="false"/>
              <w:numPr>
                <w:ilvl w:val="0"/>
                <w:numId w:val="0"/>
              </w:numPr>
              <w:ind w:left="0" w:hanging="0"/>
              <w:jc w:val="both"/>
              <w:rPr/>
            </w:pPr>
            <w:r>
              <w:rPr>
                <w:sz w:val="20"/>
                <w:szCs w:val="20"/>
              </w:rPr>
              <w:t>На морях и водохранилищах при пологих откосах (менее 10°) в условиях слабовыраженных вдольбереговых перемещений наносов и стабильном уровне воды</w:t>
            </w:r>
          </w:p>
        </w:tc>
      </w:tr>
      <w:tr>
        <w:trPr/>
        <w:tc>
          <w:tcPr>
            <w:tcW w:w="4421" w:type="dxa"/>
            <w:tcBorders>
              <w:top w:val="single" w:sz="4" w:space="0" w:color="000000"/>
              <w:left w:val="single" w:sz="4" w:space="0" w:color="000000"/>
              <w:right w:val="single" w:sz="4" w:space="0" w:color="000000"/>
            </w:tcBorders>
          </w:tcPr>
          <w:p>
            <w:pPr>
              <w:pStyle w:val="Style89"/>
              <w:widowControl w:val="false"/>
              <w:numPr>
                <w:ilvl w:val="0"/>
                <w:numId w:val="0"/>
              </w:numPr>
              <w:ind w:left="0" w:hanging="0"/>
              <w:jc w:val="both"/>
              <w:rPr/>
            </w:pPr>
            <w:r>
              <w:rPr>
                <w:b/>
                <w:bCs/>
                <w:sz w:val="20"/>
                <w:szCs w:val="20"/>
              </w:rPr>
              <w:t>III Пляжеудерживающие</w:t>
            </w:r>
          </w:p>
        </w:tc>
        <w:tc>
          <w:tcPr>
            <w:tcW w:w="4648" w:type="dxa"/>
            <w:tcBorders>
              <w:top w:val="single" w:sz="4" w:space="0" w:color="000000"/>
              <w:left w:val="single" w:sz="4" w:space="0" w:color="000000"/>
              <w:right w:val="single" w:sz="4" w:space="0" w:color="000000"/>
            </w:tcBorders>
          </w:tcPr>
          <w:p>
            <w:pPr>
              <w:pStyle w:val="Style89"/>
              <w:widowControl w:val="false"/>
              <w:numPr>
                <w:ilvl w:val="0"/>
                <w:numId w:val="0"/>
              </w:numPr>
              <w:ind w:left="0" w:hanging="0"/>
              <w:jc w:val="both"/>
              <w:rPr>
                <w:sz w:val="20"/>
                <w:szCs w:val="20"/>
              </w:rPr>
            </w:pPr>
            <w:r>
              <w:rPr>
                <w:sz w:val="20"/>
                <w:szCs w:val="20"/>
              </w:rPr>
            </w:r>
          </w:p>
        </w:tc>
      </w:tr>
      <w:tr>
        <w:trPr/>
        <w:tc>
          <w:tcPr>
            <w:tcW w:w="4421" w:type="dxa"/>
            <w:tcBorders>
              <w:left w:val="single" w:sz="4" w:space="0" w:color="000000"/>
              <w:right w:val="single" w:sz="4" w:space="0" w:color="000000"/>
            </w:tcBorders>
          </w:tcPr>
          <w:p>
            <w:pPr>
              <w:pStyle w:val="Style89"/>
              <w:widowControl w:val="false"/>
              <w:numPr>
                <w:ilvl w:val="0"/>
                <w:numId w:val="0"/>
              </w:numPr>
              <w:ind w:left="0" w:hanging="0"/>
              <w:jc w:val="both"/>
              <w:rPr/>
            </w:pPr>
            <w:r>
              <w:rPr>
                <w:i/>
                <w:iCs/>
                <w:sz w:val="20"/>
                <w:szCs w:val="20"/>
              </w:rPr>
              <w:t>1 Вдольбереговые</w:t>
            </w:r>
          </w:p>
        </w:tc>
        <w:tc>
          <w:tcPr>
            <w:tcW w:w="4648" w:type="dxa"/>
            <w:tcBorders>
              <w:left w:val="single" w:sz="4" w:space="0" w:color="000000"/>
              <w:right w:val="single" w:sz="4" w:space="0" w:color="000000"/>
            </w:tcBorders>
          </w:tcPr>
          <w:p>
            <w:pPr>
              <w:pStyle w:val="Style89"/>
              <w:widowControl w:val="false"/>
              <w:numPr>
                <w:ilvl w:val="0"/>
                <w:numId w:val="0"/>
              </w:numPr>
              <w:ind w:left="0" w:hanging="0"/>
              <w:jc w:val="both"/>
              <w:rPr>
                <w:sz w:val="20"/>
                <w:szCs w:val="20"/>
              </w:rPr>
            </w:pPr>
            <w:r>
              <w:rPr>
                <w:sz w:val="20"/>
                <w:szCs w:val="20"/>
              </w:rPr>
            </w:r>
          </w:p>
        </w:tc>
      </w:tr>
      <w:tr>
        <w:trPr/>
        <w:tc>
          <w:tcPr>
            <w:tcW w:w="4421" w:type="dxa"/>
            <w:tcBorders>
              <w:left w:val="single" w:sz="4" w:space="0" w:color="000000"/>
              <w:right w:val="single" w:sz="4" w:space="0" w:color="000000"/>
            </w:tcBorders>
          </w:tcPr>
          <w:p>
            <w:pPr>
              <w:pStyle w:val="Style89"/>
              <w:widowControl w:val="false"/>
              <w:numPr>
                <w:ilvl w:val="0"/>
                <w:numId w:val="0"/>
              </w:numPr>
              <w:ind w:left="0" w:hanging="0"/>
              <w:jc w:val="both"/>
              <w:rPr/>
            </w:pPr>
            <w:r>
              <w:rPr>
                <w:sz w:val="20"/>
                <w:szCs w:val="20"/>
              </w:rPr>
              <w:t>Подводные банкеты из бетона, бетонных блоков, камня</w:t>
            </w:r>
          </w:p>
        </w:tc>
        <w:tc>
          <w:tcPr>
            <w:tcW w:w="4648" w:type="dxa"/>
            <w:tcBorders>
              <w:left w:val="single" w:sz="4" w:space="0" w:color="000000"/>
              <w:right w:val="single" w:sz="4" w:space="0" w:color="000000"/>
            </w:tcBorders>
          </w:tcPr>
          <w:p>
            <w:pPr>
              <w:pStyle w:val="Style89"/>
              <w:widowControl w:val="false"/>
              <w:numPr>
                <w:ilvl w:val="0"/>
                <w:numId w:val="0"/>
              </w:numPr>
              <w:ind w:left="0" w:hanging="0"/>
              <w:jc w:val="both"/>
              <w:rPr/>
            </w:pPr>
            <w:r>
              <w:rPr>
                <w:sz w:val="20"/>
                <w:szCs w:val="20"/>
              </w:rPr>
              <w:t>На морях и водохранилищах при небольшом волнении для закрепления пляжа</w:t>
            </w:r>
          </w:p>
        </w:tc>
      </w:tr>
      <w:tr>
        <w:trPr/>
        <w:tc>
          <w:tcPr>
            <w:tcW w:w="4421" w:type="dxa"/>
            <w:tcBorders>
              <w:left w:val="single" w:sz="4" w:space="0" w:color="000000"/>
              <w:right w:val="single" w:sz="4" w:space="0" w:color="000000"/>
            </w:tcBorders>
          </w:tcPr>
          <w:p>
            <w:pPr>
              <w:pStyle w:val="Style89"/>
              <w:widowControl w:val="false"/>
              <w:numPr>
                <w:ilvl w:val="0"/>
                <w:numId w:val="0"/>
              </w:numPr>
              <w:ind w:left="0" w:hanging="0"/>
              <w:jc w:val="both"/>
              <w:rPr/>
            </w:pPr>
            <w:r>
              <w:rPr>
                <w:sz w:val="20"/>
                <w:szCs w:val="20"/>
              </w:rPr>
              <w:t>Загрузка инертными на локальных участках (каменные банкеты, песчаные примывы и т.п.)</w:t>
            </w:r>
          </w:p>
        </w:tc>
        <w:tc>
          <w:tcPr>
            <w:tcW w:w="4648" w:type="dxa"/>
            <w:tcBorders>
              <w:left w:val="single" w:sz="4" w:space="0" w:color="000000"/>
              <w:right w:val="single" w:sz="4" w:space="0" w:color="000000"/>
            </w:tcBorders>
          </w:tcPr>
          <w:p>
            <w:pPr>
              <w:pStyle w:val="Style89"/>
              <w:widowControl w:val="false"/>
              <w:numPr>
                <w:ilvl w:val="0"/>
                <w:numId w:val="0"/>
              </w:numPr>
              <w:ind w:left="0" w:hanging="0"/>
              <w:jc w:val="both"/>
              <w:rPr/>
            </w:pPr>
            <w:r>
              <w:rPr>
                <w:sz w:val="20"/>
                <w:szCs w:val="20"/>
              </w:rPr>
              <w:t>На водохранилищах при относительно пологих откосах</w:t>
            </w:r>
          </w:p>
        </w:tc>
      </w:tr>
      <w:tr>
        <w:trPr/>
        <w:tc>
          <w:tcPr>
            <w:tcW w:w="4421" w:type="dxa"/>
            <w:tcBorders>
              <w:left w:val="single" w:sz="4" w:space="0" w:color="000000"/>
              <w:right w:val="single" w:sz="4" w:space="0" w:color="000000"/>
            </w:tcBorders>
          </w:tcPr>
          <w:p>
            <w:pPr>
              <w:pStyle w:val="Style89"/>
              <w:widowControl w:val="false"/>
              <w:numPr>
                <w:ilvl w:val="0"/>
                <w:numId w:val="0"/>
              </w:numPr>
              <w:ind w:left="0" w:hanging="0"/>
              <w:jc w:val="both"/>
              <w:rPr/>
            </w:pPr>
            <w:r>
              <w:rPr>
                <w:i/>
                <w:iCs/>
                <w:sz w:val="20"/>
                <w:szCs w:val="20"/>
              </w:rPr>
              <w:t>2 Поперечные</w:t>
            </w:r>
          </w:p>
        </w:tc>
        <w:tc>
          <w:tcPr>
            <w:tcW w:w="4648" w:type="dxa"/>
            <w:tcBorders>
              <w:left w:val="single" w:sz="4" w:space="0" w:color="000000"/>
              <w:right w:val="single" w:sz="4" w:space="0" w:color="000000"/>
            </w:tcBorders>
          </w:tcPr>
          <w:p>
            <w:pPr>
              <w:pStyle w:val="Style89"/>
              <w:widowControl w:val="false"/>
              <w:numPr>
                <w:ilvl w:val="0"/>
                <w:numId w:val="0"/>
              </w:numPr>
              <w:ind w:left="0" w:hanging="0"/>
              <w:jc w:val="both"/>
              <w:rPr>
                <w:sz w:val="20"/>
                <w:szCs w:val="20"/>
              </w:rPr>
            </w:pPr>
            <w:r>
              <w:rPr>
                <w:sz w:val="20"/>
                <w:szCs w:val="20"/>
              </w:rPr>
            </w:r>
          </w:p>
        </w:tc>
      </w:tr>
      <w:tr>
        <w:trPr/>
        <w:tc>
          <w:tcPr>
            <w:tcW w:w="4421" w:type="dxa"/>
            <w:tcBorders>
              <w:left w:val="single" w:sz="4" w:space="0" w:color="000000"/>
              <w:bottom w:val="single" w:sz="4" w:space="0" w:color="000000"/>
              <w:right w:val="single" w:sz="4" w:space="0" w:color="000000"/>
            </w:tcBorders>
          </w:tcPr>
          <w:p>
            <w:pPr>
              <w:pStyle w:val="Style89"/>
              <w:widowControl w:val="false"/>
              <w:numPr>
                <w:ilvl w:val="0"/>
                <w:numId w:val="0"/>
              </w:numPr>
              <w:ind w:left="0" w:hanging="0"/>
              <w:jc w:val="both"/>
              <w:rPr/>
            </w:pPr>
            <w:r>
              <w:rPr>
                <w:sz w:val="20"/>
                <w:szCs w:val="20"/>
              </w:rPr>
              <w:t>Буны, молы, шпоры (гравитационные, свайные, из фасонных блоков и др.)</w:t>
            </w:r>
          </w:p>
        </w:tc>
        <w:tc>
          <w:tcPr>
            <w:tcW w:w="4648" w:type="dxa"/>
            <w:tcBorders>
              <w:left w:val="single" w:sz="4" w:space="0" w:color="000000"/>
              <w:bottom w:val="single" w:sz="4" w:space="0" w:color="000000"/>
              <w:right w:val="single" w:sz="4" w:space="0" w:color="000000"/>
            </w:tcBorders>
          </w:tcPr>
          <w:p>
            <w:pPr>
              <w:pStyle w:val="Style89"/>
              <w:widowControl w:val="false"/>
              <w:numPr>
                <w:ilvl w:val="0"/>
                <w:numId w:val="0"/>
              </w:numPr>
              <w:ind w:left="0" w:hanging="0"/>
              <w:jc w:val="both"/>
              <w:rPr/>
            </w:pPr>
            <w:r>
              <w:rPr>
                <w:sz w:val="20"/>
                <w:szCs w:val="20"/>
              </w:rPr>
              <w:t>На морях, водохранилищах, реках при создании и закреплении естественных и искусственных пляжей</w:t>
            </w:r>
          </w:p>
        </w:tc>
      </w:tr>
      <w:tr>
        <w:trPr/>
        <w:tc>
          <w:tcPr>
            <w:tcW w:w="4421" w:type="dxa"/>
            <w:tcBorders>
              <w:top w:val="single" w:sz="4" w:space="0" w:color="000000"/>
              <w:left w:val="single" w:sz="4" w:space="0" w:color="000000"/>
              <w:right w:val="single" w:sz="4" w:space="0" w:color="000000"/>
            </w:tcBorders>
          </w:tcPr>
          <w:p>
            <w:pPr>
              <w:pStyle w:val="Style89"/>
              <w:widowControl w:val="false"/>
              <w:numPr>
                <w:ilvl w:val="0"/>
                <w:numId w:val="0"/>
              </w:numPr>
              <w:ind w:left="0" w:hanging="0"/>
              <w:jc w:val="both"/>
              <w:rPr/>
            </w:pPr>
            <w:r>
              <w:rPr>
                <w:b/>
                <w:bCs/>
                <w:sz w:val="20"/>
                <w:szCs w:val="20"/>
              </w:rPr>
              <w:t>IV Специальные</w:t>
            </w:r>
          </w:p>
        </w:tc>
        <w:tc>
          <w:tcPr>
            <w:tcW w:w="4648" w:type="dxa"/>
            <w:tcBorders>
              <w:top w:val="single" w:sz="4" w:space="0" w:color="000000"/>
              <w:left w:val="single" w:sz="4" w:space="0" w:color="000000"/>
              <w:right w:val="single" w:sz="4" w:space="0" w:color="000000"/>
            </w:tcBorders>
          </w:tcPr>
          <w:p>
            <w:pPr>
              <w:pStyle w:val="Style89"/>
              <w:widowControl w:val="false"/>
              <w:numPr>
                <w:ilvl w:val="0"/>
                <w:numId w:val="0"/>
              </w:numPr>
              <w:ind w:left="0" w:hanging="0"/>
              <w:jc w:val="both"/>
              <w:rPr>
                <w:sz w:val="20"/>
                <w:szCs w:val="20"/>
              </w:rPr>
            </w:pPr>
            <w:r>
              <w:rPr>
                <w:sz w:val="20"/>
                <w:szCs w:val="20"/>
              </w:rPr>
            </w:r>
          </w:p>
        </w:tc>
      </w:tr>
      <w:tr>
        <w:trPr/>
        <w:tc>
          <w:tcPr>
            <w:tcW w:w="4421" w:type="dxa"/>
            <w:tcBorders>
              <w:left w:val="single" w:sz="4" w:space="0" w:color="000000"/>
              <w:right w:val="single" w:sz="4" w:space="0" w:color="000000"/>
            </w:tcBorders>
          </w:tcPr>
          <w:p>
            <w:pPr>
              <w:pStyle w:val="Style89"/>
              <w:widowControl w:val="false"/>
              <w:numPr>
                <w:ilvl w:val="0"/>
                <w:numId w:val="0"/>
              </w:numPr>
              <w:ind w:left="0" w:hanging="0"/>
              <w:jc w:val="both"/>
              <w:rPr/>
            </w:pPr>
            <w:r>
              <w:rPr>
                <w:i/>
                <w:iCs/>
                <w:sz w:val="20"/>
                <w:szCs w:val="20"/>
              </w:rPr>
              <w:t>1 Регулирующие</w:t>
            </w:r>
          </w:p>
        </w:tc>
        <w:tc>
          <w:tcPr>
            <w:tcW w:w="4648" w:type="dxa"/>
            <w:tcBorders>
              <w:left w:val="single" w:sz="4" w:space="0" w:color="000000"/>
              <w:right w:val="single" w:sz="4" w:space="0" w:color="000000"/>
            </w:tcBorders>
          </w:tcPr>
          <w:p>
            <w:pPr>
              <w:pStyle w:val="Style89"/>
              <w:widowControl w:val="false"/>
              <w:numPr>
                <w:ilvl w:val="0"/>
                <w:numId w:val="0"/>
              </w:numPr>
              <w:ind w:left="0" w:hanging="0"/>
              <w:jc w:val="both"/>
              <w:rPr>
                <w:sz w:val="20"/>
                <w:szCs w:val="20"/>
              </w:rPr>
            </w:pPr>
            <w:r>
              <w:rPr>
                <w:sz w:val="20"/>
                <w:szCs w:val="20"/>
              </w:rPr>
            </w:r>
          </w:p>
        </w:tc>
      </w:tr>
      <w:tr>
        <w:trPr/>
        <w:tc>
          <w:tcPr>
            <w:tcW w:w="4421" w:type="dxa"/>
            <w:tcBorders>
              <w:left w:val="single" w:sz="4" w:space="0" w:color="000000"/>
              <w:right w:val="single" w:sz="4" w:space="0" w:color="000000"/>
            </w:tcBorders>
          </w:tcPr>
          <w:p>
            <w:pPr>
              <w:pStyle w:val="Style89"/>
              <w:widowControl w:val="false"/>
              <w:numPr>
                <w:ilvl w:val="0"/>
                <w:numId w:val="0"/>
              </w:numPr>
              <w:ind w:left="0" w:hanging="0"/>
              <w:jc w:val="both"/>
              <w:rPr/>
            </w:pPr>
            <w:r>
              <w:rPr>
                <w:sz w:val="20"/>
                <w:szCs w:val="20"/>
              </w:rPr>
              <w:t>Управление стоком рек (регулирование сброса, объединение водостоков в одно устье и др.)</w:t>
            </w:r>
          </w:p>
        </w:tc>
        <w:tc>
          <w:tcPr>
            <w:tcW w:w="4648" w:type="dxa"/>
            <w:tcBorders>
              <w:left w:val="single" w:sz="4" w:space="0" w:color="000000"/>
              <w:right w:val="single" w:sz="4" w:space="0" w:color="000000"/>
            </w:tcBorders>
          </w:tcPr>
          <w:p>
            <w:pPr>
              <w:pStyle w:val="Style89"/>
              <w:widowControl w:val="false"/>
              <w:numPr>
                <w:ilvl w:val="0"/>
                <w:numId w:val="0"/>
              </w:numPr>
              <w:ind w:left="0" w:hanging="0"/>
              <w:jc w:val="both"/>
              <w:rPr/>
            </w:pPr>
            <w:r>
              <w:rPr>
                <w:sz w:val="20"/>
                <w:szCs w:val="20"/>
              </w:rPr>
              <w:t>На морях для увеличения объема наносов, обход участков малой пропускной способности вдоль берегового потока</w:t>
            </w:r>
          </w:p>
        </w:tc>
      </w:tr>
      <w:tr>
        <w:trPr/>
        <w:tc>
          <w:tcPr>
            <w:tcW w:w="4421" w:type="dxa"/>
            <w:tcBorders>
              <w:left w:val="single" w:sz="4" w:space="0" w:color="000000"/>
              <w:right w:val="single" w:sz="4" w:space="0" w:color="000000"/>
            </w:tcBorders>
          </w:tcPr>
          <w:p>
            <w:pPr>
              <w:pStyle w:val="Style89"/>
              <w:widowControl w:val="false"/>
              <w:numPr>
                <w:ilvl w:val="0"/>
                <w:numId w:val="0"/>
              </w:numPr>
              <w:ind w:left="0" w:hanging="0"/>
              <w:jc w:val="both"/>
              <w:rPr/>
            </w:pPr>
            <w:r>
              <w:rPr>
                <w:sz w:val="20"/>
                <w:szCs w:val="20"/>
              </w:rPr>
              <w:t>Сооружения, имитирующие природные формы рельефа</w:t>
            </w:r>
          </w:p>
        </w:tc>
        <w:tc>
          <w:tcPr>
            <w:tcW w:w="4648" w:type="dxa"/>
            <w:tcBorders>
              <w:left w:val="single" w:sz="4" w:space="0" w:color="000000"/>
              <w:right w:val="single" w:sz="4" w:space="0" w:color="000000"/>
            </w:tcBorders>
          </w:tcPr>
          <w:p>
            <w:pPr>
              <w:pStyle w:val="Style89"/>
              <w:widowControl w:val="false"/>
              <w:numPr>
                <w:ilvl w:val="0"/>
                <w:numId w:val="0"/>
              </w:numPr>
              <w:ind w:left="0" w:hanging="0"/>
              <w:jc w:val="both"/>
              <w:rPr/>
            </w:pPr>
            <w:r>
              <w:rPr>
                <w:sz w:val="20"/>
                <w:szCs w:val="20"/>
              </w:rPr>
              <w:t>На водохранилищах для регулирования береговых процессов</w:t>
            </w:r>
          </w:p>
        </w:tc>
      </w:tr>
      <w:tr>
        <w:trPr/>
        <w:tc>
          <w:tcPr>
            <w:tcW w:w="4421" w:type="dxa"/>
            <w:tcBorders>
              <w:left w:val="single" w:sz="4" w:space="0" w:color="000000"/>
              <w:right w:val="single" w:sz="4" w:space="0" w:color="000000"/>
            </w:tcBorders>
          </w:tcPr>
          <w:p>
            <w:pPr>
              <w:pStyle w:val="Style89"/>
              <w:widowControl w:val="false"/>
              <w:numPr>
                <w:ilvl w:val="0"/>
                <w:numId w:val="0"/>
              </w:numPr>
              <w:ind w:left="0" w:hanging="0"/>
              <w:jc w:val="both"/>
              <w:rPr/>
            </w:pPr>
            <w:r>
              <w:rPr>
                <w:sz w:val="20"/>
                <w:szCs w:val="20"/>
              </w:rPr>
              <w:t>Перебазирование запаса наносов (переброска вдоль побережья, использование подводных карьеров и т.д.)</w:t>
            </w:r>
          </w:p>
        </w:tc>
        <w:tc>
          <w:tcPr>
            <w:tcW w:w="4648" w:type="dxa"/>
            <w:tcBorders>
              <w:left w:val="single" w:sz="4" w:space="0" w:color="000000"/>
              <w:right w:val="single" w:sz="4" w:space="0" w:color="000000"/>
            </w:tcBorders>
          </w:tcPr>
          <w:p>
            <w:pPr>
              <w:pStyle w:val="Style89"/>
              <w:widowControl w:val="false"/>
              <w:numPr>
                <w:ilvl w:val="0"/>
                <w:numId w:val="0"/>
              </w:numPr>
              <w:ind w:left="0" w:hanging="0"/>
              <w:jc w:val="both"/>
              <w:rPr/>
            </w:pPr>
            <w:r>
              <w:rPr>
                <w:sz w:val="20"/>
                <w:szCs w:val="20"/>
              </w:rPr>
              <w:t>На морях и водохранилищах для регулирования баланса наносов</w:t>
            </w:r>
          </w:p>
        </w:tc>
      </w:tr>
      <w:tr>
        <w:trPr/>
        <w:tc>
          <w:tcPr>
            <w:tcW w:w="4421" w:type="dxa"/>
            <w:tcBorders>
              <w:left w:val="single" w:sz="4" w:space="0" w:color="000000"/>
              <w:right w:val="single" w:sz="4" w:space="0" w:color="000000"/>
            </w:tcBorders>
          </w:tcPr>
          <w:p>
            <w:pPr>
              <w:pStyle w:val="Style89"/>
              <w:widowControl w:val="false"/>
              <w:numPr>
                <w:ilvl w:val="0"/>
                <w:numId w:val="0"/>
              </w:numPr>
              <w:ind w:left="0" w:hanging="0"/>
              <w:jc w:val="both"/>
              <w:rPr/>
            </w:pPr>
            <w:r>
              <w:rPr>
                <w:i/>
                <w:iCs/>
                <w:sz w:val="20"/>
                <w:szCs w:val="20"/>
              </w:rPr>
              <w:t>2 Струенаправляющие</w:t>
            </w:r>
          </w:p>
        </w:tc>
        <w:tc>
          <w:tcPr>
            <w:tcW w:w="4648" w:type="dxa"/>
            <w:tcBorders>
              <w:left w:val="single" w:sz="4" w:space="0" w:color="000000"/>
              <w:right w:val="single" w:sz="4" w:space="0" w:color="000000"/>
            </w:tcBorders>
          </w:tcPr>
          <w:p>
            <w:pPr>
              <w:pStyle w:val="Style89"/>
              <w:widowControl w:val="false"/>
              <w:numPr>
                <w:ilvl w:val="0"/>
                <w:numId w:val="0"/>
              </w:numPr>
              <w:ind w:left="0" w:hanging="0"/>
              <w:jc w:val="both"/>
              <w:rPr>
                <w:sz w:val="20"/>
                <w:szCs w:val="20"/>
              </w:rPr>
            </w:pPr>
            <w:r>
              <w:rPr>
                <w:sz w:val="20"/>
                <w:szCs w:val="20"/>
              </w:rPr>
            </w:r>
          </w:p>
        </w:tc>
      </w:tr>
      <w:tr>
        <w:trPr/>
        <w:tc>
          <w:tcPr>
            <w:tcW w:w="4421" w:type="dxa"/>
            <w:tcBorders>
              <w:left w:val="single" w:sz="4" w:space="0" w:color="000000"/>
              <w:right w:val="single" w:sz="4" w:space="0" w:color="000000"/>
            </w:tcBorders>
          </w:tcPr>
          <w:p>
            <w:pPr>
              <w:pStyle w:val="Style89"/>
              <w:widowControl w:val="false"/>
              <w:numPr>
                <w:ilvl w:val="0"/>
                <w:numId w:val="0"/>
              </w:numPr>
              <w:ind w:left="0" w:hanging="0"/>
              <w:jc w:val="both"/>
              <w:rPr/>
            </w:pPr>
            <w:r>
              <w:rPr>
                <w:sz w:val="20"/>
                <w:szCs w:val="20"/>
              </w:rPr>
              <w:t>Струенаправляющие дамбы из каменной наброски</w:t>
            </w:r>
          </w:p>
        </w:tc>
        <w:tc>
          <w:tcPr>
            <w:tcW w:w="4648" w:type="dxa"/>
            <w:tcBorders>
              <w:left w:val="single" w:sz="4" w:space="0" w:color="000000"/>
              <w:right w:val="single" w:sz="4" w:space="0" w:color="000000"/>
            </w:tcBorders>
          </w:tcPr>
          <w:p>
            <w:pPr>
              <w:pStyle w:val="Style89"/>
              <w:widowControl w:val="false"/>
              <w:numPr>
                <w:ilvl w:val="0"/>
                <w:numId w:val="0"/>
              </w:numPr>
              <w:ind w:left="0" w:hanging="0"/>
              <w:jc w:val="both"/>
              <w:rPr/>
            </w:pPr>
            <w:r>
              <w:rPr>
                <w:sz w:val="20"/>
                <w:szCs w:val="20"/>
              </w:rPr>
              <w:t>На реках для защиты берегов рек и отклонения оси потока от размывания берега</w:t>
            </w:r>
          </w:p>
        </w:tc>
      </w:tr>
      <w:tr>
        <w:trPr/>
        <w:tc>
          <w:tcPr>
            <w:tcW w:w="4421" w:type="dxa"/>
            <w:tcBorders>
              <w:left w:val="single" w:sz="4" w:space="0" w:color="000000"/>
              <w:right w:val="single" w:sz="4" w:space="0" w:color="000000"/>
            </w:tcBorders>
          </w:tcPr>
          <w:p>
            <w:pPr>
              <w:pStyle w:val="Style89"/>
              <w:widowControl w:val="false"/>
              <w:numPr>
                <w:ilvl w:val="0"/>
                <w:numId w:val="0"/>
              </w:numPr>
              <w:ind w:left="0" w:hanging="0"/>
              <w:jc w:val="both"/>
              <w:rPr/>
            </w:pPr>
            <w:r>
              <w:rPr>
                <w:sz w:val="20"/>
                <w:szCs w:val="20"/>
              </w:rPr>
              <w:t>Струенаправляющие дамбы из грунта</w:t>
            </w:r>
          </w:p>
        </w:tc>
        <w:tc>
          <w:tcPr>
            <w:tcW w:w="4648" w:type="dxa"/>
            <w:tcBorders>
              <w:left w:val="single" w:sz="4" w:space="0" w:color="000000"/>
              <w:right w:val="single" w:sz="4" w:space="0" w:color="000000"/>
            </w:tcBorders>
          </w:tcPr>
          <w:p>
            <w:pPr>
              <w:pStyle w:val="Style89"/>
              <w:widowControl w:val="false"/>
              <w:numPr>
                <w:ilvl w:val="0"/>
                <w:numId w:val="0"/>
              </w:numPr>
              <w:ind w:left="0" w:hanging="0"/>
              <w:jc w:val="both"/>
              <w:rPr/>
            </w:pPr>
            <w:r>
              <w:rPr>
                <w:sz w:val="20"/>
                <w:szCs w:val="20"/>
              </w:rPr>
              <w:t>На реках с невысокими скоростями течения для отклонения оси потока</w:t>
            </w:r>
          </w:p>
        </w:tc>
      </w:tr>
      <w:tr>
        <w:trPr/>
        <w:tc>
          <w:tcPr>
            <w:tcW w:w="4421" w:type="dxa"/>
            <w:tcBorders>
              <w:left w:val="single" w:sz="4" w:space="0" w:color="000000"/>
              <w:right w:val="single" w:sz="4" w:space="0" w:color="000000"/>
            </w:tcBorders>
          </w:tcPr>
          <w:p>
            <w:pPr>
              <w:pStyle w:val="Style89"/>
              <w:widowControl w:val="false"/>
              <w:numPr>
                <w:ilvl w:val="0"/>
                <w:numId w:val="0"/>
              </w:numPr>
              <w:ind w:left="0" w:hanging="0"/>
              <w:jc w:val="both"/>
              <w:rPr/>
            </w:pPr>
            <w:r>
              <w:rPr>
                <w:sz w:val="20"/>
                <w:szCs w:val="20"/>
              </w:rPr>
              <w:t>Струенаправляющие массивные шпоры или полузапруды</w:t>
            </w:r>
          </w:p>
        </w:tc>
        <w:tc>
          <w:tcPr>
            <w:tcW w:w="4648" w:type="dxa"/>
            <w:tcBorders>
              <w:left w:val="single" w:sz="4" w:space="0" w:color="000000"/>
              <w:right w:val="single" w:sz="4" w:space="0" w:color="000000"/>
            </w:tcBorders>
          </w:tcPr>
          <w:p>
            <w:pPr>
              <w:pStyle w:val="Style89"/>
              <w:widowControl w:val="false"/>
              <w:numPr>
                <w:ilvl w:val="0"/>
                <w:numId w:val="0"/>
              </w:numPr>
              <w:ind w:left="0" w:hanging="0"/>
              <w:jc w:val="both"/>
              <w:rPr/>
            </w:pPr>
            <w:r>
              <w:rPr>
                <w:sz w:val="20"/>
                <w:szCs w:val="20"/>
              </w:rPr>
              <w:t>То же</w:t>
            </w:r>
          </w:p>
        </w:tc>
      </w:tr>
      <w:tr>
        <w:trPr/>
        <w:tc>
          <w:tcPr>
            <w:tcW w:w="4421" w:type="dxa"/>
            <w:tcBorders>
              <w:left w:val="single" w:sz="4" w:space="0" w:color="000000"/>
              <w:right w:val="single" w:sz="4" w:space="0" w:color="000000"/>
            </w:tcBorders>
          </w:tcPr>
          <w:p>
            <w:pPr>
              <w:pStyle w:val="Style89"/>
              <w:widowControl w:val="false"/>
              <w:numPr>
                <w:ilvl w:val="0"/>
                <w:numId w:val="0"/>
              </w:numPr>
              <w:ind w:left="0" w:hanging="0"/>
              <w:jc w:val="both"/>
              <w:rPr/>
            </w:pPr>
            <w:r>
              <w:rPr>
                <w:i/>
                <w:iCs/>
                <w:sz w:val="20"/>
                <w:szCs w:val="20"/>
              </w:rPr>
              <w:t>3 Склоноукрепляющие</w:t>
            </w:r>
          </w:p>
        </w:tc>
        <w:tc>
          <w:tcPr>
            <w:tcW w:w="4648" w:type="dxa"/>
            <w:tcBorders>
              <w:left w:val="single" w:sz="4" w:space="0" w:color="000000"/>
              <w:right w:val="single" w:sz="4" w:space="0" w:color="000000"/>
            </w:tcBorders>
          </w:tcPr>
          <w:p>
            <w:pPr>
              <w:pStyle w:val="Style89"/>
              <w:widowControl w:val="false"/>
              <w:numPr>
                <w:ilvl w:val="0"/>
                <w:numId w:val="0"/>
              </w:numPr>
              <w:ind w:left="0" w:hanging="0"/>
              <w:jc w:val="both"/>
              <w:rPr>
                <w:sz w:val="20"/>
                <w:szCs w:val="20"/>
              </w:rPr>
            </w:pPr>
            <w:r>
              <w:rPr>
                <w:sz w:val="20"/>
                <w:szCs w:val="20"/>
              </w:rPr>
            </w:r>
          </w:p>
        </w:tc>
      </w:tr>
      <w:tr>
        <w:trPr/>
        <w:tc>
          <w:tcPr>
            <w:tcW w:w="4421" w:type="dxa"/>
            <w:tcBorders>
              <w:left w:val="single" w:sz="4" w:space="0" w:color="000000"/>
              <w:bottom w:val="single" w:sz="4" w:space="0" w:color="000000"/>
              <w:right w:val="single" w:sz="4" w:space="0" w:color="000000"/>
            </w:tcBorders>
          </w:tcPr>
          <w:p>
            <w:pPr>
              <w:pStyle w:val="Style89"/>
              <w:widowControl w:val="false"/>
              <w:numPr>
                <w:ilvl w:val="0"/>
                <w:numId w:val="0"/>
              </w:numPr>
              <w:ind w:left="0" w:hanging="0"/>
              <w:jc w:val="both"/>
              <w:rPr/>
            </w:pPr>
            <w:r>
              <w:rPr>
                <w:sz w:val="20"/>
                <w:szCs w:val="20"/>
              </w:rPr>
              <w:t>Искусственное закрепление грунта откосов</w:t>
            </w:r>
          </w:p>
        </w:tc>
        <w:tc>
          <w:tcPr>
            <w:tcW w:w="4648" w:type="dxa"/>
            <w:tcBorders>
              <w:left w:val="single" w:sz="4" w:space="0" w:color="000000"/>
              <w:bottom w:val="single" w:sz="4" w:space="0" w:color="000000"/>
              <w:right w:val="single" w:sz="4" w:space="0" w:color="000000"/>
            </w:tcBorders>
          </w:tcPr>
          <w:p>
            <w:pPr>
              <w:pStyle w:val="Style89"/>
              <w:widowControl w:val="false"/>
              <w:numPr>
                <w:ilvl w:val="0"/>
                <w:numId w:val="0"/>
              </w:numPr>
              <w:ind w:left="0" w:hanging="0"/>
              <w:jc w:val="both"/>
              <w:rPr/>
            </w:pPr>
            <w:r>
              <w:rPr>
                <w:sz w:val="20"/>
                <w:szCs w:val="20"/>
              </w:rPr>
              <w:t>На водохранилищах, реках, откосах земляных сооружений при высоте волн до 0,5 м</w:t>
            </w:r>
          </w:p>
        </w:tc>
      </w:tr>
    </w:tbl>
    <w:p>
      <w:pPr>
        <w:pStyle w:val="Normal"/>
        <w:spacing w:before="0" w:after="0"/>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firstLine="709"/>
        <w:jc w:val="both"/>
        <w:rPr/>
      </w:pPr>
      <w:r>
        <w:rPr>
          <w:rFonts w:eastAsia="Times New Roman" w:cs="Times New Roman" w:ascii="Times New Roman" w:hAnsi="Times New Roman"/>
          <w:b/>
          <w:sz w:val="28"/>
          <w:szCs w:val="28"/>
          <w:lang w:eastAsia="ru-RU"/>
        </w:rPr>
        <w:t>Мероприятия по организации поверхностного стока</w:t>
      </w:r>
    </w:p>
    <w:p>
      <w:pPr>
        <w:pStyle w:val="Style38"/>
        <w:widowControl w:val="false"/>
        <w:suppressAutoHyphens w:val="true"/>
        <w:spacing w:before="0" w:after="0"/>
        <w:ind w:firstLine="709"/>
        <w:contextualSpacing/>
        <w:jc w:val="both"/>
        <w:rPr/>
      </w:pPr>
      <w:r>
        <w:rPr>
          <w:szCs w:val="28"/>
        </w:rPr>
        <w:t xml:space="preserve">Для организации поверхностного стока с территории жилой застройки, существующих и планируемых промышленных объектов необходимо обустроить систему ливневой канализации с водоотведением на локальные очистные сооружения раздельно или совместно с бытовыми и производственными сточными водами. При определении точки сброса после выхода из ЛОС возможно 2 варианта: отведение очищенных до нормативных показателей сточных вод в централизованную систему канализации после получения технических условий, либо отведение в водный объект после получения решения о предоставлении водного объекта в пользование. Сброс на рельеф запрещен во избежание загрязнения, порчи и заболачивания земель на территории участка проектирования и за ее пределами.  </w:t>
      </w:r>
    </w:p>
    <w:p>
      <w:pPr>
        <w:pStyle w:val="Normal"/>
        <w:spacing w:lineRule="auto" w:line="240" w:before="0" w:after="0"/>
        <w:ind w:firstLine="709"/>
        <w:jc w:val="both"/>
        <w:rPr/>
      </w:pPr>
      <w:r>
        <w:rPr>
          <w:rFonts w:eastAsia="Times New Roman" w:cs="Times New Roman" w:ascii="Times New Roman" w:hAnsi="Times New Roman"/>
          <w:spacing w:val="2"/>
          <w:sz w:val="28"/>
          <w:szCs w:val="28"/>
          <w:shd w:fill="FFFFFF" w:val="clear"/>
          <w:lang w:eastAsia="ru-RU"/>
        </w:rPr>
        <w:t>Требования к отведению и очистке поверхностных сточных вод установлены требованиями «СП 32.13330.2018. Свод правил. Канализация. Наружные сети и сооружения. СНиП 2.04.03-85», утвержденного Приказом Минстроя России от 25.12.2018 № 860/пр (с изменениями и дополнениями).</w:t>
      </w:r>
    </w:p>
    <w:p>
      <w:pPr>
        <w:pStyle w:val="Normal"/>
        <w:spacing w:lineRule="auto" w:line="240" w:before="0" w:after="0"/>
        <w:ind w:firstLine="709"/>
        <w:jc w:val="both"/>
        <w:rPr/>
      </w:pPr>
      <w:r>
        <w:rPr>
          <w:rFonts w:eastAsia="Times New Roman" w:cs="Times New Roman" w:ascii="Times New Roman" w:hAnsi="Times New Roman"/>
          <w:spacing w:val="2"/>
          <w:sz w:val="28"/>
          <w:szCs w:val="28"/>
          <w:shd w:fill="FFFFFF" w:val="clear"/>
          <w:lang w:eastAsia="ru-RU"/>
        </w:rPr>
        <w:t>Поверхностные сточные воды с территорий промышленных зон, строительных площадок, складских и логистических терминалов, транспортных автомагистралей и автохозяйств, а также особо загрязненных участков, расположенных на территориях поселений и городских округов (бензозаправочные станции, автомобильные стоянки, автобусные станции, торгово-развлекательные центры), а также с территории объектов, расположенных в границах водоохранных зон, перед сбросом в централизованные системы водоотведения поселений, городских округов должны подвергаться очистке на локальных очистных сооружениях.</w:t>
      </w:r>
    </w:p>
    <w:p>
      <w:pPr>
        <w:pStyle w:val="Normal"/>
        <w:spacing w:lineRule="auto" w:line="240" w:before="0" w:after="0"/>
        <w:ind w:firstLine="709"/>
        <w:jc w:val="both"/>
        <w:rPr/>
      </w:pPr>
      <w:r>
        <w:rPr>
          <w:rFonts w:eastAsia="Times New Roman" w:cs="Times New Roman" w:ascii="Times New Roman" w:hAnsi="Times New Roman"/>
          <w:spacing w:val="2"/>
          <w:sz w:val="28"/>
          <w:szCs w:val="28"/>
          <w:shd w:fill="FFFFFF" w:val="clear"/>
          <w:lang w:eastAsia="ru-RU"/>
        </w:rPr>
        <w:t>Запрещается предусматривать сброс в водные объекты (включая подземные) неочищенных до установленных нормативов поверхностных сточных вод, организованно отводимых с территории предприятий, в том числе централизованными системами водоотведения поселений и городских округов.</w:t>
      </w:r>
    </w:p>
    <w:p>
      <w:pPr>
        <w:pStyle w:val="Normal"/>
        <w:spacing w:lineRule="auto" w:line="240" w:before="0" w:after="0"/>
        <w:ind w:firstLine="709"/>
        <w:jc w:val="both"/>
        <w:rPr>
          <w:rFonts w:ascii="Times New Roman" w:hAnsi="Times New Roman" w:eastAsia="Times New Roman" w:cs="Times New Roman"/>
          <w:spacing w:val="2"/>
          <w:sz w:val="28"/>
          <w:szCs w:val="28"/>
          <w:shd w:fill="FFFFFF" w:val="clear"/>
          <w:lang w:eastAsia="ru-RU"/>
        </w:rPr>
      </w:pPr>
      <w:r>
        <w:rPr>
          <w:rFonts w:eastAsia="Times New Roman" w:cs="Times New Roman" w:ascii="Times New Roman" w:hAnsi="Times New Roman"/>
          <w:spacing w:val="2"/>
          <w:sz w:val="28"/>
          <w:szCs w:val="28"/>
          <w:shd w:fill="FFFFFF" w:val="clear"/>
          <w:lang w:eastAsia="ru-RU"/>
        </w:rPr>
        <w:t>Применительно к очистным сооружениям централизованных систем водоотведения поселений следует также учитывать положения Информационно-технического справочника по НДТ в области очистки сточных вод централизованных систем водоотведения поселений, городских округов, утвержденного приказом Росстандарта от 12 декабря 2019 г. № 2981.</w:t>
      </w:r>
    </w:p>
    <w:p>
      <w:pPr>
        <w:pStyle w:val="Normal"/>
        <w:spacing w:lineRule="auto" w:line="240" w:before="0" w:after="0"/>
        <w:jc w:val="center"/>
        <w:rPr>
          <w:rFonts w:ascii="Times New Roman" w:hAnsi="Times New Roman" w:eastAsia="Times New Roman" w:cs="Times New Roman"/>
          <w:i/>
          <w:i/>
          <w:spacing w:val="2"/>
          <w:sz w:val="28"/>
          <w:szCs w:val="28"/>
          <w:shd w:fill="FFFFFF" w:val="clear"/>
          <w:lang w:eastAsia="ru-RU"/>
        </w:rPr>
      </w:pPr>
      <w:r>
        <w:rPr>
          <w:rFonts w:eastAsia="Times New Roman" w:cs="Times New Roman" w:ascii="Times New Roman" w:hAnsi="Times New Roman"/>
          <w:i/>
          <w:spacing w:val="2"/>
          <w:sz w:val="28"/>
          <w:szCs w:val="28"/>
          <w:shd w:fill="FFFFFF" w:val="clear"/>
          <w:lang w:eastAsia="ru-RU"/>
        </w:rPr>
      </w:r>
    </w:p>
    <w:p>
      <w:pPr>
        <w:pStyle w:val="Normal"/>
        <w:spacing w:lineRule="auto" w:line="240" w:before="0" w:after="0"/>
        <w:jc w:val="center"/>
        <w:rPr>
          <w:rFonts w:ascii="Times New Roman" w:hAnsi="Times New Roman" w:eastAsia="Times New Roman" w:cs="Times New Roman"/>
          <w:b/>
          <w:spacing w:val="2"/>
          <w:sz w:val="28"/>
          <w:szCs w:val="28"/>
          <w:shd w:fill="FFFFFF" w:val="clear"/>
          <w:lang w:eastAsia="ru-RU"/>
        </w:rPr>
      </w:pPr>
      <w:r>
        <w:rPr>
          <w:rFonts w:eastAsia="Times New Roman" w:cs="Times New Roman" w:ascii="Times New Roman" w:hAnsi="Times New Roman"/>
          <w:b/>
          <w:spacing w:val="2"/>
          <w:sz w:val="28"/>
          <w:szCs w:val="28"/>
          <w:shd w:fill="FFFFFF" w:val="clear"/>
          <w:lang w:eastAsia="ru-RU"/>
        </w:rPr>
        <w:t>Мероприятия инженерной защиты территорий от подтопления и затопления</w:t>
      </w:r>
    </w:p>
    <w:p>
      <w:pPr>
        <w:pStyle w:val="Normal"/>
        <w:spacing w:lineRule="auto" w:line="240" w:before="0" w:after="0"/>
        <w:ind w:firstLine="709"/>
        <w:jc w:val="both"/>
        <w:rPr>
          <w:rFonts w:ascii="Times New Roman" w:hAnsi="Times New Roman" w:eastAsia="Times New Roman" w:cs="Times New Roman"/>
          <w:spacing w:val="2"/>
          <w:sz w:val="28"/>
          <w:szCs w:val="28"/>
          <w:shd w:fill="FFFFFF" w:val="clear"/>
          <w:lang w:eastAsia="ru-RU"/>
        </w:rPr>
      </w:pPr>
      <w:r>
        <w:rPr>
          <w:rFonts w:eastAsia="Times New Roman" w:cs="Times New Roman" w:ascii="Times New Roman" w:hAnsi="Times New Roman"/>
          <w:spacing w:val="2"/>
          <w:sz w:val="28"/>
          <w:szCs w:val="28"/>
          <w:shd w:fill="FFFFFF" w:val="clear"/>
          <w:lang w:eastAsia="ru-RU"/>
        </w:rPr>
        <w:t>Во время весеннего интенсивного снеготаяния на территории населенных пунктов района процесс подтопления может затрагивать часть территории, прилегающей к водотоку. Процессам подтопления подвержены днища и нижние части склонов долин почти всех без исключения рек разных порядков, дренирующих территорию Верхнеуслонского муниципального района.</w:t>
      </w:r>
    </w:p>
    <w:p>
      <w:pPr>
        <w:pStyle w:val="Normal"/>
        <w:spacing w:lineRule="auto" w:line="240" w:before="0" w:after="0"/>
        <w:ind w:firstLine="709"/>
        <w:jc w:val="both"/>
        <w:rPr>
          <w:rFonts w:ascii="Times New Roman" w:hAnsi="Times New Roman" w:eastAsia="Times New Roman" w:cs="Times New Roman"/>
          <w:spacing w:val="2"/>
          <w:sz w:val="28"/>
          <w:szCs w:val="28"/>
          <w:shd w:fill="FFFFFF" w:val="clear"/>
          <w:lang w:eastAsia="ru-RU"/>
        </w:rPr>
      </w:pPr>
      <w:r>
        <w:rPr>
          <w:rFonts w:eastAsia="Times New Roman" w:cs="Times New Roman" w:ascii="Times New Roman" w:hAnsi="Times New Roman"/>
          <w:spacing w:val="2"/>
          <w:sz w:val="28"/>
          <w:szCs w:val="28"/>
          <w:shd w:fill="FFFFFF" w:val="clear"/>
          <w:lang w:eastAsia="ru-RU"/>
        </w:rPr>
        <w:t xml:space="preserve">Развитие процесса подтопления на застроенных территориях определяется тремя основными закономерностями: общим направлением процесса изменения уровня грунтовых вод, скоростью этого процесса и характером сезонных и многолетних колебаний. </w:t>
      </w:r>
    </w:p>
    <w:p>
      <w:pPr>
        <w:pStyle w:val="Normal"/>
        <w:spacing w:lineRule="auto" w:line="240" w:before="0" w:after="0"/>
        <w:ind w:firstLine="709"/>
        <w:jc w:val="both"/>
        <w:rPr>
          <w:rFonts w:ascii="Times New Roman" w:hAnsi="Times New Roman" w:eastAsia="Times New Roman" w:cs="Times New Roman"/>
          <w:spacing w:val="2"/>
          <w:sz w:val="28"/>
          <w:szCs w:val="28"/>
          <w:shd w:fill="FFFFFF" w:val="clear"/>
          <w:lang w:eastAsia="ru-RU"/>
        </w:rPr>
      </w:pPr>
      <w:r>
        <w:rPr>
          <w:rFonts w:eastAsia="Times New Roman" w:cs="Times New Roman" w:ascii="Times New Roman" w:hAnsi="Times New Roman"/>
          <w:spacing w:val="2"/>
          <w:sz w:val="28"/>
          <w:szCs w:val="28"/>
          <w:shd w:fill="FFFFFF" w:val="clear"/>
          <w:lang w:eastAsia="ru-RU"/>
        </w:rPr>
        <w:t>Инженерной защитой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pPr>
        <w:pStyle w:val="Normal"/>
        <w:spacing w:lineRule="auto" w:line="240" w:before="0" w:after="0"/>
        <w:ind w:firstLine="709"/>
        <w:jc w:val="both"/>
        <w:rPr>
          <w:rFonts w:ascii="Times New Roman" w:hAnsi="Times New Roman" w:eastAsia="Times New Roman" w:cs="Times New Roman"/>
          <w:spacing w:val="2"/>
          <w:sz w:val="28"/>
          <w:szCs w:val="28"/>
          <w:shd w:fill="FFFFFF" w:val="clear"/>
          <w:lang w:eastAsia="ru-RU"/>
        </w:rPr>
      </w:pPr>
      <w:r>
        <w:rPr>
          <w:rFonts w:eastAsia="Times New Roman" w:cs="Times New Roman" w:ascii="Times New Roman" w:hAnsi="Times New Roman"/>
          <w:spacing w:val="2"/>
          <w:sz w:val="28"/>
          <w:szCs w:val="28"/>
          <w:shd w:fill="FFFFFF" w:val="clear"/>
          <w:lang w:eastAsia="ru-RU"/>
        </w:rPr>
        <w:t>Территориальная система защиты должна обеспечивать общую защиту застроенной территории. Она включает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уровенного режима водных объектов.</w:t>
      </w:r>
    </w:p>
    <w:p>
      <w:pPr>
        <w:pStyle w:val="Normal"/>
        <w:spacing w:lineRule="auto" w:line="240" w:before="0" w:after="0"/>
        <w:ind w:firstLine="709"/>
        <w:jc w:val="both"/>
        <w:rPr>
          <w:rFonts w:ascii="Times New Roman" w:hAnsi="Times New Roman" w:eastAsia="Times New Roman" w:cs="Times New Roman"/>
          <w:spacing w:val="2"/>
          <w:sz w:val="28"/>
          <w:szCs w:val="28"/>
          <w:shd w:fill="FFFFFF" w:val="clear"/>
          <w:lang w:eastAsia="ru-RU"/>
        </w:rPr>
      </w:pPr>
      <w:r>
        <w:rPr>
          <w:rFonts w:eastAsia="Times New Roman" w:cs="Times New Roman" w:ascii="Times New Roman" w:hAnsi="Times New Roman"/>
          <w:spacing w:val="2"/>
          <w:sz w:val="28"/>
          <w:szCs w:val="28"/>
          <w:shd w:fill="FFFFFF" w:val="clear"/>
          <w:lang w:eastAsia="ru-RU"/>
        </w:rPr>
        <w:t>Система инженерной защиты от подтопления является территориально единой, объединяющей все локальные системы отдельных участков и объектов.</w:t>
      </w:r>
    </w:p>
    <w:p>
      <w:pPr>
        <w:pStyle w:val="Normal"/>
        <w:spacing w:lineRule="auto" w:line="240" w:before="0" w:after="0"/>
        <w:ind w:firstLine="709"/>
        <w:jc w:val="both"/>
        <w:rPr>
          <w:rFonts w:ascii="Times New Roman" w:hAnsi="Times New Roman" w:eastAsia="Times New Roman" w:cs="Times New Roman"/>
          <w:spacing w:val="2"/>
          <w:sz w:val="28"/>
          <w:szCs w:val="28"/>
          <w:shd w:fill="FFFFFF" w:val="clear"/>
          <w:lang w:eastAsia="ru-RU"/>
        </w:rPr>
      </w:pPr>
      <w:r>
        <w:rPr>
          <w:rFonts w:eastAsia="Times New Roman" w:cs="Times New Roman" w:ascii="Times New Roman" w:hAnsi="Times New Roman"/>
          <w:spacing w:val="2"/>
          <w:sz w:val="28"/>
          <w:szCs w:val="28"/>
          <w:shd w:fill="FFFFFF" w:val="clear"/>
          <w:lang w:eastAsia="ru-RU"/>
        </w:rPr>
        <w:t xml:space="preserve">Подсыпка территории до незатопляемых отметок является наиболее простым в строительстве и эксплуатации, а также эффективным инженерным мероприятием. Применение этого мероприятия целесообразно при небольших размерах защищаемой территории и при небольшой высоте подсыпки (1 – 1,5м). Особенно выгодна подсыпка территории в тех случаях, когда она может быть произведена с применением гидромеханизации (например, рефулирования грунта за счет улучшения русла реки). Подсыпанная территория в зависимости от ее местоположения в населенном пункте может быть использована под застройку или парк. </w:t>
      </w:r>
    </w:p>
    <w:p>
      <w:pPr>
        <w:pStyle w:val="Normal"/>
        <w:spacing w:lineRule="auto" w:line="240" w:before="0" w:after="0"/>
        <w:ind w:firstLine="709"/>
        <w:jc w:val="both"/>
        <w:rPr>
          <w:rFonts w:ascii="Times New Roman" w:hAnsi="Times New Roman" w:eastAsia="Times New Roman" w:cs="Times New Roman"/>
          <w:spacing w:val="2"/>
          <w:sz w:val="28"/>
          <w:szCs w:val="28"/>
          <w:shd w:fill="FFFFFF" w:val="clear"/>
          <w:lang w:eastAsia="ru-RU"/>
        </w:rPr>
      </w:pPr>
      <w:r>
        <w:rPr>
          <w:rFonts w:eastAsia="Times New Roman" w:cs="Times New Roman" w:ascii="Times New Roman" w:hAnsi="Times New Roman"/>
          <w:spacing w:val="2"/>
          <w:sz w:val="28"/>
          <w:szCs w:val="28"/>
          <w:shd w:fill="FFFFFF" w:val="clear"/>
          <w:lang w:eastAsia="ru-RU"/>
        </w:rPr>
        <w:t>В мероприятиях по борьбе с подтоплением необходимо предусмотреть осушение территории.  Нормы осушения (понижения уровня подземных вод) при проектировании защиты от подтопления на конкретных территориях принимают в зависимости от характера ее функционального использования в соответствии со СНиП 2.06.15-85. Принимаемые при проектировании защитных сооружений нормы осушения должны в каждом конкретном случае обеспечивать соответствующий порог геологической безопасности для защищаемого объекта с учетом критического уровня подземных вод и вида грунтов оснований.</w:t>
      </w:r>
    </w:p>
    <w:p>
      <w:pPr>
        <w:pStyle w:val="Normal"/>
        <w:spacing w:lineRule="auto" w:line="240" w:before="0" w:after="0"/>
        <w:ind w:firstLine="709"/>
        <w:jc w:val="both"/>
        <w:rPr>
          <w:rFonts w:ascii="Times New Roman" w:hAnsi="Times New Roman" w:eastAsia="Times New Roman" w:cs="Times New Roman"/>
          <w:spacing w:val="2"/>
          <w:sz w:val="28"/>
          <w:szCs w:val="28"/>
          <w:shd w:fill="FFFFFF" w:val="clear"/>
          <w:lang w:eastAsia="ru-RU"/>
        </w:rPr>
      </w:pPr>
      <w:r>
        <w:rPr>
          <w:rFonts w:eastAsia="Times New Roman" w:cs="Times New Roman" w:ascii="Times New Roman" w:hAnsi="Times New Roman"/>
          <w:spacing w:val="2"/>
          <w:sz w:val="28"/>
          <w:szCs w:val="28"/>
          <w:shd w:fill="FFFFFF" w:val="clear"/>
          <w:lang w:eastAsia="ru-RU"/>
        </w:rPr>
        <w:t>В территориальной системе инженерной защиты от подтопления в зависимости от природных, гидрогеологических и техногенных (застройки) условий следует применять дренажи. На защищаемых от подтопления территориях в зависимости от топографических и геологических условий, характера и плотности застройки, условий движения подземных вод со стороны водораздела к естественному или искусственному стоку следует применять одно-, двух-, многолинейные, контурные и комбинированные дренажные системы.</w:t>
      </w:r>
    </w:p>
    <w:p>
      <w:pPr>
        <w:pStyle w:val="Normal"/>
        <w:spacing w:lineRule="auto" w:line="240" w:before="0" w:after="0"/>
        <w:ind w:firstLine="709"/>
        <w:jc w:val="both"/>
        <w:rPr>
          <w:rFonts w:ascii="Times New Roman" w:hAnsi="Times New Roman" w:eastAsia="Times New Roman" w:cs="Times New Roman"/>
          <w:spacing w:val="2"/>
          <w:sz w:val="28"/>
          <w:szCs w:val="28"/>
          <w:shd w:fill="FFFFFF" w:val="clear"/>
          <w:lang w:eastAsia="ru-RU"/>
        </w:rPr>
      </w:pPr>
      <w:r>
        <w:rPr>
          <w:rFonts w:eastAsia="Times New Roman" w:cs="Times New Roman" w:ascii="Times New Roman" w:hAnsi="Times New Roman"/>
          <w:spacing w:val="2"/>
          <w:sz w:val="28"/>
          <w:szCs w:val="28"/>
          <w:shd w:fill="FFFFFF" w:val="clear"/>
          <w:lang w:eastAsia="ru-RU"/>
        </w:rPr>
        <w:t>Ливневая канализация должна являться элементом территориальной инженерной защиты от подтопления и проектироваться в составе общей системы инженерной защиты или отдельно.</w:t>
      </w:r>
    </w:p>
    <w:p>
      <w:pPr>
        <w:pStyle w:val="Normal"/>
        <w:spacing w:lineRule="auto" w:line="240" w:before="0" w:after="0"/>
        <w:ind w:firstLine="709"/>
        <w:jc w:val="both"/>
        <w:rPr>
          <w:rFonts w:ascii="Times New Roman" w:hAnsi="Times New Roman" w:eastAsia="Times New Roman" w:cs="Times New Roman"/>
          <w:spacing w:val="2"/>
          <w:sz w:val="28"/>
          <w:szCs w:val="28"/>
          <w:shd w:fill="FFFFFF" w:val="clear"/>
          <w:lang w:eastAsia="ru-RU"/>
        </w:rPr>
      </w:pPr>
      <w:r>
        <w:rPr>
          <w:rFonts w:eastAsia="Times New Roman" w:cs="Times New Roman" w:ascii="Times New Roman" w:hAnsi="Times New Roman"/>
          <w:spacing w:val="2"/>
          <w:sz w:val="28"/>
          <w:szCs w:val="28"/>
          <w:shd w:fill="FFFFFF" w:val="clear"/>
          <w:lang w:eastAsia="ru-RU"/>
        </w:rPr>
        <w:t>В качестве вспомогательных средств инженерной защиты надлежит использовать естественные свойства природных систем и их компонентов, усиливающие эффективность основных средств инженерной защиты. К ним следует относить повышение водоотводящей и дренирующей роли гидрографической сети путем расчистки и спрямления русел и стариц.</w:t>
      </w:r>
    </w:p>
    <w:p>
      <w:pPr>
        <w:pStyle w:val="Normal"/>
        <w:spacing w:lineRule="auto" w:line="240" w:before="0" w:after="0"/>
        <w:ind w:firstLine="709"/>
        <w:jc w:val="both"/>
        <w:rPr>
          <w:rFonts w:ascii="Times New Roman" w:hAnsi="Times New Roman" w:eastAsia="Times New Roman" w:cs="Times New Roman"/>
          <w:spacing w:val="2"/>
          <w:sz w:val="28"/>
          <w:szCs w:val="28"/>
          <w:shd w:fill="FFFFFF" w:val="clear"/>
          <w:lang w:eastAsia="ru-RU"/>
        </w:rPr>
      </w:pPr>
      <w:r>
        <w:rPr>
          <w:rFonts w:eastAsia="Times New Roman" w:cs="Times New Roman" w:ascii="Times New Roman" w:hAnsi="Times New Roman"/>
          <w:spacing w:val="2"/>
          <w:sz w:val="28"/>
          <w:szCs w:val="28"/>
          <w:shd w:fill="FFFFFF" w:val="clear"/>
          <w:lang w:eastAsia="ru-RU"/>
        </w:rPr>
        <w:t>Инженерная подготовка территории для строительства объектов в зоне подтопления может серьезно повысить стоимость строительства.</w:t>
      </w:r>
    </w:p>
    <w:p>
      <w:pPr>
        <w:pStyle w:val="Normal"/>
        <w:spacing w:lineRule="auto" w:line="240" w:before="0" w:after="0"/>
        <w:ind w:firstLine="709"/>
        <w:jc w:val="both"/>
        <w:rPr>
          <w:rFonts w:ascii="Times New Roman" w:hAnsi="Times New Roman" w:eastAsia="Times New Roman" w:cs="Times New Roman"/>
          <w:spacing w:val="2"/>
          <w:sz w:val="28"/>
          <w:szCs w:val="28"/>
          <w:shd w:fill="FFFFFF" w:val="clear"/>
          <w:lang w:eastAsia="ru-RU"/>
        </w:rPr>
      </w:pPr>
      <w:r>
        <w:rPr>
          <w:rFonts w:eastAsia="Times New Roman" w:cs="Times New Roman" w:ascii="Times New Roman" w:hAnsi="Times New Roman"/>
          <w:spacing w:val="2"/>
          <w:sz w:val="28"/>
          <w:szCs w:val="28"/>
          <w:shd w:fill="FFFFFF" w:val="clear"/>
          <w:lang w:eastAsia="ru-RU"/>
        </w:rPr>
      </w:r>
    </w:p>
    <w:p>
      <w:pPr>
        <w:pStyle w:val="Normal"/>
        <w:spacing w:lineRule="auto" w:line="240" w:before="0" w:after="0"/>
        <w:ind w:firstLine="709"/>
        <w:jc w:val="center"/>
        <w:rPr>
          <w:rFonts w:ascii="Times New Roman" w:hAnsi="Times New Roman" w:eastAsia="Times New Roman" w:cs="Times New Roman"/>
          <w:b/>
          <w:sz w:val="28"/>
          <w:szCs w:val="28"/>
          <w:lang w:eastAsia="ru-RU"/>
        </w:rPr>
      </w:pPr>
      <w:r>
        <w:rPr>
          <w:rFonts w:eastAsia="Times New Roman" w:cs="Times New Roman" w:ascii="Times New Roman" w:hAnsi="Times New Roman"/>
          <w:b/>
          <w:spacing w:val="2"/>
          <w:sz w:val="28"/>
          <w:szCs w:val="28"/>
          <w:shd w:fill="FFFFFF" w:val="clear"/>
          <w:lang w:eastAsia="ru-RU"/>
        </w:rPr>
        <w:t>Сейсмическая опасность</w:t>
      </w:r>
    </w:p>
    <w:p>
      <w:pPr>
        <w:pStyle w:val="Normal"/>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Согласно СП 14.13330.2011 «Строительство в сейсмических районах», действующего в настоящее время, для средних грунтовых условий, территория поселения относится к 5-балльной (карта В) и к 6-балльной (карта С) зонам сейсмичности при возведении объектов повышенной ответственности. Основываясь на СНиП 2.02.01-83 основания сооружений, возводимых в районах с сейсмичностью 7, 8 и 9 баллов, должны проектироваться с учетом требований СНиП по проектированию зданий и сооружений в сейсмических районах. В районах с сейсмичностью менее 7 баллов основания следует проектировать без учета сейсмических воздействий.</w:t>
      </w:r>
    </w:p>
    <w:p>
      <w:pPr>
        <w:sectPr>
          <w:footerReference w:type="default" r:id="rId86"/>
          <w:footerReference w:type="first" r:id="rId87"/>
          <w:footnotePr>
            <w:numFmt w:val="decimal"/>
          </w:footnotePr>
          <w:type w:val="nextPage"/>
          <w:pgSz w:w="11906" w:h="16838"/>
          <w:pgMar w:left="1134" w:right="851" w:gutter="0" w:header="0" w:top="851" w:footer="709" w:bottom="851"/>
          <w:pgNumType w:fmt="decimal"/>
          <w:formProt w:val="false"/>
          <w:textDirection w:val="lrTb"/>
          <w:docGrid w:type="default" w:linePitch="360" w:charSpace="4294959103"/>
        </w:sectPr>
        <w:pStyle w:val="Normal"/>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Проектирование оснований с учетом сейсмических воздействий должно выполняться на основе расчета по несущей способности на особое сочетание нагрузок, определяемых в соответствии с требованиями СНиП по нагрузкам и воздействиям, а также по проектированию зданий и сооружений в сейсмических районах.</w:t>
      </w:r>
    </w:p>
    <w:p>
      <w:pPr>
        <w:pStyle w:val="Normal"/>
        <w:spacing w:lineRule="auto" w:line="240" w:before="0" w:after="0"/>
        <w:jc w:val="both"/>
        <w:rPr>
          <w:rFonts w:ascii="Times New Roman" w:hAnsi="Times New Roman" w:eastAsia="Times New Roman" w:cs="Times New Roman"/>
          <w:sz w:val="28"/>
          <w:szCs w:val="24"/>
          <w:lang w:eastAsia="ru-RU"/>
        </w:rPr>
      </w:pPr>
      <w:r>
        <w:rPr>
          <w:rFonts w:eastAsia="Times New Roman" w:cs="Times New Roman" w:ascii="Times New Roman" w:hAnsi="Times New Roman"/>
          <w:sz w:val="28"/>
          <w:szCs w:val="24"/>
          <w:lang w:eastAsia="ru-RU"/>
        </w:rPr>
      </w:r>
    </w:p>
    <w:p>
      <w:pPr>
        <w:pStyle w:val="Normal"/>
        <w:spacing w:lineRule="auto" w:line="240" w:before="0" w:after="0"/>
        <w:contextualSpacing/>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Таблица 8.2</w:t>
      </w:r>
    </w:p>
    <w:p>
      <w:pPr>
        <w:pStyle w:val="Normal"/>
        <w:spacing w:lineRule="auto" w:line="240" w:before="0" w:after="0"/>
        <w:ind w:firstLine="709"/>
        <w:jc w:val="center"/>
        <w:rPr>
          <w:rFonts w:ascii="Times New Roman" w:hAnsi="Times New Roman" w:eastAsia="Times New Roman" w:cs="Times New Roman"/>
          <w:b/>
          <w:sz w:val="28"/>
          <w:szCs w:val="24"/>
          <w:lang w:eastAsia="ru-RU"/>
        </w:rPr>
      </w:pPr>
      <w:r>
        <w:rPr>
          <w:rFonts w:eastAsia="Times New Roman" w:cs="Times New Roman" w:ascii="Times New Roman" w:hAnsi="Times New Roman"/>
          <w:b/>
          <w:sz w:val="28"/>
          <w:szCs w:val="24"/>
          <w:lang w:eastAsia="ru-RU"/>
        </w:rPr>
        <w:t xml:space="preserve">Перечень мероприятий инженерной защиты территории </w:t>
      </w:r>
    </w:p>
    <w:p>
      <w:pPr>
        <w:pStyle w:val="Normal"/>
        <w:spacing w:lineRule="auto" w:line="276" w:before="0" w:after="0"/>
        <w:ind w:firstLine="709"/>
        <w:jc w:val="center"/>
        <w:rPr>
          <w:rFonts w:ascii="Times New Roman" w:hAnsi="Times New Roman" w:eastAsia="Times New Roman" w:cs="Times New Roman"/>
          <w:sz w:val="28"/>
          <w:szCs w:val="24"/>
          <w:lang w:eastAsia="ru-RU"/>
        </w:rPr>
      </w:pPr>
      <w:r>
        <w:rPr>
          <w:rFonts w:eastAsia="Times New Roman" w:cs="Times New Roman" w:ascii="Times New Roman" w:hAnsi="Times New Roman"/>
          <w:sz w:val="28"/>
          <w:szCs w:val="24"/>
          <w:lang w:eastAsia="ru-RU"/>
        </w:rPr>
      </w:r>
    </w:p>
    <w:tbl>
      <w:tblPr>
        <w:tblW w:w="5000" w:type="pct"/>
        <w:jc w:val="center"/>
        <w:tblInd w:w="0" w:type="dxa"/>
        <w:tblLayout w:type="fixed"/>
        <w:tblCellMar>
          <w:top w:w="0" w:type="dxa"/>
          <w:left w:w="108" w:type="dxa"/>
          <w:bottom w:w="0" w:type="dxa"/>
          <w:right w:w="108" w:type="dxa"/>
        </w:tblCellMar>
        <w:tblLook w:noVBand="1" w:val="04a0" w:noHBand="0" w:lastColumn="0" w:firstColumn="1" w:lastRow="0" w:firstRow="1"/>
      </w:tblPr>
      <w:tblGrid>
        <w:gridCol w:w="582"/>
        <w:gridCol w:w="2738"/>
        <w:gridCol w:w="3901"/>
        <w:gridCol w:w="7631"/>
      </w:tblGrid>
      <w:tr>
        <w:trPr>
          <w:tblHeader w:val="true"/>
        </w:trPr>
        <w:tc>
          <w:tcPr>
            <w:tcW w:w="5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4"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p>
            <w:pPr>
              <w:pStyle w:val="Normal"/>
              <w:widowControl w:val="false"/>
              <w:spacing w:lineRule="auto" w:line="254"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п/п</w:t>
            </w:r>
          </w:p>
        </w:tc>
        <w:tc>
          <w:tcPr>
            <w:tcW w:w="27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4"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Местоположение</w:t>
            </w:r>
          </w:p>
        </w:tc>
        <w:tc>
          <w:tcPr>
            <w:tcW w:w="39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4"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Опасные природные процессы</w:t>
            </w:r>
          </w:p>
        </w:tc>
        <w:tc>
          <w:tcPr>
            <w:tcW w:w="76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4"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Описание мероприятия</w:t>
            </w:r>
          </w:p>
        </w:tc>
      </w:tr>
      <w:tr>
        <w:trPr>
          <w:trHeight w:val="278" w:hRule="atLeast"/>
        </w:trPr>
        <w:tc>
          <w:tcPr>
            <w:tcW w:w="5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4"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1</w:t>
            </w:r>
          </w:p>
        </w:tc>
        <w:tc>
          <w:tcPr>
            <w:tcW w:w="27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4" w:before="0" w:after="0"/>
              <w:jc w:val="center"/>
              <w:rPr>
                <w:rFonts w:ascii="Times New Roman" w:hAnsi="Times New Roman" w:eastAsia="Times New Roman" w:cs="Times New Roman"/>
                <w:sz w:val="24"/>
                <w:szCs w:val="24"/>
                <w:highlight w:val="yellow"/>
              </w:rPr>
            </w:pPr>
            <w:r>
              <w:rPr>
                <w:rFonts w:eastAsia="Times New Roman" w:cs="Times New Roman" w:ascii="Times New Roman" w:hAnsi="Times New Roman"/>
                <w:sz w:val="24"/>
                <w:szCs w:val="24"/>
              </w:rPr>
              <w:t>Реки</w:t>
            </w:r>
          </w:p>
        </w:tc>
        <w:tc>
          <w:tcPr>
            <w:tcW w:w="39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4"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lang w:eastAsia="ru-RU"/>
              </w:rPr>
              <w:t>Склоновая линейная эрозия, овраги, оползневая эрозия</w:t>
            </w:r>
          </w:p>
        </w:tc>
        <w:tc>
          <w:tcPr>
            <w:tcW w:w="76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4"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Укрепление склонов террас речных долин и овражных склонов путем агролесомелиорации, озеленение прибрежной защитной полосы</w:t>
            </w:r>
          </w:p>
        </w:tc>
      </w:tr>
      <w:tr>
        <w:trPr>
          <w:trHeight w:val="278" w:hRule="atLeast"/>
        </w:trPr>
        <w:tc>
          <w:tcPr>
            <w:tcW w:w="5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4"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2</w:t>
            </w:r>
          </w:p>
        </w:tc>
        <w:tc>
          <w:tcPr>
            <w:tcW w:w="27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4"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Куйбышевское водохранилище </w:t>
            </w:r>
          </w:p>
        </w:tc>
        <w:tc>
          <w:tcPr>
            <w:tcW w:w="39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4"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Переработка берегов</w:t>
            </w:r>
          </w:p>
        </w:tc>
        <w:tc>
          <w:tcPr>
            <w:tcW w:w="76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4"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Установить берегозащитные сооружения </w:t>
            </w:r>
          </w:p>
        </w:tc>
      </w:tr>
      <w:tr>
        <w:trPr>
          <w:trHeight w:val="278" w:hRule="atLeast"/>
        </w:trPr>
        <w:tc>
          <w:tcPr>
            <w:tcW w:w="5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4"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3</w:t>
            </w:r>
          </w:p>
        </w:tc>
        <w:tc>
          <w:tcPr>
            <w:tcW w:w="27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4"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lang w:eastAsia="ru-RU"/>
              </w:rPr>
              <w:t xml:space="preserve">Территория поселения </w:t>
            </w:r>
          </w:p>
        </w:tc>
        <w:tc>
          <w:tcPr>
            <w:tcW w:w="39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4"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lang w:eastAsia="ru-RU"/>
              </w:rPr>
              <w:t xml:space="preserve">Землетрясение интенсивностью 5 баллов </w:t>
            </w:r>
          </w:p>
        </w:tc>
        <w:tc>
          <w:tcPr>
            <w:tcW w:w="76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lang w:eastAsia="ru-RU"/>
              </w:rPr>
              <w:t xml:space="preserve">При возведении зданий и сооружений следует учитывать степень сейсмической опасности, </w:t>
            </w:r>
            <w:r>
              <w:rPr>
                <w:rFonts w:eastAsia="Times New Roman" w:cs="Times New Roman" w:ascii="Times New Roman" w:hAnsi="Times New Roman"/>
                <w:spacing w:val="2"/>
                <w:sz w:val="24"/>
                <w:szCs w:val="24"/>
                <w:shd w:fill="FFFFFF" w:val="clear"/>
                <w:lang w:eastAsia="ru-RU"/>
              </w:rPr>
              <w:t>расчет конструкций и оснований зданий и сооружений</w:t>
            </w:r>
            <w:r>
              <w:rPr>
                <w:rFonts w:eastAsia="Times New Roman" w:cs="Times New Roman" w:ascii="Times New Roman" w:hAnsi="Times New Roman"/>
                <w:sz w:val="24"/>
                <w:szCs w:val="24"/>
                <w:lang w:eastAsia="ru-RU"/>
              </w:rPr>
              <w:t xml:space="preserve"> должен быть выполнен в соответствии с требованиями СП 14.13330.2018, СП 20.13330.2016</w:t>
            </w:r>
          </w:p>
        </w:tc>
      </w:tr>
      <w:tr>
        <w:trPr>
          <w:trHeight w:val="278" w:hRule="atLeast"/>
        </w:trPr>
        <w:tc>
          <w:tcPr>
            <w:tcW w:w="58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4"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4</w:t>
            </w:r>
          </w:p>
        </w:tc>
        <w:tc>
          <w:tcPr>
            <w:tcW w:w="27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4"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rPr>
              <w:t>Территория</w:t>
            </w:r>
            <w:r>
              <w:rPr>
                <w:sz w:val="24"/>
                <w:szCs w:val="24"/>
              </w:rPr>
              <w:t xml:space="preserve"> </w:t>
            </w:r>
            <w:r>
              <w:rPr>
                <w:rFonts w:eastAsia="Times New Roman" w:cs="Times New Roman" w:ascii="Times New Roman" w:hAnsi="Times New Roman"/>
                <w:sz w:val="24"/>
                <w:szCs w:val="24"/>
              </w:rPr>
              <w:t>поселения</w:t>
            </w:r>
          </w:p>
        </w:tc>
        <w:tc>
          <w:tcPr>
            <w:tcW w:w="39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4"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Склоновые процессы</w:t>
            </w:r>
          </w:p>
        </w:tc>
        <w:tc>
          <w:tcPr>
            <w:tcW w:w="76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Отвод вод, террасирование склона, посадка древесной и кустарниковой растительности в комплексе с посевом многолетних дернообразующих трав, намыв береговой полосы</w:t>
            </w:r>
          </w:p>
        </w:tc>
      </w:tr>
    </w:tbl>
    <w:p>
      <w:pPr>
        <w:sectPr>
          <w:footerReference w:type="default" r:id="rId88"/>
          <w:footerReference w:type="first" r:id="rId89"/>
          <w:footnotePr>
            <w:numFmt w:val="decimal"/>
          </w:footnotePr>
          <w:type w:val="nextPage"/>
          <w:pgSz w:orient="landscape" w:w="16838" w:h="11906"/>
          <w:pgMar w:left="1134" w:right="851" w:gutter="0" w:header="0" w:top="851" w:footer="709" w:bottom="851"/>
          <w:pgNumType w:fmt="decimal"/>
          <w:formProt w:val="false"/>
          <w:textDirection w:val="lrTb"/>
          <w:docGrid w:type="default" w:linePitch="360" w:charSpace="4294959103"/>
        </w:sectPr>
        <w:pStyle w:val="Normal"/>
        <w:spacing w:lineRule="auto" w:line="240" w:before="0" w:after="0"/>
        <w:ind w:firstLine="709"/>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keepNext w:val="true"/>
        <w:numPr>
          <w:ilvl w:val="0"/>
          <w:numId w:val="0"/>
        </w:numPr>
        <w:tabs>
          <w:tab w:val="clear" w:pos="709"/>
          <w:tab w:val="left" w:pos="576" w:leader="none"/>
        </w:tabs>
        <w:spacing w:lineRule="auto" w:line="240" w:before="0" w:after="0"/>
        <w:ind w:left="0" w:hanging="0"/>
        <w:jc w:val="center"/>
        <w:outlineLvl w:val="0"/>
        <w:rPr>
          <w:rFonts w:ascii="Times New Roman" w:hAnsi="Times New Roman" w:eastAsia="" w:cs="Times New Roman" w:eastAsiaTheme="majorEastAsia"/>
          <w:b/>
          <w:sz w:val="28"/>
          <w:szCs w:val="28"/>
          <w:lang w:eastAsia="ru-RU"/>
        </w:rPr>
      </w:pPr>
      <w:bookmarkStart w:id="226" w:name="_Toc147740088"/>
      <w:bookmarkStart w:id="227" w:name="_Toc133908556"/>
      <w:r>
        <w:rPr>
          <w:rFonts w:eastAsia="" w:cs="Times New Roman" w:ascii="Times New Roman" w:hAnsi="Times New Roman" w:eastAsiaTheme="majorEastAsia"/>
          <w:b/>
          <w:sz w:val="28"/>
          <w:szCs w:val="28"/>
          <w:lang w:eastAsia="ru-RU"/>
        </w:rPr>
        <w:t>9. ПЕРЕЧЕНЬ МЕРОПРИЯТИЙ ПО ГРАЖДАНСКОЙ ОБОРОНЕ, МЕРОПРИЯТИЙ ПО ПРЕДУПРЕЖДЕНИЮ ЧРЕЗВЫЧАЙНЫХ СИТУАЦИЙ ПРИРОДНОГО И ТЕХНОГЕННОГО ХАРАКТЕРА</w:t>
      </w:r>
      <w:bookmarkEnd w:id="226"/>
      <w:bookmarkEnd w:id="227"/>
    </w:p>
    <w:p>
      <w:pPr>
        <w:pStyle w:val="Normal"/>
        <w:spacing w:lineRule="auto" w:line="240" w:before="0" w:after="0"/>
        <w:ind w:firstLine="709"/>
        <w:jc w:val="center"/>
        <w:rPr>
          <w:rFonts w:ascii="Times New Roman" w:hAnsi="Times New Roman" w:eastAsia="Times New Roman" w:cs="Times New Roman"/>
          <w:b/>
          <w:bCs/>
          <w:iCs/>
          <w:sz w:val="28"/>
          <w:szCs w:val="28"/>
          <w:lang w:eastAsia="x-none"/>
        </w:rPr>
      </w:pPr>
      <w:r>
        <w:rPr>
          <w:rFonts w:eastAsia="Times New Roman" w:cs="Times New Roman" w:ascii="Times New Roman" w:hAnsi="Times New Roman"/>
          <w:b/>
          <w:bCs/>
          <w:iCs/>
          <w:sz w:val="28"/>
          <w:szCs w:val="28"/>
          <w:lang w:eastAsia="x-none"/>
        </w:rPr>
      </w:r>
    </w:p>
    <w:p>
      <w:pPr>
        <w:pStyle w:val="Normal"/>
        <w:tabs>
          <w:tab w:val="clear" w:pos="709"/>
          <w:tab w:val="left" w:pos="993" w:leader="none"/>
        </w:tabs>
        <w:suppressAutoHyphens w:val="true"/>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Пункт «Перечень мероприятий по гражданской обороне, мероприятий по предупреждению чрезвычайных ситуаций природного и техногенного характера» разработан в соответствии с ГОСТ Р 22.2.10-2016 «Безопасность в чрезвычайных ситуациях. Порядок обоснования и учета мероприятий по гражданской обороне, мероприятий по предупреждению чрезвычайных ситуаций природного и техногенного характера при разработке документов территориального планирования», утв. Приказом Росстандарта от 29.06.2016 № 727-ст (далее - ГОСТ Р 22.2.10-2016), «СП 165.1325800.2014 Свод правил. Инженерно-технические мероприятия по гражданской обороне. Актуализированная редакция СНиП 2.01.51-90», утв. Приказом Минстроя России от 12.11.2014 №705/пр (с изменениями и дополнениями) (далее СП 165.1325800.2014), другими нормативными документами в области гражданской обороны и защиты территорий от чрезвычайных ситуаций, а также в соответствии с исходными данными и требованиями, выданными Министерством по делам гражданской обороны и чрезвычайным ситуациям Республики Татарстан (далее – МЧС РТ) от 17.07.2023 № 01А-08/1753.</w:t>
      </w:r>
    </w:p>
    <w:p>
      <w:pPr>
        <w:pStyle w:val="Default"/>
        <w:suppressAutoHyphens w:val="true"/>
        <w:jc w:val="both"/>
        <w:rPr>
          <w:color w:val="auto"/>
          <w:sz w:val="28"/>
          <w:szCs w:val="28"/>
        </w:rPr>
      </w:pPr>
      <w:r>
        <w:rPr>
          <w:color w:val="auto"/>
          <w:sz w:val="28"/>
          <w:szCs w:val="28"/>
        </w:rPr>
      </w:r>
    </w:p>
    <w:p>
      <w:pPr>
        <w:pStyle w:val="Normal"/>
        <w:ind w:firstLine="709"/>
        <w:jc w:val="center"/>
        <w:rPr>
          <w:rFonts w:ascii="Times New Roman" w:hAnsi="Times New Roman" w:eastAsia="Times New Roman" w:cs="Times New Roman"/>
          <w:b/>
          <w:sz w:val="28"/>
          <w:szCs w:val="28"/>
          <w:lang w:eastAsia="x-none"/>
        </w:rPr>
      </w:pPr>
      <w:r>
        <w:rPr>
          <w:rFonts w:eastAsia="Times New Roman" w:cs="Times New Roman" w:ascii="Times New Roman" w:hAnsi="Times New Roman"/>
          <w:b/>
          <w:sz w:val="28"/>
          <w:szCs w:val="28"/>
          <w:lang w:eastAsia="x-none"/>
        </w:rPr>
        <w:t>Инженерная инфраструктура, объекты жизнеобеспечения населения</w:t>
      </w:r>
    </w:p>
    <w:p>
      <w:pPr>
        <w:pStyle w:val="Default"/>
        <w:suppressAutoHyphens w:val="true"/>
        <w:ind w:firstLine="709"/>
        <w:jc w:val="center"/>
        <w:rPr>
          <w:color w:val="auto"/>
          <w:sz w:val="28"/>
          <w:szCs w:val="28"/>
        </w:rPr>
      </w:pPr>
      <w:r>
        <w:rPr>
          <w:rFonts w:eastAsia="Times New Roman"/>
          <w:b/>
          <w:color w:val="auto"/>
          <w:sz w:val="28"/>
          <w:szCs w:val="28"/>
          <w:lang w:eastAsia="x-none"/>
        </w:rPr>
        <w:t>Водоснабжение, водоотведение</w:t>
      </w:r>
    </w:p>
    <w:p>
      <w:pPr>
        <w:pStyle w:val="Default"/>
        <w:suppressAutoHyphens w:val="true"/>
        <w:ind w:firstLine="709"/>
        <w:jc w:val="both"/>
        <w:rPr>
          <w:color w:val="auto"/>
          <w:sz w:val="28"/>
          <w:szCs w:val="28"/>
        </w:rPr>
      </w:pPr>
      <w:r>
        <w:rPr>
          <w:color w:val="auto"/>
          <w:sz w:val="28"/>
          <w:szCs w:val="28"/>
        </w:rPr>
        <w:t>Водоснабжение поселения осуществляется водозаборами из артезианских скважин.</w:t>
      </w:r>
    </w:p>
    <w:p>
      <w:pPr>
        <w:pStyle w:val="Normal"/>
        <w:tabs>
          <w:tab w:val="clear" w:pos="709"/>
          <w:tab w:val="left" w:pos="993" w:leader="none"/>
        </w:tabs>
        <w:suppressAutoHyphens w:val="true"/>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Требования к системе водоснабжения устанавливаются СП 165.1325800.2014.</w:t>
      </w:r>
    </w:p>
    <w:p>
      <w:pPr>
        <w:pStyle w:val="Normal"/>
        <w:spacing w:lineRule="auto" w:line="240" w:before="0" w:after="0"/>
        <w:ind w:firstLine="709"/>
        <w:jc w:val="both"/>
        <w:rPr>
          <w:rFonts w:ascii="Times New Roman" w:hAnsi="Times New Roman" w:eastAsia="Times New Roman" w:cs="Times New Roman"/>
          <w:sz w:val="28"/>
          <w:szCs w:val="28"/>
          <w:lang w:eastAsia="x-none"/>
        </w:rPr>
      </w:pPr>
      <w:r>
        <w:rPr>
          <w:rFonts w:eastAsia="Times New Roman" w:cs="Times New Roman" w:ascii="Times New Roman" w:hAnsi="Times New Roman"/>
          <w:sz w:val="28"/>
          <w:szCs w:val="28"/>
          <w:lang w:eastAsia="x-none"/>
        </w:rPr>
        <w:t xml:space="preserve">Следует провести корректировку объемов допустимого водоизъятия из источников, согласно расчетам водопотребления. Достижение требуемых объемов может быть осуществлено посредством замены насосов на более мощные, либо увеличения количества источников водоснабжения. При необходимости следует предусмотреть внесение изменений в схему водоснабжения населенных пунктов или новый проект. </w:t>
      </w:r>
    </w:p>
    <w:p>
      <w:pPr>
        <w:pStyle w:val="Normal"/>
        <w:spacing w:lineRule="auto" w:line="240" w:before="0" w:after="0"/>
        <w:ind w:firstLine="709"/>
        <w:jc w:val="both"/>
        <w:rPr>
          <w:rFonts w:ascii="Times New Roman" w:hAnsi="Times New Roman" w:eastAsia="Times New Roman" w:cs="Times New Roman"/>
          <w:sz w:val="28"/>
          <w:szCs w:val="28"/>
          <w:lang w:eastAsia="x-none"/>
        </w:rPr>
      </w:pPr>
      <w:r>
        <w:rPr>
          <w:rFonts w:eastAsia="Times New Roman" w:cs="Times New Roman" w:ascii="Times New Roman" w:hAnsi="Times New Roman"/>
          <w:sz w:val="28"/>
          <w:szCs w:val="28"/>
          <w:lang w:eastAsia="x-none"/>
        </w:rPr>
        <w:t>Также следует учитывать, что согласно требованиям СП 165.1325800.2014, в случае выхода из строя одной группы водозаборных сооружений мощность оставшихся сооружений должна обеспечивать подачу воды по аварийному режиму на производственно-технические нужды объектов, а также на хозяйственно-питьевые нужды, исходя из численности населения в мирное время.</w:t>
      </w:r>
    </w:p>
    <w:p>
      <w:pPr>
        <w:pStyle w:val="Normal"/>
        <w:spacing w:lineRule="auto" w:line="240" w:before="0" w:after="0"/>
        <w:ind w:firstLine="709"/>
        <w:jc w:val="both"/>
        <w:rPr>
          <w:rFonts w:ascii="Times New Roman" w:hAnsi="Times New Roman" w:eastAsia="Times New Roman" w:cs="Times New Roman"/>
          <w:sz w:val="28"/>
          <w:szCs w:val="28"/>
          <w:lang w:eastAsia="x-none"/>
        </w:rPr>
      </w:pPr>
      <w:r>
        <w:rPr>
          <w:rFonts w:eastAsia="Times New Roman" w:cs="Times New Roman" w:ascii="Times New Roman" w:hAnsi="Times New Roman"/>
          <w:sz w:val="28"/>
          <w:szCs w:val="28"/>
          <w:lang w:eastAsia="x-none"/>
        </w:rPr>
        <w:t>Суммарная проектная производительность защищенных от радиоактивного загрязнения и (или) химического заражения объектов водоснабжения в безопасной зоне, обеспечивающих водой в условиях прекращения централизованного снабжения электроэнергией, должна быть достаточной для удовлетворения потребностей населения, в том числе эвакуированных, а также сельскохозяйственных животных и птицы, содержащихся на предприятиях всех форм собственности, крестьянских (фермерских) и личных подсобных хозяйств, в питьевой воде и определяться: для населения - из расчета не менее 25 л в сутки на одного человека; для сельскохозяйственных животных и птицы - по нормам, устанавливаемым Минсельхозом России (п. 5.23 СП 165.1325800.2014). В связи с этим следует благоустроить имеющиеся на территории поселения родники.</w:t>
      </w:r>
    </w:p>
    <w:p>
      <w:pPr>
        <w:pStyle w:val="Normal"/>
        <w:spacing w:lineRule="auto" w:line="240" w:before="0" w:after="0"/>
        <w:ind w:firstLine="709"/>
        <w:jc w:val="both"/>
        <w:rPr>
          <w:rFonts w:ascii="Times New Roman" w:hAnsi="Times New Roman" w:eastAsia="Times New Roman" w:cs="Times New Roman"/>
          <w:sz w:val="28"/>
          <w:szCs w:val="28"/>
          <w:lang w:eastAsia="x-none"/>
        </w:rPr>
      </w:pPr>
      <w:r>
        <w:rPr>
          <w:rFonts w:eastAsia="Times New Roman" w:cs="Times New Roman" w:ascii="Times New Roman" w:hAnsi="Times New Roman"/>
          <w:sz w:val="28"/>
          <w:szCs w:val="28"/>
          <w:lang w:eastAsia="x-none"/>
        </w:rPr>
      </w:r>
    </w:p>
    <w:p>
      <w:pPr>
        <w:pStyle w:val="Normal"/>
        <w:spacing w:lineRule="auto" w:line="240" w:before="0" w:after="0"/>
        <w:ind w:firstLine="709"/>
        <w:jc w:val="center"/>
        <w:rPr>
          <w:rFonts w:ascii="Times New Roman" w:hAnsi="Times New Roman" w:eastAsia="Times New Roman" w:cs="Times New Roman"/>
          <w:b/>
          <w:sz w:val="28"/>
          <w:szCs w:val="28"/>
          <w:lang w:eastAsia="x-none"/>
        </w:rPr>
      </w:pPr>
      <w:r>
        <w:rPr>
          <w:rFonts w:eastAsia="Times New Roman" w:cs="Times New Roman" w:ascii="Times New Roman" w:hAnsi="Times New Roman"/>
          <w:b/>
          <w:sz w:val="28"/>
          <w:szCs w:val="28"/>
          <w:lang w:eastAsia="x-none"/>
        </w:rPr>
        <w:t>Газоснабжение</w:t>
      </w:r>
    </w:p>
    <w:p>
      <w:pPr>
        <w:pStyle w:val="Default"/>
        <w:suppressAutoHyphens w:val="true"/>
        <w:ind w:firstLine="709"/>
        <w:jc w:val="both"/>
        <w:rPr>
          <w:color w:val="auto"/>
          <w:sz w:val="28"/>
          <w:szCs w:val="28"/>
        </w:rPr>
      </w:pPr>
      <w:r>
        <w:rPr>
          <w:color w:val="auto"/>
          <w:sz w:val="28"/>
          <w:szCs w:val="28"/>
        </w:rPr>
        <w:t xml:space="preserve">В населенные пункты газ подается через газопровод высокого давления </w:t>
      </w:r>
      <w:r>
        <w:rPr>
          <w:color w:val="auto"/>
          <w:sz w:val="28"/>
        </w:rPr>
        <w:t>II</w:t>
      </w:r>
      <w:r>
        <w:rPr>
          <w:color w:val="auto"/>
          <w:sz w:val="32"/>
          <w:szCs w:val="28"/>
        </w:rPr>
        <w:t xml:space="preserve"> </w:t>
      </w:r>
      <w:r>
        <w:rPr>
          <w:color w:val="auto"/>
          <w:sz w:val="28"/>
          <w:szCs w:val="28"/>
        </w:rPr>
        <w:t xml:space="preserve">категории до газораспределительных пунктов (ГРП). Далее по сетям среднего и низкого давления непосредственно к потребителю. </w:t>
      </w:r>
    </w:p>
    <w:p>
      <w:pPr>
        <w:pStyle w:val="Default"/>
        <w:suppressAutoHyphens w:val="true"/>
        <w:ind w:firstLine="709"/>
        <w:jc w:val="both"/>
        <w:rPr>
          <w:rFonts w:eastAsia="Times New Roman"/>
          <w:color w:val="auto"/>
          <w:sz w:val="28"/>
          <w:szCs w:val="28"/>
          <w:lang w:eastAsia="x-none"/>
        </w:rPr>
      </w:pPr>
      <w:r>
        <w:rPr>
          <w:rFonts w:eastAsia="Times New Roman"/>
          <w:color w:val="auto"/>
          <w:sz w:val="28"/>
          <w:szCs w:val="28"/>
          <w:lang w:eastAsia="x-none"/>
        </w:rPr>
        <w:t xml:space="preserve">Необходимо соблюдать режим охранных зон и зон минимальных расстояний до зданий и сооружений в соответствии с Правилами охраны газораспределительных сетей, приложением В СП 62.13330.2011. </w:t>
      </w:r>
    </w:p>
    <w:p>
      <w:pPr>
        <w:pStyle w:val="Normal"/>
        <w:spacing w:lineRule="auto" w:line="240" w:before="0" w:after="0"/>
        <w:ind w:firstLine="709"/>
        <w:jc w:val="center"/>
        <w:rPr>
          <w:rFonts w:ascii="Times New Roman" w:hAnsi="Times New Roman" w:eastAsia="Times New Roman" w:cs="Times New Roman"/>
          <w:sz w:val="28"/>
          <w:szCs w:val="28"/>
          <w:lang w:eastAsia="x-none"/>
        </w:rPr>
      </w:pPr>
      <w:r>
        <w:rPr>
          <w:rFonts w:eastAsia="Times New Roman" w:cs="Times New Roman" w:ascii="Times New Roman" w:hAnsi="Times New Roman"/>
          <w:sz w:val="28"/>
          <w:szCs w:val="28"/>
          <w:lang w:eastAsia="x-none"/>
        </w:rPr>
      </w:r>
    </w:p>
    <w:p>
      <w:pPr>
        <w:pStyle w:val="Normal"/>
        <w:spacing w:lineRule="auto" w:line="240" w:before="0" w:after="0"/>
        <w:ind w:firstLine="709"/>
        <w:jc w:val="center"/>
        <w:rPr>
          <w:rFonts w:ascii="Times New Roman" w:hAnsi="Times New Roman" w:eastAsia="Times New Roman" w:cs="Times New Roman"/>
          <w:b/>
          <w:sz w:val="28"/>
          <w:szCs w:val="28"/>
          <w:lang w:eastAsia="x-none"/>
        </w:rPr>
      </w:pPr>
      <w:r>
        <w:rPr>
          <w:rFonts w:eastAsia="Times New Roman" w:cs="Times New Roman" w:ascii="Times New Roman" w:hAnsi="Times New Roman"/>
          <w:b/>
          <w:sz w:val="28"/>
          <w:szCs w:val="28"/>
          <w:lang w:eastAsia="x-none"/>
        </w:rPr>
        <w:t>Электроснабжение</w:t>
      </w:r>
    </w:p>
    <w:p>
      <w:pPr>
        <w:pStyle w:val="Normal"/>
        <w:spacing w:lineRule="auto" w:line="240" w:before="0" w:after="0"/>
        <w:ind w:firstLine="709"/>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 xml:space="preserve">Электроснабжение населенных пунктов поселения, производственных площадок осуществляется посредством линий электропередач ВЛ 35 кВ, ВЛ 35 кВ Макулово-Матюшино, ВЛ 10 кВ №5 Матюшино-Керамика, ВЛ 10 кВ №4 Матюшино-Я.Болгары, ВКЛ 10 кВ ПС Матюшино-Гребни, ВКЛ 10 кВ №7 Матюшино-Ключищи, ВКЛ 10 кВ Куралова-Шеланга. </w:t>
      </w:r>
    </w:p>
    <w:p>
      <w:pPr>
        <w:pStyle w:val="Normal"/>
        <w:spacing w:lineRule="auto" w:line="240" w:before="0" w:after="0"/>
        <w:ind w:firstLine="709"/>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Требования к устойчивому электроснабжению устанавливаются СП 165.1325800.2014.</w:t>
      </w:r>
    </w:p>
    <w:p>
      <w:pPr>
        <w:pStyle w:val="Normal"/>
        <w:spacing w:lineRule="auto" w:line="240" w:before="0" w:after="0"/>
        <w:ind w:firstLine="709"/>
        <w:jc w:val="both"/>
        <w:rPr>
          <w:rFonts w:ascii="Times New Roman" w:hAnsi="Times New Roman" w:eastAsia="Times New Roman" w:cs="Times New Roman"/>
          <w:sz w:val="28"/>
          <w:szCs w:val="28"/>
          <w:lang w:eastAsia="x-none"/>
        </w:rPr>
      </w:pPr>
      <w:r>
        <w:rPr>
          <w:rFonts w:eastAsia="Times New Roman" w:cs="Times New Roman" w:ascii="Times New Roman" w:hAnsi="Times New Roman"/>
          <w:sz w:val="28"/>
          <w:szCs w:val="28"/>
          <w:lang w:eastAsia="x-none"/>
        </w:rPr>
        <w:t>Вследствие того, что проектируемая территория не относится к группам по гражданской обороне, особых требований к устройству системы электроснабжения нет.</w:t>
      </w:r>
    </w:p>
    <w:p>
      <w:pPr>
        <w:pStyle w:val="Default"/>
        <w:suppressAutoHyphens w:val="true"/>
        <w:ind w:firstLine="709"/>
        <w:jc w:val="both"/>
        <w:rPr>
          <w:color w:val="auto"/>
          <w:szCs w:val="28"/>
        </w:rPr>
      </w:pPr>
      <w:r>
        <w:rPr>
          <w:color w:val="auto"/>
          <w:szCs w:val="28"/>
        </w:rPr>
      </w:r>
    </w:p>
    <w:p>
      <w:pPr>
        <w:pStyle w:val="Normal"/>
        <w:tabs>
          <w:tab w:val="clear" w:pos="709"/>
          <w:tab w:val="left" w:pos="993" w:leader="none"/>
        </w:tabs>
        <w:suppressAutoHyphens w:val="true"/>
        <w:spacing w:lineRule="auto" w:line="240" w:before="0" w:after="0"/>
        <w:ind w:firstLine="709"/>
        <w:jc w:val="center"/>
        <w:rPr>
          <w:rFonts w:ascii="Times New Roman" w:hAnsi="Times New Roman" w:eastAsia="Times New Roman" w:cs="Times New Roman"/>
          <w:b/>
          <w:sz w:val="28"/>
          <w:szCs w:val="28"/>
          <w:lang w:eastAsia="ru-RU"/>
        </w:rPr>
      </w:pPr>
      <w:r>
        <w:rPr>
          <w:rFonts w:eastAsia="Times New Roman" w:cs="Times New Roman" w:ascii="Times New Roman" w:hAnsi="Times New Roman"/>
          <w:b/>
          <w:sz w:val="28"/>
          <w:szCs w:val="28"/>
          <w:lang w:eastAsia="ru-RU"/>
        </w:rPr>
        <w:t xml:space="preserve">Отнесение территории и организаций к группам по гражданской обороне </w:t>
      </w:r>
    </w:p>
    <w:p>
      <w:pPr>
        <w:pStyle w:val="Normal"/>
        <w:tabs>
          <w:tab w:val="clear" w:pos="709"/>
          <w:tab w:val="left" w:pos="993" w:leader="none"/>
        </w:tabs>
        <w:suppressAutoHyphens w:val="true"/>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По информации Министерства по делам ГО и ЧС РТ, проектируемая территория к группам по гражданской обороне не относится.</w:t>
      </w:r>
    </w:p>
    <w:p>
      <w:pPr>
        <w:pStyle w:val="Normal"/>
        <w:tabs>
          <w:tab w:val="clear" w:pos="709"/>
          <w:tab w:val="left" w:pos="993" w:leader="none"/>
        </w:tabs>
        <w:suppressAutoHyphens w:val="true"/>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На территории организаций, отнесенных к категории по гражданской обороне, не имеется;</w:t>
      </w:r>
    </w:p>
    <w:p>
      <w:pPr>
        <w:pStyle w:val="Normal"/>
        <w:tabs>
          <w:tab w:val="clear" w:pos="709"/>
          <w:tab w:val="left" w:pos="993" w:leader="none"/>
        </w:tabs>
        <w:suppressAutoHyphens w:val="true"/>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Данная территория не попадает в зоны возможного химического заражения, возможных разрушений, возможного радиоактивного заражения и возможного катастрофического затопления.</w:t>
      </w:r>
    </w:p>
    <w:p>
      <w:pPr>
        <w:pStyle w:val="Normal"/>
        <w:tabs>
          <w:tab w:val="clear" w:pos="709"/>
          <w:tab w:val="left" w:pos="993" w:leader="none"/>
        </w:tabs>
        <w:suppressAutoHyphens w:val="true"/>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ind w:firstLine="709"/>
        <w:jc w:val="center"/>
        <w:rPr>
          <w:rFonts w:ascii="Times New Roman" w:hAnsi="Times New Roman" w:eastAsia="Times New Roman" w:cs="Times New Roman"/>
          <w:b/>
          <w:sz w:val="28"/>
          <w:szCs w:val="28"/>
          <w:lang w:eastAsia="ru-RU"/>
        </w:rPr>
      </w:pPr>
      <w:r>
        <w:rPr>
          <w:rFonts w:eastAsia="Times New Roman" w:cs="Times New Roman" w:ascii="Times New Roman" w:hAnsi="Times New Roman"/>
          <w:b/>
          <w:sz w:val="28"/>
          <w:szCs w:val="28"/>
          <w:lang w:eastAsia="x-none"/>
        </w:rPr>
        <w:t>Расселение</w:t>
      </w:r>
      <w:r>
        <w:rPr>
          <w:rFonts w:eastAsia="Times New Roman" w:cs="Times New Roman" w:ascii="Times New Roman" w:hAnsi="Times New Roman"/>
          <w:i/>
          <w:sz w:val="28"/>
          <w:szCs w:val="28"/>
          <w:lang w:eastAsia="x-none"/>
        </w:rPr>
        <w:tab/>
      </w:r>
    </w:p>
    <w:p>
      <w:pPr>
        <w:pStyle w:val="Normal"/>
        <w:spacing w:lineRule="auto" w:line="240" w:before="0" w:after="0"/>
        <w:ind w:firstLine="708"/>
        <w:jc w:val="both"/>
        <w:rPr>
          <w:rFonts w:ascii="Times New Roman" w:hAnsi="Times New Roman" w:eastAsia="Times New Roman" w:cs="Times New Roman"/>
          <w:sz w:val="28"/>
          <w:szCs w:val="28"/>
          <w:lang w:eastAsia="x-none"/>
        </w:rPr>
      </w:pPr>
      <w:r>
        <w:rPr>
          <w:rFonts w:eastAsia="Times New Roman" w:cs="Times New Roman" w:ascii="Times New Roman" w:hAnsi="Times New Roman"/>
          <w:sz w:val="28"/>
          <w:szCs w:val="28"/>
          <w:lang w:eastAsia="x-none"/>
        </w:rPr>
        <w:t>Требования к формированию систем расселения, групповых систем населенных мест районов рассредоточения и эвакуации населения предусмотреть в соответствии с «СП 165.1325800.2014 Актуализированная редакция «СНиП 2.01.51-90 Инженерно-технические мероприятия по гражданской обороне».</w:t>
      </w:r>
    </w:p>
    <w:p>
      <w:pPr>
        <w:pStyle w:val="Normal"/>
        <w:spacing w:lineRule="auto" w:line="240" w:before="0" w:after="0"/>
        <w:ind w:firstLine="708"/>
        <w:jc w:val="both"/>
        <w:rPr>
          <w:rFonts w:ascii="Times New Roman" w:hAnsi="Times New Roman" w:eastAsia="Times New Roman" w:cs="Times New Roman"/>
          <w:sz w:val="28"/>
          <w:szCs w:val="28"/>
          <w:lang w:eastAsia="x-none"/>
        </w:rPr>
      </w:pPr>
      <w:r>
        <w:rPr>
          <w:rFonts w:eastAsia="Times New Roman" w:cs="Times New Roman" w:ascii="Times New Roman" w:hAnsi="Times New Roman"/>
          <w:sz w:val="28"/>
          <w:szCs w:val="28"/>
          <w:lang w:eastAsia="x-none"/>
        </w:rPr>
        <w:t>Численность рассредоточиваемого, эвакуируемого населения, расселяемого в безопасном районе, согласно Плану гражданской обороны и защиты населения Верхнеуслоснкого муниципального района Республики Татарстан.</w:t>
      </w:r>
    </w:p>
    <w:p>
      <w:pPr>
        <w:pStyle w:val="Normal"/>
        <w:spacing w:lineRule="auto" w:line="240" w:before="0" w:after="0"/>
        <w:ind w:firstLine="708"/>
        <w:jc w:val="both"/>
        <w:rPr>
          <w:rFonts w:ascii="Times New Roman" w:hAnsi="Times New Roman" w:eastAsia="Times New Roman" w:cs="Times New Roman"/>
          <w:sz w:val="28"/>
          <w:szCs w:val="28"/>
          <w:lang w:eastAsia="x-none"/>
        </w:rPr>
      </w:pPr>
      <w:r>
        <w:rPr>
          <w:rFonts w:eastAsia="Times New Roman" w:cs="Times New Roman" w:ascii="Times New Roman" w:hAnsi="Times New Roman"/>
          <w:sz w:val="28"/>
          <w:szCs w:val="28"/>
          <w:lang w:eastAsia="x-none"/>
        </w:rPr>
        <w:t>Размещение сборно-эвакуационных (приемно-эвакуационных) пунктов – в соответствии с Планом гражданской обороны и защиты населения Верхнеуслоснкого муниципального района Республики Татарстан.</w:t>
      </w:r>
    </w:p>
    <w:p>
      <w:pPr>
        <w:pStyle w:val="Normal"/>
        <w:spacing w:lineRule="auto" w:line="240" w:before="0" w:after="0"/>
        <w:ind w:firstLine="708"/>
        <w:jc w:val="both"/>
        <w:rPr>
          <w:rFonts w:ascii="Times New Roman" w:hAnsi="Times New Roman" w:eastAsia="Times New Roman" w:cs="Times New Roman"/>
          <w:sz w:val="28"/>
          <w:szCs w:val="28"/>
          <w:lang w:eastAsia="x-none"/>
        </w:rPr>
      </w:pPr>
      <w:r>
        <w:rPr>
          <w:rFonts w:eastAsia="Times New Roman" w:cs="Times New Roman" w:ascii="Times New Roman" w:hAnsi="Times New Roman"/>
          <w:sz w:val="28"/>
          <w:szCs w:val="28"/>
          <w:lang w:eastAsia="x-none"/>
        </w:rPr>
      </w:r>
    </w:p>
    <w:p>
      <w:pPr>
        <w:pStyle w:val="Normal"/>
        <w:tabs>
          <w:tab w:val="clear" w:pos="709"/>
          <w:tab w:val="left" w:pos="993" w:leader="none"/>
        </w:tabs>
        <w:suppressAutoHyphens w:val="true"/>
        <w:spacing w:lineRule="auto" w:line="240" w:before="0" w:after="0"/>
        <w:ind w:firstLine="709"/>
        <w:jc w:val="center"/>
        <w:rPr>
          <w:rFonts w:ascii="Times New Roman" w:hAnsi="Times New Roman" w:eastAsia="Times New Roman" w:cs="Times New Roman"/>
          <w:b/>
          <w:sz w:val="28"/>
          <w:szCs w:val="28"/>
          <w:lang w:eastAsia="ru-RU"/>
        </w:rPr>
      </w:pPr>
      <w:r>
        <w:rPr>
          <w:rFonts w:eastAsia="Times New Roman" w:cs="Times New Roman" w:ascii="Times New Roman" w:hAnsi="Times New Roman"/>
          <w:b/>
          <w:sz w:val="28"/>
          <w:szCs w:val="28"/>
          <w:lang w:eastAsia="ru-RU"/>
        </w:rPr>
        <w:t xml:space="preserve">Инженерная защита населения </w:t>
      </w:r>
    </w:p>
    <w:p>
      <w:pPr>
        <w:pStyle w:val="Normal"/>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Поселение является безопасным районом.</w:t>
      </w:r>
    </w:p>
    <w:p>
      <w:pPr>
        <w:pStyle w:val="Normal"/>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На территории поселения строительство защитных сооружений гражданской обороны не требуется.</w:t>
      </w:r>
    </w:p>
    <w:p>
      <w:pPr>
        <w:pStyle w:val="Normal"/>
        <w:spacing w:lineRule="auto" w:line="240" w:before="0" w:after="0"/>
        <w:ind w:firstLine="709"/>
        <w:jc w:val="both"/>
        <w:rPr>
          <w:rFonts w:ascii="Times New Roman" w:hAnsi="Times New Roman" w:cs="Times New Roman"/>
          <w:sz w:val="28"/>
          <w:szCs w:val="28"/>
          <w:lang w:eastAsia="ru-RU"/>
        </w:rPr>
      </w:pPr>
      <w:r>
        <w:rPr>
          <w:rFonts w:eastAsia="Times New Roman" w:cs="Times New Roman" w:ascii="Times New Roman" w:hAnsi="Times New Roman"/>
          <w:sz w:val="28"/>
          <w:szCs w:val="28"/>
          <w:lang w:eastAsia="ru-RU"/>
        </w:rPr>
        <w:t xml:space="preserve">Имеются простейшие укрытия (погреба) на индивидуальных участках. </w:t>
      </w:r>
    </w:p>
    <w:p>
      <w:pPr>
        <w:pStyle w:val="Normal"/>
        <w:spacing w:lineRule="auto" w:line="240" w:before="0" w:after="0"/>
        <w:ind w:firstLine="709"/>
        <w:jc w:val="both"/>
        <w:rPr>
          <w:rFonts w:ascii="Times New Roman" w:hAnsi="Times New Roman" w:eastAsia="Times New Roman" w:cs="Times New Roman"/>
          <w:sz w:val="28"/>
          <w:szCs w:val="28"/>
          <w:lang w:eastAsia="x-none"/>
        </w:rPr>
      </w:pPr>
      <w:r>
        <w:rPr>
          <w:rFonts w:eastAsia="Times New Roman" w:cs="Times New Roman" w:ascii="Times New Roman" w:hAnsi="Times New Roman"/>
          <w:sz w:val="28"/>
          <w:szCs w:val="28"/>
          <w:lang w:eastAsia="x-none"/>
        </w:rPr>
        <w:t>Требования по системе водоснабжения – согласно «СП 165.1325800.2014 Актуализированная редакция «СНиП 2.01.51-90 Инженерно-технические мероприятия по гражданской обороне (далее СП 165.1325800.2014).</w:t>
      </w:r>
    </w:p>
    <w:p>
      <w:pPr>
        <w:pStyle w:val="Normal"/>
        <w:spacing w:lineRule="auto" w:line="240" w:before="0" w:after="0"/>
        <w:ind w:firstLine="709"/>
        <w:jc w:val="both"/>
        <w:rPr>
          <w:rFonts w:ascii="Times New Roman" w:hAnsi="Times New Roman" w:eastAsia="Times New Roman" w:cs="Times New Roman"/>
          <w:sz w:val="28"/>
          <w:szCs w:val="28"/>
          <w:lang w:eastAsia="x-none"/>
        </w:rPr>
      </w:pPr>
      <w:r>
        <w:rPr>
          <w:rFonts w:eastAsia="Times New Roman" w:cs="Times New Roman" w:ascii="Times New Roman" w:hAnsi="Times New Roman"/>
          <w:sz w:val="28"/>
          <w:szCs w:val="28"/>
          <w:lang w:eastAsia="x-none"/>
        </w:rPr>
        <w:t>Требования к устойчивому электроснабжению – согласно СП 165.1325800.2014.</w:t>
      </w:r>
    </w:p>
    <w:p>
      <w:pPr>
        <w:pStyle w:val="Normal"/>
        <w:spacing w:lineRule="auto" w:line="240" w:before="0" w:after="0"/>
        <w:ind w:firstLine="709"/>
        <w:jc w:val="both"/>
        <w:rPr>
          <w:rFonts w:ascii="Times New Roman" w:hAnsi="Times New Roman" w:eastAsia="Times New Roman" w:cs="Times New Roman"/>
          <w:sz w:val="28"/>
          <w:szCs w:val="28"/>
          <w:lang w:eastAsia="x-none"/>
        </w:rPr>
      </w:pPr>
      <w:r>
        <w:rPr>
          <w:rFonts w:eastAsia="Times New Roman" w:cs="Times New Roman" w:ascii="Times New Roman" w:hAnsi="Times New Roman"/>
          <w:sz w:val="28"/>
          <w:szCs w:val="28"/>
          <w:lang w:eastAsia="x-none"/>
        </w:rPr>
      </w:r>
    </w:p>
    <w:p>
      <w:pPr>
        <w:pStyle w:val="Normal"/>
        <w:spacing w:lineRule="auto" w:line="240" w:before="0" w:after="0"/>
        <w:ind w:firstLine="709"/>
        <w:contextualSpacing/>
        <w:jc w:val="center"/>
        <w:rPr>
          <w:rFonts w:ascii="Times New Roman" w:hAnsi="Times New Roman" w:eastAsia="Times New Roman" w:cs="Times New Roman"/>
          <w:b/>
          <w:sz w:val="28"/>
          <w:szCs w:val="28"/>
          <w:lang w:eastAsia="ru-RU"/>
        </w:rPr>
      </w:pPr>
      <w:r>
        <w:rPr>
          <w:rFonts w:eastAsia="Times New Roman" w:cs="Times New Roman" w:ascii="Times New Roman" w:hAnsi="Times New Roman"/>
          <w:b/>
          <w:sz w:val="28"/>
          <w:szCs w:val="28"/>
          <w:lang w:eastAsia="x-none"/>
        </w:rPr>
        <w:t xml:space="preserve">Система оповещения по гражданской обороне </w:t>
      </w:r>
    </w:p>
    <w:p>
      <w:pPr>
        <w:pStyle w:val="Normal"/>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В настоящий момент на территории поселения система оповещения отсутствует. населенные пункты необходимо оборудовать системами оповещения населения в соответствии с требованиями Федерального закона от 21 декабря 1994 года № 68-ФЗ «О защите населения и территории от чрезвычайны ситуаций природного и техногенного характера». Предлагаемое размещение РСУ показано на графическом материале.</w:t>
      </w:r>
    </w:p>
    <w:p>
      <w:pPr>
        <w:pStyle w:val="Normal"/>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Речевые сиренные установки РСУ-300 с радиусом оповещения 500 м должны быть подключены к ЕДДС района посредством Интернет-соединения или стационарной телефонной связи. </w:t>
      </w:r>
    </w:p>
    <w:p>
      <w:pPr>
        <w:pStyle w:val="Normal"/>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Размещение РСУ указано на картографических материалах.</w:t>
      </w:r>
    </w:p>
    <w:p>
      <w:pPr>
        <w:pStyle w:val="Normal"/>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tabs>
          <w:tab w:val="clear" w:pos="709"/>
          <w:tab w:val="left" w:pos="993" w:leader="none"/>
        </w:tabs>
        <w:suppressAutoHyphens w:val="true"/>
        <w:spacing w:lineRule="auto" w:line="240" w:before="0" w:after="0"/>
        <w:ind w:firstLine="709"/>
        <w:jc w:val="center"/>
        <w:rPr>
          <w:rFonts w:ascii="Times New Roman" w:hAnsi="Times New Roman" w:eastAsia="Times New Roman" w:cs="Times New Roman"/>
          <w:b/>
          <w:sz w:val="28"/>
          <w:szCs w:val="28"/>
          <w:lang w:eastAsia="ru-RU"/>
        </w:rPr>
      </w:pPr>
      <w:r>
        <w:rPr>
          <w:rFonts w:eastAsia="Times New Roman" w:cs="Times New Roman" w:ascii="Times New Roman" w:hAnsi="Times New Roman"/>
          <w:b/>
          <w:sz w:val="28"/>
          <w:szCs w:val="28"/>
          <w:lang w:eastAsia="ru-RU"/>
        </w:rPr>
        <w:t xml:space="preserve">Потенциально опасные объекты, опасные производственные объекты и зоны возможной опасности </w:t>
      </w:r>
    </w:p>
    <w:p>
      <w:pPr>
        <w:pStyle w:val="Style72"/>
        <w:rPr>
          <w:szCs w:val="28"/>
          <w:lang w:eastAsia="x-none"/>
        </w:rPr>
      </w:pPr>
      <w:r>
        <w:rPr>
          <w:szCs w:val="28"/>
          <w:lang w:eastAsia="x-none"/>
        </w:rPr>
        <w:t xml:space="preserve">В соответствии с </w:t>
      </w:r>
      <w:r>
        <w:rPr>
          <w:szCs w:val="28"/>
        </w:rPr>
        <w:t>ФЗ от 21.12.1994 г. № 68-ФЗ</w:t>
      </w:r>
      <w:r>
        <w:rPr>
          <w:szCs w:val="28"/>
          <w:lang w:eastAsia="x-none"/>
        </w:rPr>
        <w:t>, потенциально опасный объект - это объект, на котором расположены здания и сооружения повышенного уровня ответственности, либо объект, на котором возможно одновременное пребывание более пяти тысяч человек.</w:t>
      </w:r>
    </w:p>
    <w:p>
      <w:pPr>
        <w:pStyle w:val="Style72"/>
        <w:rPr>
          <w:szCs w:val="28"/>
          <w:lang w:eastAsia="x-none"/>
        </w:rPr>
      </w:pPr>
      <w:r>
        <w:rPr>
          <w:szCs w:val="28"/>
          <w:lang w:eastAsia="x-none"/>
        </w:rPr>
        <w:t>В соответствии с Федеральным законом от 30.12.2009 № 384-ФЗ «Технический регламент о безопасности зданий и сооружений» (с изменениями и дополнениями) (далее ФЗ от 30.12.2009 № 384-ФЗ), к зданиям и сооружениям повышенного уровня ответственности относятся здания и сооружения, отнесенные в соответствии с Градостроительным кодексом Российской Федерации к особо опасным, технически сложным или уникальным объектам.</w:t>
      </w:r>
    </w:p>
    <w:p>
      <w:pPr>
        <w:pStyle w:val="Normal"/>
        <w:tabs>
          <w:tab w:val="clear" w:pos="709"/>
          <w:tab w:val="left" w:pos="993" w:leader="none"/>
        </w:tabs>
        <w:suppressAutoHyphens w:val="true"/>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Согласно Перечню потенциально опасных объектов Республики Татарстан, утвержденному распоряжением КЧС и ОПБ Республики Татарстан от 09.07.2020 №17-20р дсп, на территории поселения расположены потенциально опасные объекты, виды которых перечислены в таблице 9.3.</w:t>
      </w:r>
    </w:p>
    <w:p>
      <w:pPr>
        <w:pStyle w:val="Style72"/>
        <w:rPr>
          <w:szCs w:val="28"/>
          <w:lang w:eastAsia="x-none"/>
        </w:rPr>
      </w:pPr>
      <w:r>
        <w:rPr>
          <w:szCs w:val="28"/>
          <w:lang w:eastAsia="x-none"/>
        </w:rPr>
      </w:r>
    </w:p>
    <w:p>
      <w:pPr>
        <w:sectPr>
          <w:footerReference w:type="default" r:id="rId90"/>
          <w:footerReference w:type="first" r:id="rId91"/>
          <w:footnotePr>
            <w:numFmt w:val="decimal"/>
          </w:footnotePr>
          <w:type w:val="nextPage"/>
          <w:pgSz w:w="11906" w:h="16838"/>
          <w:pgMar w:left="1134" w:right="851" w:gutter="0" w:header="0" w:top="851" w:footer="709" w:bottom="851"/>
          <w:pgNumType w:fmt="decimal"/>
          <w:formProt w:val="false"/>
          <w:textDirection w:val="lrTb"/>
          <w:docGrid w:type="default" w:linePitch="360" w:charSpace="4294959103"/>
        </w:sectPr>
        <w:pStyle w:val="Style72"/>
        <w:rPr>
          <w:szCs w:val="28"/>
          <w:lang w:eastAsia="x-none"/>
        </w:rPr>
      </w:pPr>
      <w:r>
        <w:rPr>
          <w:szCs w:val="28"/>
          <w:lang w:eastAsia="x-none"/>
        </w:rPr>
      </w:r>
    </w:p>
    <w:p>
      <w:pPr>
        <w:pStyle w:val="Style72"/>
        <w:jc w:val="right"/>
        <w:rPr>
          <w:szCs w:val="28"/>
          <w:lang w:eastAsia="x-none"/>
        </w:rPr>
      </w:pPr>
      <w:r>
        <w:rPr>
          <w:szCs w:val="28"/>
          <w:lang w:eastAsia="x-none"/>
        </w:rPr>
        <w:t>Таблица 9.1</w:t>
      </w:r>
    </w:p>
    <w:p>
      <w:pPr>
        <w:pStyle w:val="Style72"/>
        <w:jc w:val="center"/>
        <w:rPr>
          <w:szCs w:val="28"/>
          <w:lang w:eastAsia="x-none"/>
        </w:rPr>
      </w:pPr>
      <w:r>
        <w:rPr>
          <w:szCs w:val="28"/>
          <w:lang w:eastAsia="x-none"/>
        </w:rPr>
        <w:t xml:space="preserve">Особо опасные и технически сложные объекты, согласно Градостроительному кодексу Российской Федерации от 29.12.2004 № 190-ФЗ </w:t>
      </w:r>
    </w:p>
    <w:tbl>
      <w:tblPr>
        <w:tblStyle w:val="af0"/>
        <w:tblW w:w="14596"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420"/>
        <w:gridCol w:w="11624"/>
        <w:gridCol w:w="2552"/>
      </w:tblGrid>
      <w:tr>
        <w:trPr/>
        <w:tc>
          <w:tcPr>
            <w:tcW w:w="420" w:type="dxa"/>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t>№</w:t>
            </w:r>
          </w:p>
        </w:tc>
        <w:tc>
          <w:tcPr>
            <w:tcW w:w="11624" w:type="dxa"/>
            <w:tcBorders/>
            <w:vAlign w:val="center"/>
          </w:tcPr>
          <w:p>
            <w:pPr>
              <w:pStyle w:val="Style72"/>
              <w:widowControl/>
              <w:spacing w:before="0" w:after="0"/>
              <w:jc w:val="center"/>
              <w:rPr>
                <w:sz w:val="20"/>
                <w:szCs w:val="20"/>
                <w:lang w:eastAsia="x-none"/>
              </w:rPr>
            </w:pPr>
            <w:r>
              <w:rPr>
                <w:kern w:val="0"/>
                <w:sz w:val="20"/>
                <w:szCs w:val="20"/>
                <w:lang w:val="ru-RU" w:eastAsia="x-none" w:bidi="ar-SA"/>
              </w:rPr>
              <w:t>Особо опасные и технически сложные объекты</w:t>
            </w:r>
          </w:p>
        </w:tc>
        <w:tc>
          <w:tcPr>
            <w:tcW w:w="2552" w:type="dxa"/>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t>Наличие в поселении</w:t>
            </w:r>
          </w:p>
        </w:tc>
      </w:tr>
      <w:tr>
        <w:trPr/>
        <w:tc>
          <w:tcPr>
            <w:tcW w:w="420" w:type="dxa"/>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t>1</w:t>
            </w:r>
          </w:p>
        </w:tc>
        <w:tc>
          <w:tcPr>
            <w:tcW w:w="11624" w:type="dxa"/>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t>Линии электропередачи и иные объекты электросетевого хозяйства напряжением 330 киловольт и более</w:t>
            </w:r>
          </w:p>
        </w:tc>
        <w:tc>
          <w:tcPr>
            <w:tcW w:w="2552" w:type="dxa"/>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t>-</w:t>
            </w:r>
          </w:p>
        </w:tc>
      </w:tr>
      <w:tr>
        <w:trPr/>
        <w:tc>
          <w:tcPr>
            <w:tcW w:w="420" w:type="dxa"/>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t>2</w:t>
            </w:r>
          </w:p>
        </w:tc>
        <w:tc>
          <w:tcPr>
            <w:tcW w:w="11624" w:type="dxa"/>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t>Объекты инфраструктуры воздушного транспорта, являющиеся особо опасными, технически сложными объектами в соответствии с воздушным законодательством Российской Федерации, согласно ст.7.1 Воздушного кодекса (с длиной взлетно-посадочной полосы 1300 метров и более)</w:t>
            </w:r>
          </w:p>
        </w:tc>
        <w:tc>
          <w:tcPr>
            <w:tcW w:w="2552" w:type="dxa"/>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t>+</w:t>
            </w:r>
          </w:p>
        </w:tc>
      </w:tr>
      <w:tr>
        <w:trPr/>
        <w:tc>
          <w:tcPr>
            <w:tcW w:w="420" w:type="dxa"/>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t>3</w:t>
            </w:r>
          </w:p>
        </w:tc>
        <w:tc>
          <w:tcPr>
            <w:tcW w:w="11624" w:type="dxa"/>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t>Объекты капитального строительства инфраструктуры железнодорожного транспорта общего пользования, являющиеся особо опасными, технически сложными объектами в соответствии с законодательством Российской Федерации о железнодорожном транспорте, согласно ст.2 ФЗ «О железнодорожном транспорте в Российской Федерации» (тоннели длиной более 500 метров, мостовые переходы с опорами высотой от 50 до 100 метров, железнодорожные вокзалы расчетной вместимостью свыше 900 пассажиров, сортировочные горки с объемом переработки более 3500 вагонов в сутки, а также объекты инфраструктуры, в состав которых входят объекты, относящиеся в соответствии с настоящим пунктом к особо опасным, технически сложным объектам)</w:t>
            </w:r>
          </w:p>
        </w:tc>
        <w:tc>
          <w:tcPr>
            <w:tcW w:w="2552" w:type="dxa"/>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t>-</w:t>
            </w:r>
          </w:p>
        </w:tc>
      </w:tr>
      <w:tr>
        <w:trPr/>
        <w:tc>
          <w:tcPr>
            <w:tcW w:w="420" w:type="dxa"/>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t>4</w:t>
            </w:r>
          </w:p>
        </w:tc>
        <w:tc>
          <w:tcPr>
            <w:tcW w:w="11624" w:type="dxa"/>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t>Опасные производственные объекты I и II классов опасности, на которых получаются, используются, перерабатываются, образуются, хранятся, транспортируются, уничтожаются опасные вещества</w:t>
            </w:r>
          </w:p>
        </w:tc>
        <w:tc>
          <w:tcPr>
            <w:tcW w:w="2552" w:type="dxa"/>
            <w:tcBorders/>
            <w:shd w:color="auto" w:fill="auto" w:val="clear"/>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t>см. в таблице 4.15.2 (</w:t>
            </w:r>
            <w:r>
              <w:rPr>
                <w:kern w:val="0"/>
                <w:sz w:val="20"/>
                <w:szCs w:val="20"/>
                <w:lang w:val="en-US" w:eastAsia="x-none" w:bidi="ar-SA"/>
              </w:rPr>
              <w:t>I</w:t>
            </w:r>
            <w:r>
              <w:rPr>
                <w:kern w:val="0"/>
                <w:sz w:val="20"/>
                <w:szCs w:val="20"/>
                <w:lang w:val="ru-RU" w:eastAsia="x-none" w:bidi="ar-SA"/>
              </w:rPr>
              <w:t xml:space="preserve"> и </w:t>
            </w:r>
            <w:r>
              <w:rPr>
                <w:kern w:val="0"/>
                <w:sz w:val="20"/>
                <w:szCs w:val="20"/>
                <w:lang w:val="en-US" w:eastAsia="x-none" w:bidi="ar-SA"/>
              </w:rPr>
              <w:t>II</w:t>
            </w:r>
            <w:r>
              <w:rPr>
                <w:kern w:val="0"/>
                <w:sz w:val="20"/>
                <w:szCs w:val="20"/>
                <w:lang w:val="ru-RU" w:eastAsia="x-none" w:bidi="ar-SA"/>
              </w:rPr>
              <w:t xml:space="preserve"> класс опасности)</w:t>
            </w:r>
          </w:p>
        </w:tc>
      </w:tr>
    </w:tbl>
    <w:p>
      <w:pPr>
        <w:pStyle w:val="Style72"/>
        <w:jc w:val="right"/>
        <w:rPr>
          <w:szCs w:val="28"/>
          <w:lang w:eastAsia="x-none"/>
        </w:rPr>
      </w:pPr>
      <w:r>
        <w:rPr>
          <w:szCs w:val="28"/>
          <w:lang w:eastAsia="x-none"/>
        </w:rPr>
      </w:r>
    </w:p>
    <w:p>
      <w:pPr>
        <w:pStyle w:val="Style72"/>
        <w:jc w:val="right"/>
        <w:rPr>
          <w:szCs w:val="28"/>
          <w:lang w:eastAsia="x-none"/>
        </w:rPr>
      </w:pPr>
      <w:r>
        <w:rPr>
          <w:szCs w:val="28"/>
          <w:lang w:eastAsia="x-none"/>
        </w:rPr>
        <w:t>Таблица 9.2</w:t>
      </w:r>
    </w:p>
    <w:p>
      <w:pPr>
        <w:pStyle w:val="Style72"/>
        <w:ind w:hanging="0"/>
        <w:jc w:val="center"/>
        <w:rPr>
          <w:szCs w:val="28"/>
          <w:lang w:eastAsia="x-none"/>
        </w:rPr>
      </w:pPr>
      <w:r>
        <w:rPr>
          <w:szCs w:val="28"/>
          <w:lang w:eastAsia="x-none"/>
        </w:rPr>
        <w:t>Опасные производственные объекты, согласно ФЗ от 21.07.1997 № 116-ФЗ «О промышленной безопасности опасных производственных объектов»</w:t>
      </w:r>
    </w:p>
    <w:tbl>
      <w:tblPr>
        <w:tblStyle w:val="af0"/>
        <w:tblW w:w="14578"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451"/>
        <w:gridCol w:w="1814"/>
        <w:gridCol w:w="3923"/>
        <w:gridCol w:w="6127"/>
        <w:gridCol w:w="2263"/>
      </w:tblGrid>
      <w:tr>
        <w:trPr/>
        <w:tc>
          <w:tcPr>
            <w:tcW w:w="451" w:type="dxa"/>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r>
          </w:p>
        </w:tc>
        <w:tc>
          <w:tcPr>
            <w:tcW w:w="1814" w:type="dxa"/>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t>Класс опасности*</w:t>
            </w:r>
          </w:p>
        </w:tc>
        <w:tc>
          <w:tcPr>
            <w:tcW w:w="10050" w:type="dxa"/>
            <w:gridSpan w:val="2"/>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t>Виды производственных объектов</w:t>
            </w:r>
          </w:p>
        </w:tc>
        <w:tc>
          <w:tcPr>
            <w:tcW w:w="2263" w:type="dxa"/>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t>Наличие в поселении</w:t>
            </w:r>
          </w:p>
        </w:tc>
      </w:tr>
      <w:tr>
        <w:trPr/>
        <w:tc>
          <w:tcPr>
            <w:tcW w:w="451" w:type="dxa"/>
            <w:vMerge w:val="restart"/>
            <w:tcBorders/>
            <w:textDirection w:val="btLr"/>
            <w:vAlign w:val="center"/>
          </w:tcPr>
          <w:p>
            <w:pPr>
              <w:pStyle w:val="Style72"/>
              <w:widowControl/>
              <w:spacing w:before="0" w:after="0"/>
              <w:ind w:left="154" w:right="113" w:hanging="0"/>
              <w:jc w:val="center"/>
              <w:rPr>
                <w:sz w:val="20"/>
                <w:szCs w:val="20"/>
                <w:lang w:eastAsia="x-none"/>
              </w:rPr>
            </w:pPr>
            <w:r>
              <w:rPr>
                <w:kern w:val="0"/>
                <w:sz w:val="20"/>
                <w:szCs w:val="20"/>
                <w:lang w:val="ru-RU" w:eastAsia="x-none" w:bidi="ar-SA"/>
              </w:rPr>
              <w:t>Особо опасные объекты</w:t>
            </w:r>
          </w:p>
        </w:tc>
        <w:tc>
          <w:tcPr>
            <w:tcW w:w="1814" w:type="dxa"/>
            <w:tcBorders/>
            <w:vAlign w:val="center"/>
          </w:tcPr>
          <w:p>
            <w:pPr>
              <w:pStyle w:val="Style72"/>
              <w:widowControl/>
              <w:spacing w:before="0" w:after="0"/>
              <w:ind w:left="0" w:right="0" w:hanging="0"/>
              <w:jc w:val="center"/>
              <w:rPr>
                <w:sz w:val="20"/>
                <w:szCs w:val="20"/>
                <w:lang w:val="en-US" w:eastAsia="x-none"/>
              </w:rPr>
            </w:pPr>
            <w:r>
              <w:rPr>
                <w:kern w:val="0"/>
                <w:sz w:val="20"/>
                <w:szCs w:val="20"/>
                <w:lang w:val="en-US" w:eastAsia="x-none" w:bidi="ar-SA"/>
              </w:rPr>
              <w:t>I</w:t>
            </w:r>
          </w:p>
        </w:tc>
        <w:tc>
          <w:tcPr>
            <w:tcW w:w="10050" w:type="dxa"/>
            <w:gridSpan w:val="2"/>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t>Объекты по хранению химического оружия, объекты по уничтожению химического оружия и опасные производственные объекты спецхимии</w:t>
            </w:r>
          </w:p>
        </w:tc>
        <w:tc>
          <w:tcPr>
            <w:tcW w:w="2263" w:type="dxa"/>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t>-</w:t>
            </w:r>
          </w:p>
        </w:tc>
      </w:tr>
      <w:tr>
        <w:trPr>
          <w:trHeight w:val="1080" w:hRule="atLeast"/>
        </w:trPr>
        <w:tc>
          <w:tcPr>
            <w:tcW w:w="451" w:type="dxa"/>
            <w:vMerge w:val="continue"/>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r>
          </w:p>
        </w:tc>
        <w:tc>
          <w:tcPr>
            <w:tcW w:w="1814" w:type="dxa"/>
            <w:vMerge w:val="restart"/>
            <w:tcBorders/>
            <w:vAlign w:val="center"/>
          </w:tcPr>
          <w:p>
            <w:pPr>
              <w:pStyle w:val="Style72"/>
              <w:widowControl/>
              <w:spacing w:before="0" w:after="0"/>
              <w:ind w:left="0" w:right="0" w:hanging="0"/>
              <w:jc w:val="center"/>
              <w:rPr>
                <w:sz w:val="20"/>
                <w:szCs w:val="20"/>
                <w:lang w:val="en-US" w:eastAsia="x-none"/>
              </w:rPr>
            </w:pPr>
            <w:r>
              <w:rPr>
                <w:kern w:val="0"/>
                <w:sz w:val="20"/>
                <w:szCs w:val="20"/>
                <w:lang w:val="en-US" w:eastAsia="x-none" w:bidi="ar-SA"/>
              </w:rPr>
              <w:t>II</w:t>
            </w:r>
          </w:p>
        </w:tc>
        <w:tc>
          <w:tcPr>
            <w:tcW w:w="3923" w:type="dxa"/>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t>Опасные производственные объекты бурения и добычи нефти, газа и газового конденсата</w:t>
            </w:r>
          </w:p>
        </w:tc>
        <w:tc>
          <w:tcPr>
            <w:tcW w:w="6127" w:type="dxa"/>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t>Опасные в части выбросов продукции с содержанием сернистого водорода свыше 6 процентов объема такой продукции</w:t>
            </w:r>
          </w:p>
        </w:tc>
        <w:tc>
          <w:tcPr>
            <w:tcW w:w="2263" w:type="dxa"/>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t>+</w:t>
            </w:r>
          </w:p>
        </w:tc>
      </w:tr>
      <w:tr>
        <w:trPr>
          <w:trHeight w:val="1125" w:hRule="atLeast"/>
        </w:trPr>
        <w:tc>
          <w:tcPr>
            <w:tcW w:w="451" w:type="dxa"/>
            <w:vMerge w:val="continue"/>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r>
          </w:p>
        </w:tc>
        <w:tc>
          <w:tcPr>
            <w:tcW w:w="1814" w:type="dxa"/>
            <w:vMerge w:val="continue"/>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r>
          </w:p>
        </w:tc>
        <w:tc>
          <w:tcPr>
            <w:tcW w:w="3923" w:type="dxa"/>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t>Газораспределительные станции, сети газораспределения и сети газопотребления</w:t>
            </w:r>
          </w:p>
        </w:tc>
        <w:tc>
          <w:tcPr>
            <w:tcW w:w="6127" w:type="dxa"/>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t>Предназначенные для транспортировки природного газа под давлением свыше 1,2 мегапаскаля или сжиженного углеводородного газа под давлением свыше 1,6 мегапаскаля;</w:t>
            </w:r>
          </w:p>
        </w:tc>
        <w:tc>
          <w:tcPr>
            <w:tcW w:w="2263" w:type="dxa"/>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t>+</w:t>
            </w:r>
          </w:p>
        </w:tc>
      </w:tr>
      <w:tr>
        <w:trPr>
          <w:trHeight w:val="905" w:hRule="atLeast"/>
        </w:trPr>
        <w:tc>
          <w:tcPr>
            <w:tcW w:w="451" w:type="dxa"/>
            <w:vMerge w:val="continue"/>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r>
          </w:p>
        </w:tc>
        <w:tc>
          <w:tcPr>
            <w:tcW w:w="1814" w:type="dxa"/>
            <w:tcBorders/>
            <w:vAlign w:val="center"/>
          </w:tcPr>
          <w:p>
            <w:pPr>
              <w:pStyle w:val="Style72"/>
              <w:widowControl/>
              <w:spacing w:before="0" w:after="0"/>
              <w:ind w:left="0" w:right="0" w:hanging="0"/>
              <w:jc w:val="center"/>
              <w:rPr>
                <w:sz w:val="20"/>
                <w:szCs w:val="20"/>
                <w:lang w:eastAsia="x-none"/>
              </w:rPr>
            </w:pPr>
            <w:r>
              <w:rPr>
                <w:kern w:val="0"/>
                <w:sz w:val="20"/>
                <w:szCs w:val="20"/>
                <w:lang w:val="en-US" w:eastAsia="x-none" w:bidi="ar-SA"/>
              </w:rPr>
              <w:t>I</w:t>
            </w:r>
            <w:r>
              <w:rPr>
                <w:kern w:val="0"/>
                <w:sz w:val="20"/>
                <w:szCs w:val="20"/>
                <w:lang w:val="ru-RU" w:eastAsia="x-none" w:bidi="ar-SA"/>
              </w:rPr>
              <w:t>-</w:t>
            </w:r>
            <w:r>
              <w:rPr>
                <w:kern w:val="0"/>
                <w:sz w:val="20"/>
                <w:szCs w:val="20"/>
                <w:lang w:val="en-US" w:eastAsia="x-none" w:bidi="ar-SA"/>
              </w:rPr>
              <w:t>II</w:t>
            </w:r>
            <w:r>
              <w:rPr>
                <w:kern w:val="0"/>
                <w:sz w:val="20"/>
                <w:szCs w:val="20"/>
                <w:lang w:val="ru-RU" w:eastAsia="x-none" w:bidi="ar-SA"/>
              </w:rPr>
              <w:t xml:space="preserve"> (согласно таблицам из приложения 2    ФЗ от 21.07.1997 № 116-ФЗ «О промышленной безопасности опасных производственных объектов»)</w:t>
            </w:r>
          </w:p>
        </w:tc>
        <w:tc>
          <w:tcPr>
            <w:tcW w:w="3923" w:type="dxa"/>
            <w:vMerge w:val="restart"/>
            <w:tcBorders/>
            <w:vAlign w:val="center"/>
          </w:tcPr>
          <w:p>
            <w:pPr>
              <w:pStyle w:val="Style72"/>
              <w:widowControl/>
              <w:spacing w:before="0" w:after="0"/>
              <w:ind w:left="0" w:right="0" w:firstLine="32"/>
              <w:jc w:val="center"/>
              <w:rPr>
                <w:sz w:val="20"/>
                <w:szCs w:val="20"/>
                <w:lang w:eastAsia="x-none"/>
              </w:rPr>
            </w:pPr>
            <w:r>
              <w:rPr>
                <w:kern w:val="0"/>
                <w:sz w:val="20"/>
                <w:szCs w:val="20"/>
                <w:lang w:val="ru-RU" w:eastAsia="x-none" w:bidi="ar-SA"/>
              </w:rPr>
              <w:t>Опасные производственные объекты, исходя из количества опасного вещества или опасных веществ, которые одновременно находятся или могут находиться на опасном производственном объекте</w:t>
            </w:r>
          </w:p>
        </w:tc>
        <w:tc>
          <w:tcPr>
            <w:tcW w:w="6127" w:type="dxa"/>
            <w:vMerge w:val="restart"/>
            <w:tcBorders/>
            <w:vAlign w:val="center"/>
          </w:tcPr>
          <w:p>
            <w:pPr>
              <w:pStyle w:val="Style72"/>
              <w:widowControl/>
              <w:spacing w:before="0" w:after="0"/>
              <w:ind w:left="0" w:right="0" w:hanging="0"/>
              <w:jc w:val="left"/>
              <w:rPr>
                <w:sz w:val="20"/>
                <w:szCs w:val="20"/>
                <w:lang w:eastAsia="x-none"/>
              </w:rPr>
            </w:pPr>
            <w:r>
              <w:rPr>
                <w:kern w:val="0"/>
                <w:sz w:val="20"/>
                <w:szCs w:val="20"/>
                <w:lang w:val="ru-RU" w:eastAsia="x-none" w:bidi="ar-SA"/>
              </w:rPr>
              <w:t>Наименование опасного вещества:</w:t>
            </w:r>
          </w:p>
          <w:p>
            <w:pPr>
              <w:pStyle w:val="Style72"/>
              <w:widowControl/>
              <w:numPr>
                <w:ilvl w:val="0"/>
                <w:numId w:val="52"/>
              </w:numPr>
              <w:spacing w:before="0" w:after="0"/>
              <w:ind w:left="593" w:right="0" w:hanging="0"/>
              <w:jc w:val="left"/>
              <w:rPr>
                <w:rFonts w:eastAsia="Calibri" w:eastAsiaTheme="minorHAnsi"/>
                <w:sz w:val="20"/>
                <w:szCs w:val="20"/>
                <w:lang w:eastAsia="en-US"/>
              </w:rPr>
            </w:pPr>
            <w:r>
              <w:rPr>
                <w:rFonts w:eastAsia="Calibri" w:eastAsiaTheme="minorHAnsi"/>
                <w:kern w:val="0"/>
                <w:sz w:val="20"/>
                <w:szCs w:val="20"/>
                <w:lang w:val="ru-RU" w:eastAsia="en-US" w:bidi="ar-SA"/>
              </w:rPr>
              <w:t>Аммиак;</w:t>
            </w:r>
          </w:p>
          <w:p>
            <w:pPr>
              <w:pStyle w:val="Style72"/>
              <w:widowControl/>
              <w:numPr>
                <w:ilvl w:val="0"/>
                <w:numId w:val="52"/>
              </w:numPr>
              <w:spacing w:before="0" w:after="0"/>
              <w:ind w:left="593" w:right="0" w:hanging="0"/>
              <w:jc w:val="left"/>
              <w:rPr>
                <w:rFonts w:eastAsia="Calibri" w:eastAsiaTheme="minorHAnsi"/>
                <w:sz w:val="20"/>
                <w:szCs w:val="20"/>
                <w:lang w:eastAsia="en-US"/>
              </w:rPr>
            </w:pPr>
            <w:r>
              <w:rPr>
                <w:rFonts w:eastAsia="Calibri" w:eastAsiaTheme="minorHAnsi"/>
                <w:kern w:val="0"/>
                <w:sz w:val="20"/>
                <w:szCs w:val="20"/>
                <w:lang w:val="ru-RU" w:eastAsia="en-US" w:bidi="ar-SA"/>
              </w:rPr>
              <w:t>Нитрат аммония;</w:t>
            </w:r>
          </w:p>
          <w:p>
            <w:pPr>
              <w:pStyle w:val="Style72"/>
              <w:widowControl/>
              <w:numPr>
                <w:ilvl w:val="0"/>
                <w:numId w:val="52"/>
              </w:numPr>
              <w:spacing w:before="0" w:after="0"/>
              <w:ind w:left="593" w:right="0" w:hanging="0"/>
              <w:jc w:val="left"/>
              <w:rPr>
                <w:rFonts w:eastAsia="Calibri" w:eastAsiaTheme="minorHAnsi"/>
                <w:sz w:val="20"/>
                <w:szCs w:val="20"/>
                <w:lang w:eastAsia="en-US"/>
              </w:rPr>
            </w:pPr>
            <w:r>
              <w:rPr>
                <w:rFonts w:eastAsia="Calibri" w:eastAsiaTheme="minorHAnsi"/>
                <w:kern w:val="0"/>
                <w:sz w:val="20"/>
                <w:szCs w:val="20"/>
                <w:lang w:val="ru-RU" w:eastAsia="en-US" w:bidi="ar-SA"/>
              </w:rPr>
              <w:t>Нитрат аммония в форме удобрений;</w:t>
            </w:r>
          </w:p>
          <w:p>
            <w:pPr>
              <w:pStyle w:val="ListParagraph"/>
              <w:widowControl/>
              <w:numPr>
                <w:ilvl w:val="0"/>
                <w:numId w:val="52"/>
              </w:numPr>
              <w:spacing w:lineRule="auto" w:line="240" w:before="0" w:after="0"/>
              <w:ind w:left="593" w:right="0" w:hanging="0"/>
              <w:contextualSpacing/>
              <w:jc w:val="left"/>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Акрилонитрил;</w:t>
            </w:r>
          </w:p>
          <w:p>
            <w:pPr>
              <w:pStyle w:val="ListParagraph"/>
              <w:widowControl/>
              <w:numPr>
                <w:ilvl w:val="0"/>
                <w:numId w:val="52"/>
              </w:numPr>
              <w:spacing w:lineRule="auto" w:line="240" w:before="0" w:after="0"/>
              <w:ind w:left="593" w:right="0" w:hanging="0"/>
              <w:contextualSpacing/>
              <w:jc w:val="left"/>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Хлор;</w:t>
            </w:r>
          </w:p>
          <w:p>
            <w:pPr>
              <w:pStyle w:val="ListParagraph"/>
              <w:widowControl/>
              <w:numPr>
                <w:ilvl w:val="0"/>
                <w:numId w:val="52"/>
              </w:numPr>
              <w:spacing w:lineRule="auto" w:line="240" w:before="0" w:after="0"/>
              <w:ind w:left="593" w:right="0" w:hanging="0"/>
              <w:contextualSpacing/>
              <w:jc w:val="left"/>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Оксид этилена;</w:t>
            </w:r>
          </w:p>
          <w:p>
            <w:pPr>
              <w:pStyle w:val="ListParagraph"/>
              <w:widowControl/>
              <w:numPr>
                <w:ilvl w:val="0"/>
                <w:numId w:val="52"/>
              </w:numPr>
              <w:spacing w:lineRule="auto" w:line="240" w:before="0" w:after="0"/>
              <w:ind w:left="593" w:right="0" w:hanging="0"/>
              <w:contextualSpacing/>
              <w:jc w:val="left"/>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Цианистый водород;</w:t>
            </w:r>
          </w:p>
          <w:p>
            <w:pPr>
              <w:pStyle w:val="ListParagraph"/>
              <w:widowControl/>
              <w:numPr>
                <w:ilvl w:val="0"/>
                <w:numId w:val="52"/>
              </w:numPr>
              <w:spacing w:lineRule="auto" w:line="240" w:before="0" w:after="0"/>
              <w:ind w:left="593" w:right="0" w:hanging="0"/>
              <w:contextualSpacing/>
              <w:jc w:val="left"/>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Фтористый водород;</w:t>
            </w:r>
          </w:p>
          <w:p>
            <w:pPr>
              <w:pStyle w:val="ListParagraph"/>
              <w:widowControl/>
              <w:numPr>
                <w:ilvl w:val="0"/>
                <w:numId w:val="52"/>
              </w:numPr>
              <w:spacing w:lineRule="auto" w:line="240" w:before="0" w:after="0"/>
              <w:ind w:left="593" w:right="0" w:hanging="0"/>
              <w:contextualSpacing/>
              <w:jc w:val="left"/>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Сернистый водород;</w:t>
            </w:r>
          </w:p>
          <w:p>
            <w:pPr>
              <w:pStyle w:val="ListParagraph"/>
              <w:widowControl/>
              <w:numPr>
                <w:ilvl w:val="0"/>
                <w:numId w:val="52"/>
              </w:numPr>
              <w:spacing w:lineRule="auto" w:line="240" w:before="0" w:after="0"/>
              <w:ind w:left="593" w:right="0" w:hanging="0"/>
              <w:contextualSpacing/>
              <w:jc w:val="left"/>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Триоксид серы;</w:t>
            </w:r>
          </w:p>
          <w:p>
            <w:pPr>
              <w:pStyle w:val="ListParagraph"/>
              <w:widowControl/>
              <w:numPr>
                <w:ilvl w:val="0"/>
                <w:numId w:val="52"/>
              </w:numPr>
              <w:spacing w:lineRule="auto" w:line="240" w:before="0" w:after="0"/>
              <w:ind w:left="593" w:right="0" w:hanging="0"/>
              <w:contextualSpacing/>
              <w:jc w:val="left"/>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Алкилы свинца;</w:t>
            </w:r>
          </w:p>
          <w:p>
            <w:pPr>
              <w:pStyle w:val="ListParagraph"/>
              <w:widowControl/>
              <w:numPr>
                <w:ilvl w:val="0"/>
                <w:numId w:val="52"/>
              </w:numPr>
              <w:spacing w:lineRule="auto" w:line="240" w:before="0" w:after="0"/>
              <w:ind w:left="593" w:right="0" w:hanging="0"/>
              <w:contextualSpacing/>
              <w:jc w:val="left"/>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Фосген;</w:t>
            </w:r>
          </w:p>
          <w:p>
            <w:pPr>
              <w:pStyle w:val="ListParagraph"/>
              <w:widowControl/>
              <w:numPr>
                <w:ilvl w:val="0"/>
                <w:numId w:val="52"/>
              </w:numPr>
              <w:spacing w:lineRule="auto" w:line="240" w:before="0" w:after="0"/>
              <w:ind w:left="593" w:right="0" w:hanging="0"/>
              <w:contextualSpacing/>
              <w:jc w:val="left"/>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Метилизоцианат.</w:t>
            </w:r>
          </w:p>
          <w:p>
            <w:pPr>
              <w:pStyle w:val="Style72"/>
              <w:widowControl/>
              <w:spacing w:before="0" w:after="0"/>
              <w:ind w:left="0" w:right="0" w:hanging="0"/>
              <w:jc w:val="center"/>
              <w:rPr>
                <w:sz w:val="20"/>
                <w:szCs w:val="20"/>
                <w:lang w:eastAsia="x-none"/>
              </w:rPr>
            </w:pPr>
            <w:r>
              <w:rPr>
                <w:kern w:val="0"/>
                <w:sz w:val="20"/>
                <w:szCs w:val="20"/>
                <w:lang w:val="ru-RU" w:eastAsia="x-none" w:bidi="ar-SA"/>
              </w:rPr>
              <w:t xml:space="preserve"> </w:t>
            </w:r>
          </w:p>
          <w:p>
            <w:pPr>
              <w:pStyle w:val="Style72"/>
              <w:widowControl/>
              <w:spacing w:before="0" w:after="0"/>
              <w:ind w:left="0" w:right="0" w:hanging="0"/>
              <w:jc w:val="left"/>
              <w:rPr>
                <w:sz w:val="20"/>
                <w:szCs w:val="20"/>
                <w:lang w:eastAsia="x-none"/>
              </w:rPr>
            </w:pPr>
            <w:r>
              <w:rPr>
                <w:kern w:val="0"/>
                <w:sz w:val="20"/>
                <w:szCs w:val="20"/>
                <w:lang w:val="ru-RU" w:eastAsia="x-none" w:bidi="ar-SA"/>
              </w:rPr>
              <w:t>Вид опасного вещества:</w:t>
            </w:r>
          </w:p>
          <w:p>
            <w:pPr>
              <w:pStyle w:val="ListParagraph"/>
              <w:widowControl/>
              <w:numPr>
                <w:ilvl w:val="0"/>
                <w:numId w:val="53"/>
              </w:numPr>
              <w:spacing w:lineRule="auto" w:line="240" w:before="0" w:after="0"/>
              <w:ind w:left="593" w:right="0" w:hanging="0"/>
              <w:contextualSpacing/>
              <w:jc w:val="left"/>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Воспламеняющиеся и горючие газы;</w:t>
            </w:r>
          </w:p>
          <w:p>
            <w:pPr>
              <w:pStyle w:val="ListParagraph"/>
              <w:widowControl/>
              <w:numPr>
                <w:ilvl w:val="0"/>
                <w:numId w:val="53"/>
              </w:numPr>
              <w:spacing w:lineRule="auto" w:line="240" w:before="0" w:after="0"/>
              <w:ind w:left="593" w:right="0" w:hanging="0"/>
              <w:contextualSpacing/>
              <w:jc w:val="left"/>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Горючие жидкости, используемые в технологическом процессе или транспортируемые по магистральному трубопроводу;</w:t>
            </w:r>
          </w:p>
          <w:p>
            <w:pPr>
              <w:pStyle w:val="ListParagraph"/>
              <w:widowControl/>
              <w:numPr>
                <w:ilvl w:val="0"/>
                <w:numId w:val="53"/>
              </w:numPr>
              <w:spacing w:lineRule="auto" w:line="240" w:before="0" w:after="0"/>
              <w:ind w:left="593" w:right="0" w:hanging="0"/>
              <w:contextualSpacing/>
              <w:jc w:val="left"/>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Токсичные вещества;</w:t>
            </w:r>
          </w:p>
          <w:p>
            <w:pPr>
              <w:pStyle w:val="ListParagraph"/>
              <w:widowControl/>
              <w:numPr>
                <w:ilvl w:val="0"/>
                <w:numId w:val="53"/>
              </w:numPr>
              <w:spacing w:lineRule="auto" w:line="240" w:before="0" w:after="0"/>
              <w:ind w:left="593" w:right="0" w:hanging="0"/>
              <w:contextualSpacing/>
              <w:jc w:val="left"/>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Высокотоксичные вещества;</w:t>
            </w:r>
          </w:p>
          <w:p>
            <w:pPr>
              <w:pStyle w:val="ListParagraph"/>
              <w:widowControl/>
              <w:numPr>
                <w:ilvl w:val="0"/>
                <w:numId w:val="53"/>
              </w:numPr>
              <w:spacing w:lineRule="auto" w:line="240" w:before="0" w:after="0"/>
              <w:ind w:left="593" w:right="0" w:hanging="0"/>
              <w:contextualSpacing/>
              <w:jc w:val="left"/>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Окисляющие вещества;</w:t>
            </w:r>
          </w:p>
          <w:p>
            <w:pPr>
              <w:pStyle w:val="ListParagraph"/>
              <w:widowControl/>
              <w:numPr>
                <w:ilvl w:val="0"/>
                <w:numId w:val="53"/>
              </w:numPr>
              <w:spacing w:lineRule="auto" w:line="240" w:before="0" w:after="0"/>
              <w:ind w:left="593" w:right="0" w:hanging="0"/>
              <w:contextualSpacing/>
              <w:jc w:val="left"/>
              <w:rPr>
                <w:rFonts w:ascii="Times New Roman" w:hAnsi="Times New Roman" w:cs="Times New Roman"/>
                <w:sz w:val="20"/>
                <w:szCs w:val="20"/>
              </w:rPr>
            </w:pPr>
            <w:r>
              <w:rPr>
                <w:rFonts w:eastAsia="Calibri" w:cs="Times New Roman" w:ascii="Times New Roman" w:hAnsi="Times New Roman"/>
                <w:kern w:val="0"/>
                <w:sz w:val="20"/>
                <w:szCs w:val="20"/>
                <w:lang w:val="ru-RU" w:eastAsia="en-US" w:bidi="ar-SA"/>
              </w:rPr>
              <w:t>Взрывчатые вещества;</w:t>
            </w:r>
          </w:p>
          <w:p>
            <w:pPr>
              <w:pStyle w:val="ListParagraph"/>
              <w:widowControl/>
              <w:numPr>
                <w:ilvl w:val="0"/>
                <w:numId w:val="53"/>
              </w:numPr>
              <w:spacing w:lineRule="auto" w:line="240" w:before="0" w:after="0"/>
              <w:ind w:left="593" w:right="0" w:hanging="0"/>
              <w:contextualSpacing/>
              <w:jc w:val="left"/>
              <w:rPr>
                <w:sz w:val="20"/>
                <w:szCs w:val="20"/>
                <w:lang w:eastAsia="x-none"/>
              </w:rPr>
            </w:pPr>
            <w:r>
              <w:rPr>
                <w:rFonts w:eastAsia="Calibri" w:cs="Times New Roman" w:ascii="Times New Roman" w:hAnsi="Times New Roman"/>
                <w:kern w:val="0"/>
                <w:sz w:val="20"/>
                <w:szCs w:val="20"/>
                <w:lang w:val="ru-RU" w:eastAsia="en-US" w:bidi="ar-SA"/>
              </w:rPr>
              <w:t>Вещества, представляющие опасность для окружающей среды.</w:t>
            </w:r>
          </w:p>
        </w:tc>
        <w:tc>
          <w:tcPr>
            <w:tcW w:w="2263" w:type="dxa"/>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t>-</w:t>
            </w:r>
          </w:p>
        </w:tc>
      </w:tr>
      <w:tr>
        <w:trPr>
          <w:trHeight w:val="4087" w:hRule="atLeast"/>
        </w:trPr>
        <w:tc>
          <w:tcPr>
            <w:tcW w:w="451" w:type="dxa"/>
            <w:vMerge w:val="restart"/>
            <w:tcBorders/>
            <w:textDirection w:val="btLr"/>
            <w:vAlign w:val="center"/>
          </w:tcPr>
          <w:p>
            <w:pPr>
              <w:pStyle w:val="Style72"/>
              <w:widowControl/>
              <w:spacing w:before="0" w:after="0"/>
              <w:ind w:left="113" w:right="113" w:firstLine="709"/>
              <w:jc w:val="center"/>
              <w:rPr>
                <w:sz w:val="20"/>
                <w:szCs w:val="20"/>
                <w:lang w:eastAsia="x-none"/>
              </w:rPr>
            </w:pPr>
            <w:r>
              <w:rPr>
                <w:kern w:val="0"/>
                <w:sz w:val="20"/>
                <w:szCs w:val="20"/>
                <w:lang w:val="ru-RU" w:eastAsia="x-none" w:bidi="ar-SA"/>
              </w:rPr>
              <w:t>Опасные  объекты</w:t>
            </w:r>
          </w:p>
        </w:tc>
        <w:tc>
          <w:tcPr>
            <w:tcW w:w="1814" w:type="dxa"/>
            <w:tcBorders/>
            <w:vAlign w:val="center"/>
          </w:tcPr>
          <w:p>
            <w:pPr>
              <w:pStyle w:val="Style72"/>
              <w:widowControl/>
              <w:spacing w:before="0" w:after="0"/>
              <w:ind w:left="0" w:right="0" w:hanging="0"/>
              <w:jc w:val="center"/>
              <w:rPr>
                <w:sz w:val="20"/>
                <w:szCs w:val="20"/>
                <w:lang w:eastAsia="x-none"/>
              </w:rPr>
            </w:pPr>
            <w:r>
              <w:rPr>
                <w:kern w:val="0"/>
                <w:sz w:val="20"/>
                <w:szCs w:val="20"/>
                <w:lang w:val="en-US" w:eastAsia="x-none" w:bidi="ar-SA"/>
              </w:rPr>
              <w:t>III</w:t>
            </w:r>
            <w:r>
              <w:rPr>
                <w:kern w:val="0"/>
                <w:sz w:val="20"/>
                <w:szCs w:val="20"/>
                <w:lang w:val="ru-RU" w:eastAsia="x-none" w:bidi="ar-SA"/>
              </w:rPr>
              <w:t>-</w:t>
            </w:r>
            <w:r>
              <w:rPr>
                <w:kern w:val="0"/>
                <w:sz w:val="20"/>
                <w:szCs w:val="20"/>
                <w:lang w:val="en-US" w:eastAsia="x-none" w:bidi="ar-SA"/>
              </w:rPr>
              <w:t>IV</w:t>
            </w:r>
            <w:r>
              <w:rPr>
                <w:kern w:val="0"/>
                <w:sz w:val="20"/>
                <w:szCs w:val="20"/>
                <w:lang w:val="ru-RU" w:eastAsia="x-none" w:bidi="ar-SA"/>
              </w:rPr>
              <w:t xml:space="preserve"> (согласно таблицам из приложения 2    ФЗ от 21.07.1997 № 116-ФЗ «О промышленной безопасности опасных производственных объектов»)</w:t>
            </w:r>
          </w:p>
        </w:tc>
        <w:tc>
          <w:tcPr>
            <w:tcW w:w="3923" w:type="dxa"/>
            <w:vMerge w:val="continue"/>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r>
          </w:p>
        </w:tc>
        <w:tc>
          <w:tcPr>
            <w:tcW w:w="6127" w:type="dxa"/>
            <w:vMerge w:val="continue"/>
            <w:tcBorders/>
            <w:vAlign w:val="center"/>
          </w:tcPr>
          <w:p>
            <w:pPr>
              <w:pStyle w:val="Style72"/>
              <w:widowControl/>
              <w:spacing w:before="0" w:after="0"/>
              <w:jc w:val="center"/>
              <w:rPr>
                <w:sz w:val="20"/>
                <w:szCs w:val="20"/>
                <w:lang w:eastAsia="x-none"/>
              </w:rPr>
            </w:pPr>
            <w:r>
              <w:rPr>
                <w:kern w:val="0"/>
                <w:sz w:val="20"/>
                <w:szCs w:val="20"/>
                <w:lang w:val="ru-RU" w:eastAsia="x-none" w:bidi="ar-SA"/>
              </w:rPr>
            </w:r>
          </w:p>
        </w:tc>
        <w:tc>
          <w:tcPr>
            <w:tcW w:w="2263" w:type="dxa"/>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t>+</w:t>
            </w:r>
          </w:p>
        </w:tc>
      </w:tr>
      <w:tr>
        <w:trPr>
          <w:trHeight w:val="120" w:hRule="atLeast"/>
        </w:trPr>
        <w:tc>
          <w:tcPr>
            <w:tcW w:w="451" w:type="dxa"/>
            <w:vMerge w:val="continue"/>
            <w:tcBorders/>
            <w:textDirection w:val="btLr"/>
            <w:vAlign w:val="center"/>
          </w:tcPr>
          <w:p>
            <w:pPr>
              <w:pStyle w:val="Style72"/>
              <w:widowControl/>
              <w:spacing w:before="0" w:after="0"/>
              <w:ind w:left="113" w:right="113" w:hanging="0"/>
              <w:jc w:val="center"/>
              <w:rPr>
                <w:sz w:val="20"/>
                <w:szCs w:val="20"/>
                <w:lang w:eastAsia="x-none"/>
              </w:rPr>
            </w:pPr>
            <w:r>
              <w:rPr>
                <w:kern w:val="0"/>
                <w:sz w:val="20"/>
                <w:szCs w:val="20"/>
                <w:lang w:val="ru-RU" w:eastAsia="x-none" w:bidi="ar-SA"/>
              </w:rPr>
            </w:r>
          </w:p>
        </w:tc>
        <w:tc>
          <w:tcPr>
            <w:tcW w:w="1814" w:type="dxa"/>
            <w:tcBorders/>
            <w:vAlign w:val="center"/>
          </w:tcPr>
          <w:p>
            <w:pPr>
              <w:pStyle w:val="Style72"/>
              <w:widowControl/>
              <w:spacing w:before="0" w:after="0"/>
              <w:ind w:left="0" w:right="0" w:hanging="0"/>
              <w:jc w:val="center"/>
              <w:rPr>
                <w:sz w:val="20"/>
                <w:szCs w:val="20"/>
                <w:lang w:val="en-US" w:eastAsia="x-none"/>
              </w:rPr>
            </w:pPr>
            <w:r>
              <w:rPr>
                <w:kern w:val="0"/>
                <w:sz w:val="20"/>
                <w:szCs w:val="20"/>
                <w:lang w:val="en-US" w:eastAsia="x-none" w:bidi="ar-SA"/>
              </w:rPr>
              <w:t>III</w:t>
            </w:r>
          </w:p>
        </w:tc>
        <w:tc>
          <w:tcPr>
            <w:tcW w:w="3923" w:type="dxa"/>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t>Объекты, на которых осуществляется хранение или переработка растительного сырья, в процессе которых образуются взрывоопасные пылевоздушные смеси, способные самовозгораться, возгораться от источника зажигания и самостоятельно гореть после его удаления, а также осуществляется хранение зерна, продуктов его переработки и комбикормового сырья, склонных к самосогреванию и самовозгоранию</w:t>
            </w:r>
          </w:p>
        </w:tc>
        <w:tc>
          <w:tcPr>
            <w:tcW w:w="6127" w:type="dxa"/>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t>Элеваторы, опасные производственные объекты мукомольного, крупяного и комбикормового производства</w:t>
            </w:r>
          </w:p>
        </w:tc>
        <w:tc>
          <w:tcPr>
            <w:tcW w:w="2263" w:type="dxa"/>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t>+</w:t>
            </w:r>
          </w:p>
        </w:tc>
      </w:tr>
      <w:tr>
        <w:trPr>
          <w:trHeight w:val="120" w:hRule="atLeast"/>
        </w:trPr>
        <w:tc>
          <w:tcPr>
            <w:tcW w:w="451" w:type="dxa"/>
            <w:vMerge w:val="continue"/>
            <w:tcBorders/>
            <w:textDirection w:val="btLr"/>
            <w:vAlign w:val="center"/>
          </w:tcPr>
          <w:p>
            <w:pPr>
              <w:pStyle w:val="Style72"/>
              <w:widowControl/>
              <w:spacing w:before="0" w:after="0"/>
              <w:ind w:left="113" w:right="113" w:hanging="0"/>
              <w:jc w:val="center"/>
              <w:rPr>
                <w:sz w:val="20"/>
                <w:szCs w:val="20"/>
                <w:lang w:eastAsia="x-none"/>
              </w:rPr>
            </w:pPr>
            <w:r>
              <w:rPr>
                <w:kern w:val="0"/>
                <w:sz w:val="20"/>
                <w:szCs w:val="20"/>
                <w:lang w:val="ru-RU" w:eastAsia="x-none" w:bidi="ar-SA"/>
              </w:rPr>
            </w:r>
          </w:p>
        </w:tc>
        <w:tc>
          <w:tcPr>
            <w:tcW w:w="1814" w:type="dxa"/>
            <w:vMerge w:val="restart"/>
            <w:tcBorders/>
            <w:vAlign w:val="center"/>
          </w:tcPr>
          <w:p>
            <w:pPr>
              <w:pStyle w:val="Style72"/>
              <w:widowControl/>
              <w:spacing w:before="0" w:after="0"/>
              <w:ind w:left="0" w:right="0" w:hanging="0"/>
              <w:jc w:val="center"/>
              <w:rPr>
                <w:sz w:val="20"/>
                <w:szCs w:val="20"/>
                <w:lang w:val="en-US" w:eastAsia="x-none"/>
              </w:rPr>
            </w:pPr>
            <w:r>
              <w:rPr>
                <w:kern w:val="0"/>
                <w:sz w:val="20"/>
                <w:szCs w:val="20"/>
                <w:lang w:val="en-US" w:eastAsia="x-none" w:bidi="ar-SA"/>
              </w:rPr>
              <w:t>III</w:t>
            </w:r>
          </w:p>
        </w:tc>
        <w:tc>
          <w:tcPr>
            <w:tcW w:w="3923" w:type="dxa"/>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t>Опасные производственные объекты бурения и добычи нефти, газа и газового конденсата</w:t>
            </w:r>
          </w:p>
        </w:tc>
        <w:tc>
          <w:tcPr>
            <w:tcW w:w="6127" w:type="dxa"/>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t>Опасные в части выбросов продукции с содержанием сернистого водорода от 1 процента до 6 процентов объема такой продукции</w:t>
            </w:r>
          </w:p>
        </w:tc>
        <w:tc>
          <w:tcPr>
            <w:tcW w:w="2263" w:type="dxa"/>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t>-</w:t>
            </w:r>
          </w:p>
        </w:tc>
      </w:tr>
      <w:tr>
        <w:trPr>
          <w:trHeight w:val="105" w:hRule="atLeast"/>
        </w:trPr>
        <w:tc>
          <w:tcPr>
            <w:tcW w:w="451" w:type="dxa"/>
            <w:vMerge w:val="continue"/>
            <w:tcBorders/>
            <w:textDirection w:val="btLr"/>
            <w:vAlign w:val="center"/>
          </w:tcPr>
          <w:p>
            <w:pPr>
              <w:pStyle w:val="Style72"/>
              <w:widowControl/>
              <w:spacing w:before="0" w:after="0"/>
              <w:ind w:left="113" w:right="113" w:hanging="0"/>
              <w:jc w:val="center"/>
              <w:rPr>
                <w:sz w:val="20"/>
                <w:szCs w:val="20"/>
                <w:lang w:eastAsia="x-none"/>
              </w:rPr>
            </w:pPr>
            <w:r>
              <w:rPr>
                <w:kern w:val="0"/>
                <w:sz w:val="20"/>
                <w:szCs w:val="20"/>
                <w:lang w:val="ru-RU" w:eastAsia="x-none" w:bidi="ar-SA"/>
              </w:rPr>
            </w:r>
          </w:p>
        </w:tc>
        <w:tc>
          <w:tcPr>
            <w:tcW w:w="1814" w:type="dxa"/>
            <w:vMerge w:val="continue"/>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r>
          </w:p>
        </w:tc>
        <w:tc>
          <w:tcPr>
            <w:tcW w:w="3923" w:type="dxa"/>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t>Газораспределительные станции, сети газораспределения и сети газопотребления</w:t>
            </w:r>
          </w:p>
        </w:tc>
        <w:tc>
          <w:tcPr>
            <w:tcW w:w="6127" w:type="dxa"/>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t>Предназначенные для транспортировки природного газа под давлением свыше 0,005 мегапаскаля до 1,2 мегапаскаля включительно или сжиженного углеводородного газа под давлением свыше 0,005 мегапаскаля до 1,6 мегапаскаля включительно.</w:t>
            </w:r>
          </w:p>
        </w:tc>
        <w:tc>
          <w:tcPr>
            <w:tcW w:w="2263" w:type="dxa"/>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t>+</w:t>
            </w:r>
          </w:p>
        </w:tc>
      </w:tr>
      <w:tr>
        <w:trPr>
          <w:trHeight w:val="1348" w:hRule="atLeast"/>
        </w:trPr>
        <w:tc>
          <w:tcPr>
            <w:tcW w:w="451" w:type="dxa"/>
            <w:vMerge w:val="continue"/>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r>
          </w:p>
        </w:tc>
        <w:tc>
          <w:tcPr>
            <w:tcW w:w="1814" w:type="dxa"/>
            <w:tcBorders/>
            <w:vAlign w:val="center"/>
          </w:tcPr>
          <w:p>
            <w:pPr>
              <w:pStyle w:val="Style72"/>
              <w:widowControl/>
              <w:spacing w:before="0" w:after="0"/>
              <w:ind w:left="0" w:right="0" w:hanging="0"/>
              <w:jc w:val="center"/>
              <w:rPr>
                <w:sz w:val="20"/>
                <w:szCs w:val="20"/>
                <w:lang w:val="en-US" w:eastAsia="x-none"/>
              </w:rPr>
            </w:pPr>
            <w:r>
              <w:rPr>
                <w:kern w:val="0"/>
                <w:sz w:val="20"/>
                <w:szCs w:val="20"/>
                <w:lang w:val="en-US" w:eastAsia="x-none" w:bidi="ar-SA"/>
              </w:rPr>
              <w:t>IV</w:t>
            </w:r>
          </w:p>
        </w:tc>
        <w:tc>
          <w:tcPr>
            <w:tcW w:w="3923" w:type="dxa"/>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t>Опасные производственные объекты бурения и добычи нефти, газа и газового конденсата</w:t>
            </w:r>
          </w:p>
        </w:tc>
        <w:tc>
          <w:tcPr>
            <w:tcW w:w="6127" w:type="dxa"/>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t>Опасные в части выбросов продукции с содержанием сернистого водорода до 1 процента объема такой продукции</w:t>
            </w:r>
          </w:p>
        </w:tc>
        <w:tc>
          <w:tcPr>
            <w:tcW w:w="2263" w:type="dxa"/>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t>-</w:t>
            </w:r>
          </w:p>
        </w:tc>
      </w:tr>
      <w:tr>
        <w:trPr>
          <w:trHeight w:val="1348" w:hRule="atLeast"/>
        </w:trPr>
        <w:tc>
          <w:tcPr>
            <w:tcW w:w="451" w:type="dxa"/>
            <w:vMerge w:val="continue"/>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r>
          </w:p>
        </w:tc>
        <w:tc>
          <w:tcPr>
            <w:tcW w:w="1814" w:type="dxa"/>
            <w:tcBorders/>
            <w:vAlign w:val="center"/>
          </w:tcPr>
          <w:p>
            <w:pPr>
              <w:pStyle w:val="Style72"/>
              <w:widowControl/>
              <w:spacing w:before="0" w:after="0"/>
              <w:ind w:left="0" w:right="0" w:hanging="0"/>
              <w:jc w:val="center"/>
              <w:rPr>
                <w:sz w:val="20"/>
                <w:szCs w:val="20"/>
                <w:lang w:val="en-US" w:eastAsia="x-none"/>
              </w:rPr>
            </w:pPr>
            <w:r>
              <w:rPr>
                <w:kern w:val="0"/>
                <w:sz w:val="20"/>
                <w:szCs w:val="20"/>
                <w:lang w:val="en-US" w:eastAsia="x-none" w:bidi="ar-SA"/>
              </w:rPr>
              <w:t>IV</w:t>
            </w:r>
          </w:p>
        </w:tc>
        <w:tc>
          <w:tcPr>
            <w:tcW w:w="3923" w:type="dxa"/>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t>Объекты, на которых осуществляется хранение или переработка растительного сырья, в процессе которых образуются взрывоопасные пылевоздушные смеси, способные самовозгораться, возгораться от источника зажигания и самостоятельно гореть после его удаления, а также осуществляется хранение зерна, продуктов его переработки и комбикормового сырья, склонных к самосогреванию и самовозгоранию</w:t>
            </w:r>
          </w:p>
        </w:tc>
        <w:tc>
          <w:tcPr>
            <w:tcW w:w="6127" w:type="dxa"/>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t>Иные опасные производственные объекты (объекты хранения растительного сырья)</w:t>
            </w:r>
          </w:p>
        </w:tc>
        <w:tc>
          <w:tcPr>
            <w:tcW w:w="2263" w:type="dxa"/>
            <w:tcBorders/>
            <w:vAlign w:val="center"/>
          </w:tcPr>
          <w:p>
            <w:pPr>
              <w:pStyle w:val="Style72"/>
              <w:widowControl/>
              <w:spacing w:before="0" w:after="0"/>
              <w:ind w:left="0" w:right="0" w:hanging="0"/>
              <w:jc w:val="center"/>
              <w:rPr>
                <w:sz w:val="20"/>
                <w:szCs w:val="20"/>
                <w:lang w:eastAsia="x-none"/>
              </w:rPr>
            </w:pPr>
            <w:r>
              <w:rPr>
                <w:kern w:val="0"/>
                <w:sz w:val="20"/>
                <w:szCs w:val="20"/>
                <w:lang w:val="ru-RU" w:eastAsia="x-none" w:bidi="ar-SA"/>
              </w:rPr>
              <w:t>-</w:t>
            </w:r>
          </w:p>
        </w:tc>
      </w:tr>
    </w:tbl>
    <w:p>
      <w:pPr>
        <w:pStyle w:val="Style72"/>
        <w:rPr>
          <w:sz w:val="18"/>
          <w:szCs w:val="22"/>
        </w:rPr>
      </w:pPr>
      <w:r>
        <w:rPr>
          <w:sz w:val="18"/>
          <w:szCs w:val="22"/>
          <w:lang w:eastAsia="x-none"/>
        </w:rPr>
        <w:t>*Примечания:</w:t>
      </w:r>
      <w:r>
        <w:rPr>
          <w:sz w:val="18"/>
          <w:szCs w:val="22"/>
        </w:rPr>
        <w:t xml:space="preserve"> </w:t>
      </w:r>
    </w:p>
    <w:p>
      <w:pPr>
        <w:pStyle w:val="Style72"/>
        <w:rPr>
          <w:sz w:val="18"/>
          <w:szCs w:val="22"/>
          <w:lang w:eastAsia="x-none"/>
        </w:rPr>
      </w:pPr>
      <w:r>
        <w:rPr>
          <w:sz w:val="18"/>
          <w:szCs w:val="22"/>
        </w:rPr>
        <w:t xml:space="preserve">1) </w:t>
      </w:r>
      <w:r>
        <w:rPr>
          <w:sz w:val="18"/>
          <w:szCs w:val="22"/>
          <w:lang w:eastAsia="x-none"/>
        </w:rPr>
        <w:t xml:space="preserve">В случае, если для опасного производственного объекта, указанного в таблице, критериями могут быть установлены разные классы опасности, устанавливается наиболее высокий класс опасности. </w:t>
      </w:r>
    </w:p>
    <w:p>
      <w:pPr>
        <w:sectPr>
          <w:footerReference w:type="default" r:id="rId92"/>
          <w:footerReference w:type="first" r:id="rId93"/>
          <w:footnotePr>
            <w:numFmt w:val="decimal"/>
          </w:footnotePr>
          <w:type w:val="nextPage"/>
          <w:pgSz w:orient="landscape" w:w="16838" w:h="11906"/>
          <w:pgMar w:left="851" w:right="851" w:gutter="0" w:header="0" w:top="1134" w:footer="709" w:bottom="851"/>
          <w:pgNumType w:fmt="decimal"/>
          <w:formProt w:val="false"/>
          <w:textDirection w:val="lrTb"/>
          <w:docGrid w:type="default" w:linePitch="360" w:charSpace="4294959103"/>
        </w:sectPr>
        <w:pStyle w:val="Style72"/>
        <w:rPr>
          <w:sz w:val="18"/>
          <w:szCs w:val="22"/>
          <w:lang w:eastAsia="x-none"/>
        </w:rPr>
      </w:pPr>
      <w:r>
        <w:rPr>
          <w:sz w:val="18"/>
          <w:szCs w:val="22"/>
          <w:lang w:eastAsia="x-none"/>
        </w:rPr>
        <w:t>2)</w:t>
      </w:r>
      <w:r>
        <w:rPr>
          <w:sz w:val="18"/>
          <w:szCs w:val="22"/>
        </w:rPr>
        <w:t xml:space="preserve"> </w:t>
      </w:r>
      <w:r>
        <w:rPr>
          <w:sz w:val="18"/>
          <w:szCs w:val="22"/>
          <w:lang w:eastAsia="x-none"/>
        </w:rPr>
        <w:t xml:space="preserve">В случае, если опасный производственный объект, указанный в таблице, расположен на землях особо охраняемых природных территорий, на искусственном земельном участке, созданном на водном объекте, находящемся в федеральной собственности, для такого опасного производственного объекта устанавливается более высокий класс опасности соответственно. </w:t>
      </w:r>
    </w:p>
    <w:p>
      <w:pPr>
        <w:pStyle w:val="Normal"/>
        <w:spacing w:lineRule="auto" w:line="240" w:before="0" w:after="0"/>
        <w:ind w:firstLine="709"/>
        <w:jc w:val="both"/>
        <w:rPr>
          <w:rFonts w:ascii="Times New Roman" w:hAnsi="Times New Roman" w:eastAsia="Times New Roman" w:cs="Times New Roman"/>
          <w:sz w:val="28"/>
          <w:szCs w:val="28"/>
          <w:lang w:eastAsia="x-none"/>
        </w:rPr>
      </w:pPr>
      <w:r>
        <w:rPr>
          <w:rFonts w:eastAsia="Times New Roman" w:cs="Times New Roman" w:ascii="Times New Roman" w:hAnsi="Times New Roman"/>
          <w:i/>
          <w:sz w:val="28"/>
          <w:szCs w:val="28"/>
          <w:lang w:eastAsia="x-none"/>
        </w:rPr>
        <w:t xml:space="preserve">Магистральные трубопроводы. Сеть газоснабжения. </w:t>
      </w:r>
      <w:r>
        <w:rPr>
          <w:rFonts w:eastAsia="Times New Roman" w:cs="Times New Roman" w:ascii="Times New Roman" w:hAnsi="Times New Roman"/>
          <w:sz w:val="28"/>
          <w:szCs w:val="28"/>
          <w:lang w:eastAsia="x-none"/>
        </w:rPr>
        <w:t xml:space="preserve">Для населения магистральные трубопроводы наиболее опасны в местах и на участках их пересечения с транспортными магистралями, для природы – в местах перехода трубопроводов через водные преграды (такие участки трасс отмечены на картографических материалах). </w:t>
      </w:r>
    </w:p>
    <w:p>
      <w:pPr>
        <w:pStyle w:val="Normal"/>
        <w:spacing w:lineRule="auto" w:line="240" w:before="0" w:after="0"/>
        <w:ind w:firstLine="709"/>
        <w:jc w:val="both"/>
        <w:rPr>
          <w:rFonts w:ascii="Times New Roman" w:hAnsi="Times New Roman" w:eastAsia="Times New Roman" w:cs="Times New Roman"/>
          <w:sz w:val="28"/>
          <w:szCs w:val="28"/>
          <w:lang w:eastAsia="x-none"/>
        </w:rPr>
      </w:pPr>
      <w:r>
        <w:rPr>
          <w:rFonts w:eastAsia="Times New Roman" w:cs="Times New Roman" w:ascii="Times New Roman" w:hAnsi="Times New Roman"/>
          <w:sz w:val="28"/>
          <w:szCs w:val="28"/>
          <w:lang w:eastAsia="x-none"/>
        </w:rPr>
        <w:t>Причинами аварий на магистральных и распределительных трубопроводах могут стать:</w:t>
      </w:r>
    </w:p>
    <w:p>
      <w:pPr>
        <w:pStyle w:val="ListParagraph"/>
        <w:numPr>
          <w:ilvl w:val="0"/>
          <w:numId w:val="54"/>
        </w:numPr>
        <w:spacing w:lineRule="auto" w:line="240" w:before="0" w:after="0"/>
        <w:ind w:left="720" w:firstLine="273"/>
        <w:contextualSpacing/>
        <w:jc w:val="both"/>
        <w:rPr>
          <w:rFonts w:ascii="Times New Roman" w:hAnsi="Times New Roman" w:eastAsia="Times New Roman" w:cs="Times New Roman"/>
          <w:sz w:val="28"/>
          <w:szCs w:val="28"/>
          <w:lang w:eastAsia="x-none"/>
        </w:rPr>
      </w:pPr>
      <w:r>
        <w:rPr>
          <w:rFonts w:eastAsia="Times New Roman" w:cs="Times New Roman" w:ascii="Times New Roman" w:hAnsi="Times New Roman"/>
          <w:sz w:val="28"/>
          <w:szCs w:val="28"/>
          <w:lang w:eastAsia="x-none"/>
        </w:rPr>
        <w:t>заводской брак;</w:t>
      </w:r>
    </w:p>
    <w:p>
      <w:pPr>
        <w:pStyle w:val="ListParagraph"/>
        <w:numPr>
          <w:ilvl w:val="0"/>
          <w:numId w:val="54"/>
        </w:numPr>
        <w:spacing w:lineRule="auto" w:line="240" w:before="0" w:after="0"/>
        <w:ind w:left="720" w:firstLine="273"/>
        <w:contextualSpacing/>
        <w:jc w:val="both"/>
        <w:rPr>
          <w:rFonts w:ascii="Times New Roman" w:hAnsi="Times New Roman" w:eastAsia="Times New Roman" w:cs="Times New Roman"/>
          <w:sz w:val="28"/>
          <w:szCs w:val="28"/>
          <w:lang w:eastAsia="x-none"/>
        </w:rPr>
      </w:pPr>
      <w:r>
        <w:rPr>
          <w:rFonts w:eastAsia="Times New Roman" w:cs="Times New Roman" w:ascii="Times New Roman" w:hAnsi="Times New Roman"/>
          <w:sz w:val="28"/>
          <w:szCs w:val="28"/>
          <w:lang w:eastAsia="x-none"/>
        </w:rPr>
        <w:t>брак при производстве строительно-монтажных работ;</w:t>
      </w:r>
    </w:p>
    <w:p>
      <w:pPr>
        <w:pStyle w:val="ListParagraph"/>
        <w:numPr>
          <w:ilvl w:val="0"/>
          <w:numId w:val="54"/>
        </w:numPr>
        <w:spacing w:lineRule="auto" w:line="240" w:before="0" w:after="0"/>
        <w:ind w:left="720" w:firstLine="273"/>
        <w:contextualSpacing/>
        <w:jc w:val="both"/>
        <w:rPr>
          <w:rFonts w:ascii="Times New Roman" w:hAnsi="Times New Roman" w:eastAsia="Times New Roman" w:cs="Times New Roman"/>
          <w:sz w:val="28"/>
          <w:szCs w:val="28"/>
          <w:lang w:eastAsia="x-none"/>
        </w:rPr>
      </w:pPr>
      <w:r>
        <w:rPr>
          <w:rFonts w:eastAsia="Times New Roman" w:cs="Times New Roman" w:ascii="Times New Roman" w:hAnsi="Times New Roman"/>
          <w:sz w:val="28"/>
          <w:szCs w:val="28"/>
          <w:lang w:eastAsia="x-none"/>
        </w:rPr>
        <w:t xml:space="preserve">нарушение правил эксплуатации оборудования; </w:t>
      </w:r>
    </w:p>
    <w:p>
      <w:pPr>
        <w:pStyle w:val="ListParagraph"/>
        <w:numPr>
          <w:ilvl w:val="0"/>
          <w:numId w:val="54"/>
        </w:numPr>
        <w:spacing w:lineRule="auto" w:line="240" w:before="0" w:after="0"/>
        <w:ind w:left="720" w:firstLine="273"/>
        <w:contextualSpacing/>
        <w:jc w:val="both"/>
        <w:rPr>
          <w:rFonts w:ascii="Times New Roman" w:hAnsi="Times New Roman" w:eastAsia="Times New Roman" w:cs="Times New Roman"/>
          <w:sz w:val="28"/>
          <w:szCs w:val="28"/>
          <w:lang w:eastAsia="x-none"/>
        </w:rPr>
      </w:pPr>
      <w:r>
        <w:rPr>
          <w:rFonts w:eastAsia="Times New Roman" w:cs="Times New Roman" w:ascii="Times New Roman" w:hAnsi="Times New Roman"/>
          <w:sz w:val="28"/>
          <w:szCs w:val="28"/>
          <w:lang w:eastAsia="x-none"/>
        </w:rPr>
        <w:t>разгерметизация, механические, коррозионные повреждения и износ оборудования, повреждения в результате опасных природных явлений;</w:t>
      </w:r>
    </w:p>
    <w:p>
      <w:pPr>
        <w:pStyle w:val="ListParagraph"/>
        <w:numPr>
          <w:ilvl w:val="0"/>
          <w:numId w:val="54"/>
        </w:numPr>
        <w:spacing w:lineRule="auto" w:line="240" w:before="0" w:after="0"/>
        <w:ind w:left="720" w:firstLine="273"/>
        <w:contextualSpacing/>
        <w:jc w:val="both"/>
        <w:rPr>
          <w:rFonts w:ascii="Times New Roman" w:hAnsi="Times New Roman" w:eastAsia="Times New Roman" w:cs="Times New Roman"/>
          <w:sz w:val="28"/>
          <w:szCs w:val="28"/>
          <w:lang w:eastAsia="x-none"/>
        </w:rPr>
      </w:pPr>
      <w:r>
        <w:rPr>
          <w:rFonts w:eastAsia="Times New Roman" w:cs="Times New Roman" w:ascii="Times New Roman" w:hAnsi="Times New Roman"/>
          <w:sz w:val="28"/>
          <w:szCs w:val="28"/>
          <w:lang w:eastAsia="x-none"/>
        </w:rPr>
        <w:t>несоблюдение режима охранных зон и зон минимальных расстояний.</w:t>
      </w:r>
    </w:p>
    <w:p>
      <w:pPr>
        <w:pStyle w:val="Normal"/>
        <w:spacing w:lineRule="auto" w:line="240" w:before="0" w:after="0"/>
        <w:ind w:firstLine="709"/>
        <w:jc w:val="both"/>
        <w:rPr>
          <w:rFonts w:ascii="Times New Roman" w:hAnsi="Times New Roman" w:eastAsia="Times New Roman" w:cs="Times New Roman"/>
          <w:sz w:val="28"/>
          <w:szCs w:val="28"/>
          <w:lang w:eastAsia="x-none"/>
        </w:rPr>
      </w:pPr>
      <w:r>
        <w:rPr>
          <w:rFonts w:eastAsia="Times New Roman" w:cs="Times New Roman" w:ascii="Times New Roman" w:hAnsi="Times New Roman"/>
          <w:sz w:val="28"/>
          <w:szCs w:val="28"/>
          <w:lang w:eastAsia="x-none"/>
        </w:rPr>
        <w:t>Опасными производственными факторами трубопроводов являются:</w:t>
      </w:r>
    </w:p>
    <w:p>
      <w:pPr>
        <w:pStyle w:val="ListParagraph"/>
        <w:numPr>
          <w:ilvl w:val="0"/>
          <w:numId w:val="55"/>
        </w:numPr>
        <w:spacing w:lineRule="auto" w:line="240" w:before="0" w:after="0"/>
        <w:contextualSpacing/>
        <w:jc w:val="both"/>
        <w:rPr>
          <w:rFonts w:ascii="Times New Roman" w:hAnsi="Times New Roman" w:eastAsia="Times New Roman" w:cs="Times New Roman"/>
          <w:sz w:val="28"/>
          <w:szCs w:val="28"/>
          <w:lang w:eastAsia="x-none"/>
        </w:rPr>
      </w:pPr>
      <w:r>
        <w:rPr>
          <w:rFonts w:eastAsia="Times New Roman" w:cs="Times New Roman" w:ascii="Times New Roman" w:hAnsi="Times New Roman"/>
          <w:sz w:val="28"/>
          <w:szCs w:val="28"/>
          <w:lang w:eastAsia="x-none"/>
        </w:rPr>
        <w:t>разрушение трубопровода или его элементов, сопровождающееся разлетом осколков металла и грунта;</w:t>
      </w:r>
    </w:p>
    <w:p>
      <w:pPr>
        <w:pStyle w:val="ListParagraph"/>
        <w:numPr>
          <w:ilvl w:val="0"/>
          <w:numId w:val="55"/>
        </w:numPr>
        <w:spacing w:lineRule="auto" w:line="240" w:before="0" w:after="0"/>
        <w:contextualSpacing/>
        <w:jc w:val="both"/>
        <w:rPr>
          <w:rFonts w:ascii="Times New Roman" w:hAnsi="Times New Roman" w:eastAsia="Times New Roman" w:cs="Times New Roman"/>
          <w:sz w:val="28"/>
          <w:szCs w:val="28"/>
          <w:lang w:eastAsia="x-none"/>
        </w:rPr>
      </w:pPr>
      <w:r>
        <w:rPr>
          <w:rFonts w:eastAsia="Times New Roman" w:cs="Times New Roman" w:ascii="Times New Roman" w:hAnsi="Times New Roman"/>
          <w:sz w:val="28"/>
          <w:szCs w:val="28"/>
          <w:lang w:eastAsia="x-none"/>
        </w:rPr>
        <w:t>возгорание продукта при разрушении трубопровода, открытый огонь и термическое воздействие пожара;</w:t>
      </w:r>
    </w:p>
    <w:p>
      <w:pPr>
        <w:pStyle w:val="ListParagraph"/>
        <w:numPr>
          <w:ilvl w:val="0"/>
          <w:numId w:val="55"/>
        </w:numPr>
        <w:spacing w:lineRule="auto" w:line="240" w:before="0" w:after="0"/>
        <w:contextualSpacing/>
        <w:jc w:val="both"/>
        <w:rPr>
          <w:rFonts w:ascii="Times New Roman" w:hAnsi="Times New Roman" w:eastAsia="Times New Roman" w:cs="Times New Roman"/>
          <w:sz w:val="28"/>
          <w:szCs w:val="28"/>
          <w:lang w:eastAsia="x-none"/>
        </w:rPr>
      </w:pPr>
      <w:r>
        <w:rPr>
          <w:rFonts w:eastAsia="Times New Roman" w:cs="Times New Roman" w:ascii="Times New Roman" w:hAnsi="Times New Roman"/>
          <w:sz w:val="28"/>
          <w:szCs w:val="28"/>
          <w:lang w:eastAsia="x-none"/>
        </w:rPr>
        <w:t>взрыв газовоздушной смеси;</w:t>
      </w:r>
    </w:p>
    <w:p>
      <w:pPr>
        <w:pStyle w:val="ListParagraph"/>
        <w:numPr>
          <w:ilvl w:val="0"/>
          <w:numId w:val="55"/>
        </w:numPr>
        <w:spacing w:lineRule="auto" w:line="240" w:before="0" w:after="0"/>
        <w:contextualSpacing/>
        <w:jc w:val="both"/>
        <w:rPr>
          <w:rFonts w:ascii="Times New Roman" w:hAnsi="Times New Roman" w:eastAsia="Times New Roman" w:cs="Times New Roman"/>
          <w:sz w:val="28"/>
          <w:szCs w:val="28"/>
          <w:lang w:eastAsia="x-none"/>
        </w:rPr>
      </w:pPr>
      <w:r>
        <w:rPr>
          <w:rFonts w:eastAsia="Times New Roman" w:cs="Times New Roman" w:ascii="Times New Roman" w:hAnsi="Times New Roman"/>
          <w:sz w:val="28"/>
          <w:szCs w:val="28"/>
          <w:lang w:eastAsia="x-none"/>
        </w:rPr>
        <w:t>пожар;</w:t>
      </w:r>
    </w:p>
    <w:p>
      <w:pPr>
        <w:pStyle w:val="ListParagraph"/>
        <w:numPr>
          <w:ilvl w:val="0"/>
          <w:numId w:val="55"/>
        </w:numPr>
        <w:spacing w:lineRule="auto" w:line="240" w:before="0" w:after="0"/>
        <w:contextualSpacing/>
        <w:jc w:val="both"/>
        <w:rPr>
          <w:rFonts w:ascii="Times New Roman" w:hAnsi="Times New Roman" w:eastAsia="Times New Roman" w:cs="Times New Roman"/>
          <w:sz w:val="28"/>
          <w:szCs w:val="28"/>
          <w:lang w:eastAsia="x-none"/>
        </w:rPr>
      </w:pPr>
      <w:r>
        <w:rPr>
          <w:rFonts w:eastAsia="Times New Roman" w:cs="Times New Roman" w:ascii="Times New Roman" w:hAnsi="Times New Roman"/>
          <w:sz w:val="28"/>
          <w:szCs w:val="28"/>
          <w:lang w:eastAsia="x-none"/>
        </w:rPr>
        <w:t>обрушение и повреждение зданий, сооружений, установок;</w:t>
      </w:r>
    </w:p>
    <w:p>
      <w:pPr>
        <w:pStyle w:val="ListParagraph"/>
        <w:numPr>
          <w:ilvl w:val="0"/>
          <w:numId w:val="55"/>
        </w:numPr>
        <w:spacing w:lineRule="auto" w:line="240" w:before="0" w:after="0"/>
        <w:contextualSpacing/>
        <w:jc w:val="both"/>
        <w:rPr>
          <w:rFonts w:ascii="Times New Roman" w:hAnsi="Times New Roman" w:eastAsia="Times New Roman" w:cs="Times New Roman"/>
          <w:sz w:val="28"/>
          <w:szCs w:val="28"/>
          <w:lang w:eastAsia="x-none"/>
        </w:rPr>
      </w:pPr>
      <w:r>
        <w:rPr>
          <w:rFonts w:eastAsia="Times New Roman" w:cs="Times New Roman" w:ascii="Times New Roman" w:hAnsi="Times New Roman"/>
          <w:sz w:val="28"/>
          <w:szCs w:val="28"/>
          <w:lang w:eastAsia="x-none"/>
        </w:rPr>
        <w:t>пониженная концентрация кислорода;</w:t>
      </w:r>
    </w:p>
    <w:p>
      <w:pPr>
        <w:pStyle w:val="ListParagraph"/>
        <w:numPr>
          <w:ilvl w:val="0"/>
          <w:numId w:val="55"/>
        </w:numPr>
        <w:spacing w:lineRule="auto" w:line="240" w:before="0" w:after="0"/>
        <w:contextualSpacing/>
        <w:jc w:val="both"/>
        <w:rPr>
          <w:rFonts w:ascii="Times New Roman" w:hAnsi="Times New Roman" w:eastAsia="Times New Roman" w:cs="Times New Roman"/>
          <w:sz w:val="28"/>
          <w:szCs w:val="28"/>
          <w:lang w:eastAsia="x-none"/>
        </w:rPr>
      </w:pPr>
      <w:r>
        <w:rPr>
          <w:rFonts w:eastAsia="Times New Roman" w:cs="Times New Roman" w:ascii="Times New Roman" w:hAnsi="Times New Roman"/>
          <w:sz w:val="28"/>
          <w:szCs w:val="28"/>
          <w:lang w:eastAsia="x-none"/>
        </w:rPr>
        <w:t>дым;</w:t>
      </w:r>
    </w:p>
    <w:p>
      <w:pPr>
        <w:pStyle w:val="ListParagraph"/>
        <w:numPr>
          <w:ilvl w:val="0"/>
          <w:numId w:val="55"/>
        </w:numPr>
        <w:spacing w:lineRule="auto" w:line="240" w:before="0" w:after="0"/>
        <w:contextualSpacing/>
        <w:jc w:val="both"/>
        <w:rPr>
          <w:rFonts w:ascii="Times New Roman" w:hAnsi="Times New Roman" w:eastAsia="Times New Roman" w:cs="Times New Roman"/>
          <w:sz w:val="28"/>
          <w:szCs w:val="28"/>
          <w:lang w:eastAsia="x-none"/>
        </w:rPr>
      </w:pPr>
      <w:r>
        <w:rPr>
          <w:rFonts w:eastAsia="Times New Roman" w:cs="Times New Roman" w:ascii="Times New Roman" w:hAnsi="Times New Roman"/>
          <w:sz w:val="28"/>
          <w:szCs w:val="28"/>
          <w:lang w:eastAsia="x-none"/>
        </w:rPr>
        <w:t>токсичность продукции.</w:t>
      </w:r>
    </w:p>
    <w:p>
      <w:pPr>
        <w:pStyle w:val="Normal"/>
        <w:spacing w:lineRule="auto" w:line="240" w:before="0" w:after="0"/>
        <w:ind w:firstLine="851"/>
        <w:jc w:val="both"/>
        <w:rPr>
          <w:rFonts w:ascii="Times New Roman" w:hAnsi="Times New Roman" w:eastAsia="Times New Roman" w:cs="Times New Roman"/>
          <w:sz w:val="28"/>
          <w:szCs w:val="28"/>
          <w:lang w:eastAsia="x-none"/>
        </w:rPr>
      </w:pPr>
      <w:r>
        <w:rPr>
          <w:rFonts w:eastAsia="Times New Roman" w:cs="Times New Roman" w:ascii="Times New Roman" w:hAnsi="Times New Roman"/>
          <w:sz w:val="28"/>
          <w:szCs w:val="28"/>
          <w:lang w:eastAsia="x-none"/>
        </w:rPr>
        <w:t>При авариях на ГРП и ГРУ утечка газа в помещение приводит к образованию взрыво- и пожароопасной смеси, воспламенение которой вызывает пожар или взрыв. Из-за нарушения технологического процесса на ГРП повышается давление в газопроводе низкого давления, что приводит к разгерметизации газового оборудования на источниках потребления, в том числе в жилых домах или котельных, загазованности помещений, а при наличии источников зажигания -воспламенению смеси газов или взрыву.</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Для предотвращения аварий требуется проведение регулярного внешнего и внутреннего контроля соблюдения требований промышленной безопасности. Внешний контроль строится на государственном уровне путем проведения проверок надзорными органами (Ростехнадзор, Госэнергонадзор) по соблюдению требований действующего законодательства в области промышленной безопасности: безопасности при проведении работ и эксплуатации оборудования, ведения документации ОПО. Главной целью внутреннего производственного контроля является предупреждение аварий и обеспечение готовности организации к локализации и ликвидации последствий аварий на опасных производственных объектах.</w:t>
      </w:r>
    </w:p>
    <w:p>
      <w:pPr>
        <w:pStyle w:val="Normal"/>
        <w:spacing w:lineRule="auto" w:line="240" w:before="0" w:after="0"/>
        <w:ind w:firstLine="709"/>
        <w:jc w:val="both"/>
        <w:rPr>
          <w:rFonts w:ascii="Times New Roman" w:hAnsi="Times New Roman" w:cs="Times New Roman"/>
          <w:sz w:val="28"/>
          <w:szCs w:val="28"/>
        </w:rPr>
      </w:pPr>
      <w:r>
        <w:rPr>
          <w:rFonts w:eastAsia="Times New Roman" w:cs="Times New Roman" w:ascii="Times New Roman" w:hAnsi="Times New Roman"/>
          <w:sz w:val="28"/>
          <w:szCs w:val="28"/>
          <w:lang w:eastAsia="x-none"/>
        </w:rPr>
        <w:t xml:space="preserve">При проектировании, строительстве и эксплуатации магистральных трубопроводов необходимо соблюдать режим охранных зон и зон минимальных расстояний. </w:t>
      </w:r>
      <w:r>
        <w:rPr>
          <w:rFonts w:cs="Times New Roman" w:ascii="Times New Roman" w:hAnsi="Times New Roman"/>
          <w:sz w:val="28"/>
          <w:szCs w:val="28"/>
        </w:rPr>
        <w:t>Требуется внести в ЕГРН границы зон минимальных расстояний магистральных трубопроводов, согласно СП 36.13330.2012 «Магистральные трубопроводы. Актуализированная редакция СНиП 2.05.06-85*» (утв. приказом Федерального агентства по строительству и жилищно-коммунальному хозяйству от 25.12.2012 г. № 108/ГС).</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i/>
          <w:sz w:val="28"/>
          <w:szCs w:val="28"/>
        </w:rPr>
        <w:t xml:space="preserve">Склады ГСМ. </w:t>
      </w:r>
      <w:r>
        <w:rPr>
          <w:rFonts w:cs="Times New Roman" w:ascii="Times New Roman" w:hAnsi="Times New Roman"/>
          <w:sz w:val="28"/>
          <w:szCs w:val="28"/>
        </w:rPr>
        <w:t>При размещении объектов вблизи складов горючих жидкостей следует соблюдать противопожарные расстояния до складов, согласно федеральному закону от 22.07.2008 № 123-ФЗ "Технический регламент о требованиях пожарной безопасности".</w:t>
      </w:r>
    </w:p>
    <w:p>
      <w:pPr>
        <w:pStyle w:val="Normal"/>
        <w:spacing w:lineRule="auto" w:line="240" w:before="0" w:after="0"/>
        <w:ind w:firstLine="709"/>
        <w:jc w:val="right"/>
        <w:rPr>
          <w:rFonts w:ascii="Times New Roman" w:hAnsi="Times New Roman" w:cs="Times New Roman"/>
          <w:sz w:val="28"/>
          <w:szCs w:val="28"/>
        </w:rPr>
      </w:pPr>
      <w:r>
        <w:rPr>
          <w:rFonts w:cs="Times New Roman" w:ascii="Times New Roman" w:hAnsi="Times New Roman"/>
          <w:sz w:val="28"/>
          <w:szCs w:val="28"/>
        </w:rPr>
        <w:t>Таблица  9.3.</w:t>
      </w:r>
    </w:p>
    <w:p>
      <w:pPr>
        <w:pStyle w:val="Normal"/>
        <w:spacing w:lineRule="auto" w:line="240" w:before="0" w:after="0"/>
        <w:jc w:val="center"/>
        <w:rPr>
          <w:rFonts w:ascii="Times New Roman" w:hAnsi="Times New Roman" w:cs="Times New Roman"/>
          <w:bCs/>
          <w:sz w:val="28"/>
          <w:szCs w:val="28"/>
        </w:rPr>
      </w:pPr>
      <w:r>
        <w:rPr>
          <w:rFonts w:cs="Times New Roman" w:ascii="Times New Roman" w:hAnsi="Times New Roman"/>
          <w:bCs/>
          <w:sz w:val="28"/>
          <w:szCs w:val="28"/>
        </w:rPr>
        <w:t>Противопожарные расстояния от зданий и сооружений</w:t>
      </w:r>
    </w:p>
    <w:p>
      <w:pPr>
        <w:pStyle w:val="Normal"/>
        <w:spacing w:lineRule="auto" w:line="240" w:before="0" w:after="0"/>
        <w:jc w:val="center"/>
        <w:rPr>
          <w:rFonts w:ascii="Times New Roman" w:hAnsi="Times New Roman" w:cs="Times New Roman"/>
          <w:bCs/>
          <w:sz w:val="28"/>
          <w:szCs w:val="28"/>
        </w:rPr>
      </w:pPr>
      <w:r>
        <w:rPr>
          <w:rFonts w:cs="Times New Roman" w:ascii="Times New Roman" w:hAnsi="Times New Roman"/>
          <w:bCs/>
          <w:sz w:val="28"/>
          <w:szCs w:val="28"/>
        </w:rPr>
        <w:t>до складов горючих жидкостей</w:t>
      </w:r>
    </w:p>
    <w:p>
      <w:pPr>
        <w:pStyle w:val="Normal"/>
        <w:spacing w:lineRule="auto" w:line="240" w:before="0" w:after="0"/>
        <w:jc w:val="center"/>
        <w:rPr>
          <w:rFonts w:ascii="Times New Roman" w:hAnsi="Times New Roman" w:cs="Times New Roman"/>
          <w:bCs/>
          <w:sz w:val="28"/>
          <w:szCs w:val="28"/>
        </w:rPr>
      </w:pPr>
      <w:r>
        <w:rPr>
          <w:rFonts w:cs="Times New Roman" w:ascii="Times New Roman" w:hAnsi="Times New Roman"/>
          <w:bCs/>
          <w:sz w:val="28"/>
          <w:szCs w:val="28"/>
        </w:rPr>
      </w:r>
    </w:p>
    <w:tbl>
      <w:tblPr>
        <w:tblW w:w="8964" w:type="dxa"/>
        <w:jc w:val="center"/>
        <w:tblInd w:w="0" w:type="dxa"/>
        <w:tblLayout w:type="fixed"/>
        <w:tblCellMar>
          <w:top w:w="102" w:type="dxa"/>
          <w:left w:w="62" w:type="dxa"/>
          <w:bottom w:w="102" w:type="dxa"/>
          <w:right w:w="62" w:type="dxa"/>
        </w:tblCellMar>
        <w:tblLook w:noVBand="0" w:val="0000" w:noHBand="0" w:lastColumn="0" w:firstColumn="0" w:lastRow="0" w:firstRow="0"/>
      </w:tblPr>
      <w:tblGrid>
        <w:gridCol w:w="2783"/>
        <w:gridCol w:w="2088"/>
        <w:gridCol w:w="2087"/>
        <w:gridCol w:w="2005"/>
      </w:tblGrid>
      <w:tr>
        <w:trPr/>
        <w:tc>
          <w:tcPr>
            <w:tcW w:w="278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Вместимость склада, кубические метры</w:t>
            </w:r>
          </w:p>
        </w:tc>
        <w:tc>
          <w:tcPr>
            <w:tcW w:w="6180"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Противопожарные расстояния при степени огнестойкости зданий и сооружений, метры</w:t>
            </w:r>
          </w:p>
        </w:tc>
      </w:tr>
      <w:tr>
        <w:trPr/>
        <w:tc>
          <w:tcPr>
            <w:tcW w:w="278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r>
          </w:p>
        </w:tc>
        <w:tc>
          <w:tcPr>
            <w:tcW w:w="20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I, II</w:t>
            </w:r>
          </w:p>
        </w:tc>
        <w:tc>
          <w:tcPr>
            <w:tcW w:w="20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III</w:t>
            </w:r>
          </w:p>
        </w:tc>
        <w:tc>
          <w:tcPr>
            <w:tcW w:w="20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IV, V</w:t>
            </w:r>
          </w:p>
        </w:tc>
      </w:tr>
      <w:tr>
        <w:trPr/>
        <w:tc>
          <w:tcPr>
            <w:tcW w:w="278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Не более 100</w:t>
            </w:r>
          </w:p>
        </w:tc>
        <w:tc>
          <w:tcPr>
            <w:tcW w:w="208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20</w:t>
            </w:r>
          </w:p>
        </w:tc>
        <w:tc>
          <w:tcPr>
            <w:tcW w:w="20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25</w:t>
            </w:r>
          </w:p>
        </w:tc>
        <w:tc>
          <w:tcPr>
            <w:tcW w:w="200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30</w:t>
            </w:r>
            <w:r>
              <w:rPr>
                <w:rFonts w:cs="Times New Roman" w:ascii="Times New Roman" w:hAnsi="Times New Roman"/>
                <w:sz w:val="28"/>
                <w:szCs w:val="28"/>
                <w:vertAlign w:val="superscript"/>
              </w:rPr>
              <w:t>*</w:t>
            </w:r>
          </w:p>
        </w:tc>
      </w:tr>
      <w:tr>
        <w:trPr/>
        <w:tc>
          <w:tcPr>
            <w:tcW w:w="278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Более 100, но не более 800</w:t>
            </w:r>
          </w:p>
        </w:tc>
        <w:tc>
          <w:tcPr>
            <w:tcW w:w="208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30</w:t>
            </w:r>
          </w:p>
        </w:tc>
        <w:tc>
          <w:tcPr>
            <w:tcW w:w="208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35</w:t>
            </w:r>
          </w:p>
        </w:tc>
        <w:tc>
          <w:tcPr>
            <w:tcW w:w="200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40</w:t>
            </w:r>
          </w:p>
        </w:tc>
      </w:tr>
      <w:tr>
        <w:trPr/>
        <w:tc>
          <w:tcPr>
            <w:tcW w:w="278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Более 800, но не более 2000</w:t>
            </w:r>
          </w:p>
        </w:tc>
        <w:tc>
          <w:tcPr>
            <w:tcW w:w="208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40</w:t>
            </w:r>
          </w:p>
        </w:tc>
        <w:tc>
          <w:tcPr>
            <w:tcW w:w="208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45</w:t>
            </w:r>
          </w:p>
        </w:tc>
        <w:tc>
          <w:tcPr>
            <w:tcW w:w="200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t>50</w:t>
            </w:r>
          </w:p>
        </w:tc>
      </w:tr>
    </w:tbl>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firstLine="851"/>
        <w:jc w:val="both"/>
        <w:rPr>
          <w:rFonts w:ascii="Times New Roman" w:hAnsi="Times New Roman" w:cs="Times New Roman"/>
          <w:sz w:val="24"/>
          <w:szCs w:val="28"/>
        </w:rPr>
      </w:pPr>
      <w:r>
        <w:rPr>
          <w:rFonts w:cs="Times New Roman" w:ascii="Times New Roman" w:hAnsi="Times New Roman"/>
          <w:sz w:val="24"/>
          <w:szCs w:val="28"/>
        </w:rPr>
        <w:t>* Примечание: на картографических материалах принято расстояние от складов 30 м.</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На картографических материалах</w:t>
      </w:r>
    </w:p>
    <w:p>
      <w:pPr>
        <w:pStyle w:val="Normal"/>
        <w:tabs>
          <w:tab w:val="clear" w:pos="709"/>
          <w:tab w:val="left" w:pos="993" w:leader="none"/>
        </w:tabs>
        <w:suppressAutoHyphens w:val="true"/>
        <w:spacing w:lineRule="auto" w:line="240" w:before="0" w:after="0"/>
        <w:jc w:val="both"/>
        <w:rPr>
          <w:rFonts w:ascii="Times New Roman" w:hAnsi="Times New Roman" w:eastAsia="Times New Roman" w:cs="Times New Roman"/>
          <w:sz w:val="28"/>
          <w:szCs w:val="28"/>
          <w:lang w:eastAsia="x-none"/>
        </w:rPr>
      </w:pPr>
      <w:r>
        <w:rPr>
          <w:rFonts w:eastAsia="Times New Roman" w:cs="Times New Roman" w:ascii="Times New Roman" w:hAnsi="Times New Roman"/>
          <w:sz w:val="28"/>
          <w:szCs w:val="28"/>
          <w:lang w:eastAsia="x-none"/>
        </w:rPr>
      </w:r>
    </w:p>
    <w:p>
      <w:pPr>
        <w:pStyle w:val="Normal"/>
        <w:spacing w:lineRule="auto" w:line="240" w:before="0" w:after="0"/>
        <w:ind w:firstLine="709"/>
        <w:jc w:val="center"/>
        <w:rPr>
          <w:rFonts w:ascii="Times New Roman" w:hAnsi="Times New Roman" w:cs="Times New Roman"/>
          <w:b/>
          <w:sz w:val="28"/>
          <w:szCs w:val="28"/>
        </w:rPr>
      </w:pPr>
      <w:r>
        <w:rPr>
          <w:rFonts w:cs="Times New Roman" w:ascii="Times New Roman" w:hAnsi="Times New Roman"/>
          <w:b/>
          <w:sz w:val="28"/>
          <w:szCs w:val="28"/>
        </w:rPr>
        <w:t>Объекты автомобильного и железнодорожного транспорта, дорожно-транспортные происшествия</w:t>
      </w:r>
    </w:p>
    <w:p>
      <w:pPr>
        <w:pStyle w:val="Normal"/>
        <w:spacing w:lineRule="auto" w:line="240" w:before="0" w:after="0"/>
        <w:ind w:firstLine="709"/>
        <w:jc w:val="both"/>
        <w:rPr>
          <w:rFonts w:ascii="Times New Roman" w:hAnsi="Times New Roman" w:eastAsia="Times New Roman" w:cs="Times New Roman"/>
          <w:sz w:val="28"/>
          <w:szCs w:val="28"/>
          <w:lang w:eastAsia="ru-RU"/>
        </w:rPr>
      </w:pPr>
      <w:r>
        <w:rPr>
          <w:rFonts w:cs="Times New Roman" w:ascii="Times New Roman" w:hAnsi="Times New Roman"/>
          <w:sz w:val="28"/>
          <w:szCs w:val="28"/>
        </w:rPr>
        <w:t xml:space="preserve">Внешние и внутренние транспортные связи поселения осуществляются автомобильным, железнодорожным, трубопроводным транспортом. </w:t>
      </w:r>
      <w:r>
        <w:rPr>
          <w:rFonts w:eastAsia="Times New Roman" w:cs="Times New Roman" w:ascii="Times New Roman" w:hAnsi="Times New Roman"/>
          <w:sz w:val="28"/>
          <w:szCs w:val="28"/>
          <w:lang w:eastAsia="ru-RU"/>
        </w:rPr>
        <w:t>На территории сельского поселения планируется строительство федеральной автомобильной (скоростной) дороги (1Б категории): М12 Москва-Казань. Также планируется строительство регионального значения:</w:t>
      </w:r>
      <w:r>
        <w:rPr/>
        <w:t xml:space="preserve"> </w:t>
      </w:r>
      <w:r>
        <w:rPr>
          <w:rFonts w:eastAsia="Times New Roman" w:cs="Times New Roman" w:ascii="Times New Roman" w:hAnsi="Times New Roman"/>
          <w:sz w:val="28"/>
          <w:szCs w:val="28"/>
          <w:lang w:eastAsia="ru-RU"/>
        </w:rPr>
        <w:t>Казань - Ульяновск - Камское Устье – Гребени, Вахитово – Ташевка, Янга-Болгар - Матюшино - Бакча-Сарай.</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Дорожно-транспортное происшествие - событие, возникшее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причинен иной материальный ущерб (федеральный закон от 10.12.1995 № 196-ФЗ "О безопасности дорожного движения").</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Для автомобильного транспорта характерны следующие происшествия: столкновения, наезды, опрокидывания, пожары, падения с крутых склонов, падения в водоемы и т.д. </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Безопасность дорожного движения в целом зависит от многих факторов и обуславливается обеспечением требований безопасности к содержанию дорог, обеспечением требований к конструкции и техническому состоянию транспортных средств, обеспечением требований к перевозкам пассажиров и грузов, эксплуатации транспортных средств, обеспечением требований к организации безопасности дорожного движения.</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Транспорт представляет опасность не только для пассажиров, но и для населения, проживающего в зонах транспортных магистралей, так на транспорте перевозят легковоспламеняющиеся, взрывчатые и другие опасные вещества, представляющие угрозу жизни и здоровью людей, попадание которых в окружающую среду может привести к ее загрязнению и возникновению пожаров.</w:t>
      </w:r>
    </w:p>
    <w:p>
      <w:pPr>
        <w:pStyle w:val="Normal"/>
        <w:tabs>
          <w:tab w:val="clear" w:pos="709"/>
          <w:tab w:val="left" w:pos="993" w:leader="none"/>
        </w:tabs>
        <w:suppressAutoHyphens w:val="true"/>
        <w:spacing w:lineRule="auto" w:line="240" w:before="0" w:after="0"/>
        <w:jc w:val="both"/>
        <w:rPr>
          <w:rFonts w:ascii="Times New Roman" w:hAnsi="Times New Roman" w:eastAsia="Times New Roman" w:cs="Times New Roman"/>
          <w:sz w:val="28"/>
          <w:szCs w:val="28"/>
          <w:lang w:eastAsia="x-none"/>
        </w:rPr>
      </w:pPr>
      <w:r>
        <w:rPr>
          <w:rFonts w:eastAsia="Times New Roman" w:cs="Times New Roman" w:ascii="Times New Roman" w:hAnsi="Times New Roman"/>
          <w:sz w:val="28"/>
          <w:szCs w:val="28"/>
          <w:lang w:eastAsia="x-none"/>
        </w:rPr>
      </w:r>
    </w:p>
    <w:p>
      <w:pPr>
        <w:pStyle w:val="Normal"/>
        <w:spacing w:lineRule="auto" w:line="240" w:before="0" w:after="0"/>
        <w:jc w:val="center"/>
        <w:rPr>
          <w:rFonts w:ascii="Times New Roman" w:hAnsi="Times New Roman" w:eastAsia="Times New Roman" w:cs="Times New Roman"/>
          <w:b/>
          <w:sz w:val="28"/>
          <w:szCs w:val="28"/>
          <w:lang w:eastAsia="x-none"/>
        </w:rPr>
      </w:pPr>
      <w:r>
        <w:rPr>
          <w:rFonts w:eastAsia="Times New Roman" w:cs="Times New Roman" w:ascii="Times New Roman" w:hAnsi="Times New Roman"/>
          <w:b/>
          <w:sz w:val="28"/>
          <w:szCs w:val="28"/>
          <w:lang w:eastAsia="x-none"/>
        </w:rPr>
        <w:t xml:space="preserve">Защита территории и населения от опасных природных процессов </w:t>
      </w:r>
    </w:p>
    <w:p>
      <w:pPr>
        <w:pStyle w:val="Normal"/>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При проектировании особенно внимательно следует подходить к оценке опасных геологических и инженерно-геологических процессов и явлений, возникающих под влиянием природных и техногенных факторов и оказывающих негативное воздействие на строительные объекты и жизнедеятельность людей. </w:t>
      </w:r>
    </w:p>
    <w:p>
      <w:pPr>
        <w:pStyle w:val="Normal"/>
        <w:spacing w:lineRule="auto" w:line="240" w:before="0" w:after="0"/>
        <w:ind w:firstLine="709"/>
        <w:jc w:val="both"/>
        <w:rPr>
          <w:rFonts w:ascii="Times New Roman" w:hAnsi="Times New Roman" w:eastAsia="Times New Roman" w:cs="Times New Roman"/>
          <w:sz w:val="28"/>
          <w:szCs w:val="28"/>
          <w:lang w:eastAsia="x-none"/>
        </w:rPr>
      </w:pPr>
      <w:r>
        <w:rPr>
          <w:rFonts w:eastAsia="Times New Roman" w:cs="Times New Roman" w:ascii="Times New Roman" w:hAnsi="Times New Roman"/>
          <w:sz w:val="28"/>
          <w:szCs w:val="28"/>
          <w:lang w:eastAsia="x-none"/>
        </w:rPr>
        <w:t>Опасные природные процессы и явления необходимо определить по результатам инженерно-геологических изысканий, выполнение инженерно-геологических изысканий обязательно.</w:t>
      </w:r>
    </w:p>
    <w:p>
      <w:pPr>
        <w:pStyle w:val="Normal"/>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iCs/>
          <w:sz w:val="28"/>
          <w:szCs w:val="28"/>
          <w:lang w:eastAsia="ru-RU"/>
        </w:rPr>
        <w:t>В соответствии с п.4.6 СП 115.13330.2016</w:t>
      </w:r>
      <w:r>
        <w:rPr>
          <w:rFonts w:eastAsia="Times New Roman" w:cs="Times New Roman" w:ascii="Times New Roman" w:hAnsi="Times New Roman"/>
          <w:sz w:val="28"/>
          <w:szCs w:val="28"/>
          <w:lang w:eastAsia="ru-RU"/>
        </w:rPr>
        <w:t xml:space="preserve"> при выявлении по результатам предварительной оценки возможности проявления опасных природных воздействий на территории, планируемой для хозяйственного освоения, в целях уточнения границ развития опасных природных процессов, явлений и определения их параметров следует осуществлять инженерные изыскания.</w:t>
      </w:r>
    </w:p>
    <w:p>
      <w:pPr>
        <w:pStyle w:val="Normal"/>
        <w:spacing w:lineRule="auto" w:line="240" w:before="0" w:after="0"/>
        <w:ind w:firstLine="709"/>
        <w:jc w:val="both"/>
        <w:rPr>
          <w:rFonts w:ascii="Times New Roman" w:hAnsi="Times New Roman" w:eastAsia="Times New Roman" w:cs="Times New Roman"/>
          <w:iCs/>
          <w:sz w:val="28"/>
          <w:szCs w:val="28"/>
          <w:lang w:eastAsia="ru-RU"/>
        </w:rPr>
      </w:pPr>
      <w:r>
        <w:rPr>
          <w:rFonts w:eastAsia="Times New Roman" w:cs="Times New Roman" w:ascii="Times New Roman" w:hAnsi="Times New Roman"/>
          <w:sz w:val="28"/>
          <w:szCs w:val="28"/>
          <w:lang w:eastAsia="ru-RU"/>
        </w:rPr>
        <w:t>В соответствии с 4.7 СП 115.13330.2016 результаты предварительной оценки опасных природных воздействий, полученные на основе фондовых материалов и других сведений, должны быть включены в исходные данные при составлении задания на выполнение инженерных изысканий и использованы при планировании состава и объемов работ в программе инженерных изысканий.</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К умеренно-опасным природным процессам на территории поселения относится эрозия. Следует уделять особое внимание укреплению склонов террас речных долин и овражных склонов посредством агролесомелиорации. </w:t>
      </w:r>
    </w:p>
    <w:p>
      <w:pPr>
        <w:pStyle w:val="Normal"/>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В соответствии с СП 115.13330.2016, негативные гидро- и метеорологические процессы, которые следует учитывать для предотвращения негативных последствий, влияющих на безопасность зданий и сооружений, жизнь и здоровье людей, это: катастрофический паводок, катастрофический ливень, половодье, шквал.</w:t>
      </w:r>
    </w:p>
    <w:p>
      <w:pPr>
        <w:pStyle w:val="Normal"/>
        <w:widowControl w:val="false"/>
        <w:suppressAutoHyphens w:val="true"/>
        <w:spacing w:before="0" w:after="160"/>
        <w:ind w:firstLine="708"/>
        <w:contextualSpacing/>
        <w:jc w:val="both"/>
        <w:rPr>
          <w:rFonts w:ascii="Times New Roman" w:hAnsi="Times New Roman" w:eastAsia="Lucida Sans Unicode" w:cs="Times New Roman"/>
          <w:kern w:val="2"/>
          <w:sz w:val="28"/>
          <w:szCs w:val="28"/>
        </w:rPr>
      </w:pPr>
      <w:r>
        <w:rPr>
          <w:rFonts w:eastAsia="Lucida Sans Unicode" w:cs="Times New Roman" w:ascii="Times New Roman" w:hAnsi="Times New Roman"/>
          <w:kern w:val="2"/>
          <w:sz w:val="28"/>
          <w:szCs w:val="28"/>
        </w:rPr>
        <w:t>Перечень опасных метеорологических явлений, проявление которых возможно на территории поселения, представлен в таблице 9.3.</w:t>
      </w:r>
    </w:p>
    <w:p>
      <w:pPr>
        <w:pStyle w:val="Normal"/>
        <w:widowControl w:val="false"/>
        <w:suppressAutoHyphens w:val="true"/>
        <w:spacing w:before="0" w:after="160"/>
        <w:ind w:firstLine="708"/>
        <w:contextualSpacing/>
        <w:jc w:val="right"/>
        <w:rPr>
          <w:rFonts w:ascii="Times New Roman" w:hAnsi="Times New Roman" w:eastAsia="Lucida Sans Unicode" w:cs="Times New Roman"/>
          <w:kern w:val="2"/>
          <w:sz w:val="28"/>
          <w:szCs w:val="28"/>
        </w:rPr>
      </w:pPr>
      <w:r>
        <w:rPr>
          <w:rFonts w:eastAsia="Lucida Sans Unicode" w:cs="Times New Roman" w:ascii="Times New Roman" w:hAnsi="Times New Roman"/>
          <w:kern w:val="2"/>
          <w:sz w:val="28"/>
          <w:szCs w:val="28"/>
        </w:rPr>
        <w:t>Таблица 9.3.</w:t>
      </w:r>
    </w:p>
    <w:p>
      <w:pPr>
        <w:pStyle w:val="Normal"/>
        <w:widowControl w:val="false"/>
        <w:suppressAutoHyphens w:val="true"/>
        <w:spacing w:before="0" w:after="160"/>
        <w:ind w:firstLine="708"/>
        <w:contextualSpacing/>
        <w:jc w:val="center"/>
        <w:rPr>
          <w:rFonts w:ascii="Times New Roman" w:hAnsi="Times New Roman" w:eastAsia="Lucida Sans Unicode" w:cs="Times New Roman"/>
          <w:kern w:val="2"/>
          <w:sz w:val="28"/>
          <w:szCs w:val="28"/>
        </w:rPr>
      </w:pPr>
      <w:r>
        <w:rPr>
          <w:rFonts w:eastAsia="Lucida Sans Unicode" w:cs="Times New Roman" w:ascii="Times New Roman" w:hAnsi="Times New Roman"/>
          <w:kern w:val="2"/>
          <w:sz w:val="28"/>
          <w:szCs w:val="28"/>
        </w:rPr>
        <w:t>Перечень опасных метеорологических явлений</w:t>
      </w:r>
    </w:p>
    <w:tbl>
      <w:tblPr>
        <w:tblStyle w:val="62"/>
        <w:tblW w:w="5000" w:type="pct"/>
        <w:jc w:val="center"/>
        <w:tblInd w:w="0" w:type="dxa"/>
        <w:tblLayout w:type="fixed"/>
        <w:tblCellMar>
          <w:top w:w="0" w:type="dxa"/>
          <w:left w:w="108" w:type="dxa"/>
          <w:bottom w:w="0" w:type="dxa"/>
          <w:right w:w="108" w:type="dxa"/>
        </w:tblCellMar>
        <w:tblLook w:noVBand="1" w:val="04a0" w:noHBand="0" w:lastColumn="0" w:firstColumn="1" w:lastRow="0" w:firstRow="1"/>
      </w:tblPr>
      <w:tblGrid>
        <w:gridCol w:w="4960"/>
        <w:gridCol w:w="4960"/>
      </w:tblGrid>
      <w:tr>
        <w:trPr>
          <w:tblHeader w:val="true"/>
          <w:cantSplit w:val="true"/>
        </w:trPr>
        <w:tc>
          <w:tcPr>
            <w:tcW w:w="4960" w:type="dxa"/>
            <w:tcBorders/>
            <w:vAlign w:val="center"/>
          </w:tcPr>
          <w:p>
            <w:pPr>
              <w:pStyle w:val="Normal"/>
              <w:widowControl w:val="false"/>
              <w:suppressAutoHyphens w:val="true"/>
              <w:spacing w:lineRule="auto" w:line="240" w:before="0" w:after="0"/>
              <w:contextualSpacing/>
              <w:jc w:val="center"/>
              <w:rPr>
                <w:rFonts w:ascii="Times New Roman" w:hAnsi="Times New Roman" w:eastAsia="Lucida Sans Unicode"/>
                <w:kern w:val="2"/>
              </w:rPr>
            </w:pPr>
            <w:r>
              <w:rPr>
                <w:rFonts w:eastAsia="Lucida Sans Unicode" w:cs="Times New Roman" w:ascii="Times New Roman" w:hAnsi="Times New Roman"/>
                <w:bCs/>
                <w:kern w:val="2"/>
                <w:sz w:val="20"/>
                <w:szCs w:val="20"/>
                <w:lang w:val="ru-RU" w:eastAsia="ru-RU" w:bidi="ar-SA"/>
              </w:rPr>
              <w:t>Название ОЯ</w:t>
            </w:r>
          </w:p>
        </w:tc>
        <w:tc>
          <w:tcPr>
            <w:tcW w:w="4960" w:type="dxa"/>
            <w:tcBorders/>
            <w:vAlign w:val="center"/>
          </w:tcPr>
          <w:p>
            <w:pPr>
              <w:pStyle w:val="Normal"/>
              <w:widowControl w:val="false"/>
              <w:suppressAutoHyphens w:val="true"/>
              <w:spacing w:lineRule="auto" w:line="240" w:before="0" w:after="0"/>
              <w:contextualSpacing/>
              <w:jc w:val="center"/>
              <w:rPr>
                <w:rFonts w:ascii="Times New Roman" w:hAnsi="Times New Roman" w:eastAsia="Lucida Sans Unicode"/>
                <w:kern w:val="2"/>
              </w:rPr>
            </w:pPr>
            <w:r>
              <w:rPr>
                <w:rFonts w:eastAsia="Lucida Sans Unicode" w:cs="Times New Roman" w:ascii="Times New Roman" w:hAnsi="Times New Roman"/>
                <w:bCs/>
                <w:kern w:val="2"/>
                <w:sz w:val="20"/>
                <w:szCs w:val="20"/>
                <w:lang w:val="ru-RU" w:eastAsia="ru-RU" w:bidi="ar-SA"/>
              </w:rPr>
              <w:t>Характеристики и критерии или определение ОЯ</w:t>
            </w:r>
          </w:p>
        </w:tc>
      </w:tr>
      <w:tr>
        <w:trPr>
          <w:cantSplit w:val="true"/>
        </w:trPr>
        <w:tc>
          <w:tcPr>
            <w:tcW w:w="4960" w:type="dxa"/>
            <w:tcBorders/>
            <w:vAlign w:val="center"/>
          </w:tcPr>
          <w:p>
            <w:pPr>
              <w:pStyle w:val="Normal"/>
              <w:widowControl w:val="false"/>
              <w:suppressAutoHyphens w:val="true"/>
              <w:spacing w:lineRule="auto" w:line="240" w:before="0" w:after="0"/>
              <w:contextualSpacing/>
              <w:jc w:val="center"/>
              <w:rPr>
                <w:rFonts w:ascii="Times New Roman" w:hAnsi="Times New Roman" w:eastAsia="Lucida Sans Unicode"/>
                <w:kern w:val="2"/>
              </w:rPr>
            </w:pPr>
            <w:r>
              <w:rPr>
                <w:rFonts w:eastAsia="Lucida Sans Unicode" w:cs="Times New Roman" w:ascii="Times New Roman" w:hAnsi="Times New Roman"/>
                <w:kern w:val="2"/>
                <w:sz w:val="20"/>
                <w:szCs w:val="20"/>
                <w:lang w:val="ru-RU" w:eastAsia="ru-RU" w:bidi="ar-SA"/>
              </w:rPr>
              <w:t>Очень сильный ветер</w:t>
            </w:r>
          </w:p>
        </w:tc>
        <w:tc>
          <w:tcPr>
            <w:tcW w:w="4960" w:type="dxa"/>
            <w:tcBorders/>
            <w:vAlign w:val="center"/>
          </w:tcPr>
          <w:p>
            <w:pPr>
              <w:pStyle w:val="Normal"/>
              <w:widowControl w:val="false"/>
              <w:suppressAutoHyphens w:val="true"/>
              <w:spacing w:lineRule="auto" w:line="240" w:before="0" w:after="0"/>
              <w:contextualSpacing/>
              <w:jc w:val="center"/>
              <w:rPr>
                <w:rFonts w:ascii="Times New Roman" w:hAnsi="Times New Roman" w:eastAsia="Lucida Sans Unicode"/>
                <w:kern w:val="2"/>
              </w:rPr>
            </w:pPr>
            <w:r>
              <w:rPr>
                <w:rFonts w:eastAsia="Lucida Sans Unicode" w:cs="Times New Roman" w:ascii="Times New Roman" w:hAnsi="Times New Roman"/>
                <w:kern w:val="2"/>
                <w:sz w:val="20"/>
                <w:szCs w:val="20"/>
                <w:lang w:val="ru-RU" w:eastAsia="ru-RU" w:bidi="ar-SA"/>
              </w:rPr>
              <w:t>Ветер при достижении скорости при порывах не менее 25 м/с,  или средней скорости не менее 20 м/с</w:t>
            </w:r>
          </w:p>
        </w:tc>
      </w:tr>
      <w:tr>
        <w:trPr>
          <w:cantSplit w:val="true"/>
        </w:trPr>
        <w:tc>
          <w:tcPr>
            <w:tcW w:w="4960" w:type="dxa"/>
            <w:tcBorders/>
            <w:vAlign w:val="center"/>
          </w:tcPr>
          <w:p>
            <w:pPr>
              <w:pStyle w:val="Normal"/>
              <w:widowControl w:val="false"/>
              <w:suppressAutoHyphens w:val="true"/>
              <w:spacing w:lineRule="auto" w:line="240" w:before="0" w:after="0"/>
              <w:contextualSpacing/>
              <w:jc w:val="center"/>
              <w:rPr>
                <w:rFonts w:ascii="Times New Roman" w:hAnsi="Times New Roman" w:eastAsia="Lucida Sans Unicode"/>
                <w:kern w:val="2"/>
              </w:rPr>
            </w:pPr>
            <w:r>
              <w:rPr>
                <w:rFonts w:eastAsia="Lucida Sans Unicode" w:cs="Times New Roman" w:ascii="Times New Roman" w:hAnsi="Times New Roman"/>
                <w:kern w:val="2"/>
                <w:sz w:val="20"/>
                <w:szCs w:val="20"/>
                <w:lang w:val="ru-RU" w:eastAsia="ru-RU" w:bidi="ar-SA"/>
              </w:rPr>
              <w:t>Ураганный ветер (ураган)</w:t>
            </w:r>
          </w:p>
        </w:tc>
        <w:tc>
          <w:tcPr>
            <w:tcW w:w="4960" w:type="dxa"/>
            <w:tcBorders/>
            <w:vAlign w:val="center"/>
          </w:tcPr>
          <w:p>
            <w:pPr>
              <w:pStyle w:val="Normal"/>
              <w:widowControl w:val="false"/>
              <w:suppressAutoHyphens w:val="true"/>
              <w:spacing w:lineRule="auto" w:line="240" w:before="0" w:after="0"/>
              <w:contextualSpacing/>
              <w:jc w:val="center"/>
              <w:rPr>
                <w:rFonts w:ascii="Times New Roman" w:hAnsi="Times New Roman" w:eastAsia="Lucida Sans Unicode"/>
                <w:kern w:val="2"/>
              </w:rPr>
            </w:pPr>
            <w:r>
              <w:rPr>
                <w:rFonts w:eastAsia="Lucida Sans Unicode" w:cs="Times New Roman" w:ascii="Times New Roman" w:hAnsi="Times New Roman"/>
                <w:kern w:val="2"/>
                <w:sz w:val="20"/>
                <w:szCs w:val="20"/>
                <w:lang w:val="ru-RU" w:eastAsia="ru-RU" w:bidi="ar-SA"/>
              </w:rPr>
              <w:t>Ветер при достижении скорости 33 м/с и более</w:t>
            </w:r>
          </w:p>
        </w:tc>
      </w:tr>
      <w:tr>
        <w:trPr>
          <w:cantSplit w:val="true"/>
        </w:trPr>
        <w:tc>
          <w:tcPr>
            <w:tcW w:w="4960" w:type="dxa"/>
            <w:tcBorders/>
            <w:vAlign w:val="center"/>
          </w:tcPr>
          <w:p>
            <w:pPr>
              <w:pStyle w:val="Normal"/>
              <w:widowControl w:val="false"/>
              <w:suppressAutoHyphens w:val="true"/>
              <w:spacing w:lineRule="auto" w:line="240" w:before="0" w:after="0"/>
              <w:contextualSpacing/>
              <w:jc w:val="center"/>
              <w:rPr>
                <w:rFonts w:ascii="Times New Roman" w:hAnsi="Times New Roman" w:eastAsia="Lucida Sans Unicode"/>
                <w:kern w:val="2"/>
              </w:rPr>
            </w:pPr>
            <w:r>
              <w:rPr>
                <w:rFonts w:eastAsia="Lucida Sans Unicode" w:cs="Times New Roman" w:ascii="Times New Roman" w:hAnsi="Times New Roman"/>
                <w:kern w:val="2"/>
                <w:sz w:val="20"/>
                <w:szCs w:val="20"/>
                <w:lang w:val="ru-RU" w:eastAsia="ru-RU" w:bidi="ar-SA"/>
              </w:rPr>
              <w:t>Шквал</w:t>
            </w:r>
          </w:p>
        </w:tc>
        <w:tc>
          <w:tcPr>
            <w:tcW w:w="4960" w:type="dxa"/>
            <w:tcBorders/>
            <w:vAlign w:val="center"/>
          </w:tcPr>
          <w:p>
            <w:pPr>
              <w:pStyle w:val="Normal"/>
              <w:widowControl w:val="false"/>
              <w:suppressAutoHyphens w:val="true"/>
              <w:spacing w:lineRule="auto" w:line="240" w:before="0" w:after="0"/>
              <w:contextualSpacing/>
              <w:jc w:val="center"/>
              <w:rPr>
                <w:rFonts w:ascii="Times New Roman" w:hAnsi="Times New Roman" w:eastAsia="Lucida Sans Unicode"/>
                <w:kern w:val="2"/>
              </w:rPr>
            </w:pPr>
            <w:r>
              <w:rPr>
                <w:rFonts w:eastAsia="Lucida Sans Unicode" w:cs="Times New Roman" w:ascii="Times New Roman" w:hAnsi="Times New Roman"/>
                <w:kern w:val="2"/>
                <w:sz w:val="20"/>
                <w:szCs w:val="20"/>
                <w:lang w:val="ru-RU" w:eastAsia="ru-RU" w:bidi="ar-SA"/>
              </w:rPr>
              <w:t>Резкое кратковременное (в течение нескольких минут, но не менее 1 мин) усиление ветра до 25 м/с и более</w:t>
            </w:r>
          </w:p>
        </w:tc>
      </w:tr>
      <w:tr>
        <w:trPr>
          <w:cantSplit w:val="true"/>
        </w:trPr>
        <w:tc>
          <w:tcPr>
            <w:tcW w:w="4960" w:type="dxa"/>
            <w:tcBorders/>
            <w:vAlign w:val="center"/>
          </w:tcPr>
          <w:p>
            <w:pPr>
              <w:pStyle w:val="Normal"/>
              <w:widowControl w:val="false"/>
              <w:suppressAutoHyphens w:val="true"/>
              <w:spacing w:lineRule="auto" w:line="240" w:before="0" w:after="0"/>
              <w:contextualSpacing/>
              <w:jc w:val="center"/>
              <w:rPr>
                <w:rFonts w:ascii="Times New Roman" w:hAnsi="Times New Roman" w:eastAsia="Lucida Sans Unicode"/>
                <w:kern w:val="2"/>
              </w:rPr>
            </w:pPr>
            <w:r>
              <w:rPr>
                <w:rFonts w:eastAsia="Lucida Sans Unicode" w:cs="Times New Roman" w:ascii="Times New Roman" w:hAnsi="Times New Roman"/>
                <w:kern w:val="2"/>
                <w:sz w:val="20"/>
                <w:szCs w:val="20"/>
                <w:lang w:val="ru-RU" w:eastAsia="ru-RU" w:bidi="ar-SA"/>
              </w:rPr>
              <w:t>Смерч</w:t>
            </w:r>
          </w:p>
        </w:tc>
        <w:tc>
          <w:tcPr>
            <w:tcW w:w="4960" w:type="dxa"/>
            <w:tcBorders/>
            <w:vAlign w:val="center"/>
          </w:tcPr>
          <w:p>
            <w:pPr>
              <w:pStyle w:val="Normal"/>
              <w:widowControl w:val="false"/>
              <w:suppressAutoHyphens w:val="true"/>
              <w:spacing w:lineRule="auto" w:line="240" w:before="0" w:after="0"/>
              <w:contextualSpacing/>
              <w:jc w:val="center"/>
              <w:rPr>
                <w:rFonts w:ascii="Times New Roman" w:hAnsi="Times New Roman" w:eastAsia="Lucida Sans Unicode"/>
                <w:kern w:val="2"/>
              </w:rPr>
            </w:pPr>
            <w:r>
              <w:rPr>
                <w:rFonts w:eastAsia="Lucida Sans Unicode" w:cs="Times New Roman" w:ascii="Times New Roman" w:hAnsi="Times New Roman"/>
                <w:kern w:val="2"/>
                <w:sz w:val="20"/>
                <w:szCs w:val="20"/>
                <w:lang w:val="ru-RU" w:eastAsia="ru-RU" w:bidi="ar-SA"/>
              </w:rPr>
              <w:t>Сильный маломасштабный вихрь в виде столба или воронки, направленный от облака к подстилающей поверхности</w:t>
            </w:r>
          </w:p>
        </w:tc>
      </w:tr>
      <w:tr>
        <w:trPr>
          <w:cantSplit w:val="true"/>
        </w:trPr>
        <w:tc>
          <w:tcPr>
            <w:tcW w:w="4960" w:type="dxa"/>
            <w:tcBorders/>
            <w:vAlign w:val="center"/>
          </w:tcPr>
          <w:p>
            <w:pPr>
              <w:pStyle w:val="Normal"/>
              <w:widowControl w:val="false"/>
              <w:suppressAutoHyphens w:val="true"/>
              <w:spacing w:lineRule="auto" w:line="240" w:before="0" w:after="0"/>
              <w:contextualSpacing/>
              <w:jc w:val="center"/>
              <w:rPr>
                <w:rFonts w:ascii="Times New Roman" w:hAnsi="Times New Roman" w:eastAsia="Lucida Sans Unicode"/>
                <w:kern w:val="2"/>
              </w:rPr>
            </w:pPr>
            <w:r>
              <w:rPr>
                <w:rFonts w:eastAsia="Lucida Sans Unicode" w:cs="Times New Roman" w:ascii="Times New Roman" w:hAnsi="Times New Roman"/>
                <w:kern w:val="2"/>
                <w:sz w:val="20"/>
                <w:szCs w:val="20"/>
                <w:lang w:val="ru-RU" w:eastAsia="ru-RU" w:bidi="ar-SA"/>
              </w:rPr>
              <w:t>Сильный ливень</w:t>
            </w:r>
          </w:p>
        </w:tc>
        <w:tc>
          <w:tcPr>
            <w:tcW w:w="4960" w:type="dxa"/>
            <w:tcBorders/>
            <w:vAlign w:val="center"/>
          </w:tcPr>
          <w:p>
            <w:pPr>
              <w:pStyle w:val="Normal"/>
              <w:widowControl w:val="false"/>
              <w:suppressAutoHyphens w:val="true"/>
              <w:spacing w:lineRule="auto" w:line="240" w:before="0" w:after="0"/>
              <w:contextualSpacing/>
              <w:jc w:val="center"/>
              <w:rPr>
                <w:rFonts w:ascii="Times New Roman" w:hAnsi="Times New Roman" w:eastAsia="Lucida Sans Unicode"/>
                <w:kern w:val="2"/>
              </w:rPr>
            </w:pPr>
            <w:r>
              <w:rPr>
                <w:rFonts w:eastAsia="Lucida Sans Unicode" w:cs="Times New Roman" w:ascii="Times New Roman" w:hAnsi="Times New Roman"/>
                <w:kern w:val="2"/>
                <w:sz w:val="20"/>
                <w:szCs w:val="20"/>
                <w:lang w:val="ru-RU" w:eastAsia="ru-RU" w:bidi="ar-SA"/>
              </w:rPr>
              <w:t>Сильный ливневый дождь с количеством выпавших осадков не менее 30 мм за период не более 1 ч</w:t>
            </w:r>
          </w:p>
        </w:tc>
      </w:tr>
      <w:tr>
        <w:trPr>
          <w:cantSplit w:val="true"/>
        </w:trPr>
        <w:tc>
          <w:tcPr>
            <w:tcW w:w="4960" w:type="dxa"/>
            <w:tcBorders/>
            <w:vAlign w:val="center"/>
          </w:tcPr>
          <w:p>
            <w:pPr>
              <w:pStyle w:val="Normal"/>
              <w:widowControl w:val="false"/>
              <w:suppressAutoHyphens w:val="true"/>
              <w:spacing w:lineRule="auto" w:line="240" w:before="0" w:after="0"/>
              <w:contextualSpacing/>
              <w:jc w:val="center"/>
              <w:rPr>
                <w:rFonts w:ascii="Times New Roman" w:hAnsi="Times New Roman" w:eastAsia="Lucida Sans Unicode"/>
                <w:kern w:val="2"/>
              </w:rPr>
            </w:pPr>
            <w:r>
              <w:rPr>
                <w:rFonts w:eastAsia="Lucida Sans Unicode" w:cs="Times New Roman" w:ascii="Times New Roman" w:hAnsi="Times New Roman"/>
                <w:kern w:val="2"/>
                <w:sz w:val="20"/>
                <w:szCs w:val="20"/>
                <w:lang w:val="ru-RU" w:eastAsia="ru-RU" w:bidi="ar-SA"/>
              </w:rPr>
              <w:t>Очень сильный дождь (очень сильный дождь со снегом, очень сильный мокрый снег, очень сильный снег с дождем)</w:t>
            </w:r>
          </w:p>
        </w:tc>
        <w:tc>
          <w:tcPr>
            <w:tcW w:w="4960" w:type="dxa"/>
            <w:tcBorders/>
            <w:vAlign w:val="center"/>
          </w:tcPr>
          <w:p>
            <w:pPr>
              <w:pStyle w:val="Normal"/>
              <w:widowControl w:val="false"/>
              <w:suppressAutoHyphens w:val="true"/>
              <w:spacing w:lineRule="auto" w:line="240" w:before="0" w:after="0"/>
              <w:contextualSpacing/>
              <w:jc w:val="center"/>
              <w:rPr>
                <w:rFonts w:ascii="Times New Roman" w:hAnsi="Times New Roman" w:eastAsia="Lucida Sans Unicode"/>
                <w:kern w:val="2"/>
              </w:rPr>
            </w:pPr>
            <w:r>
              <w:rPr>
                <w:rFonts w:eastAsia="Lucida Sans Unicode" w:cs="Times New Roman" w:ascii="Times New Roman" w:hAnsi="Times New Roman"/>
                <w:kern w:val="2"/>
                <w:sz w:val="20"/>
                <w:szCs w:val="20"/>
                <w:lang w:val="ru-RU" w:eastAsia="ru-RU" w:bidi="ar-SA"/>
              </w:rPr>
              <w:t>Значительные жидкие или смешанные осадки (дождь, ливневый дождь, дождь со снегом, мокрый снег) с количеством выпавших осадков не менее 50  мм  за период времени не более 12 ч</w:t>
            </w:r>
          </w:p>
        </w:tc>
      </w:tr>
      <w:tr>
        <w:trPr>
          <w:cantSplit w:val="true"/>
        </w:trPr>
        <w:tc>
          <w:tcPr>
            <w:tcW w:w="4960" w:type="dxa"/>
            <w:tcBorders/>
            <w:vAlign w:val="center"/>
          </w:tcPr>
          <w:p>
            <w:pPr>
              <w:pStyle w:val="Normal"/>
              <w:widowControl w:val="false"/>
              <w:suppressAutoHyphens w:val="true"/>
              <w:spacing w:lineRule="auto" w:line="240" w:before="0" w:after="0"/>
              <w:contextualSpacing/>
              <w:jc w:val="center"/>
              <w:rPr>
                <w:rFonts w:ascii="Times New Roman" w:hAnsi="Times New Roman" w:eastAsia="Lucida Sans Unicode"/>
                <w:kern w:val="2"/>
              </w:rPr>
            </w:pPr>
            <w:r>
              <w:rPr>
                <w:rFonts w:eastAsia="Lucida Sans Unicode" w:cs="Times New Roman" w:ascii="Times New Roman" w:hAnsi="Times New Roman"/>
                <w:kern w:val="2"/>
                <w:sz w:val="20"/>
                <w:szCs w:val="20"/>
                <w:lang w:val="ru-RU" w:eastAsia="ru-RU" w:bidi="ar-SA"/>
              </w:rPr>
              <w:t>Очень сильный снег</w:t>
            </w:r>
          </w:p>
        </w:tc>
        <w:tc>
          <w:tcPr>
            <w:tcW w:w="4960" w:type="dxa"/>
            <w:tcBorders/>
            <w:vAlign w:val="center"/>
          </w:tcPr>
          <w:p>
            <w:pPr>
              <w:pStyle w:val="Normal"/>
              <w:widowControl w:val="false"/>
              <w:suppressAutoHyphens w:val="true"/>
              <w:spacing w:lineRule="auto" w:line="240" w:before="0" w:after="0"/>
              <w:contextualSpacing/>
              <w:jc w:val="center"/>
              <w:rPr>
                <w:rFonts w:ascii="Times New Roman" w:hAnsi="Times New Roman" w:eastAsia="Lucida Sans Unicode"/>
                <w:kern w:val="2"/>
              </w:rPr>
            </w:pPr>
            <w:r>
              <w:rPr>
                <w:rFonts w:eastAsia="Lucida Sans Unicode" w:cs="Times New Roman" w:ascii="Times New Roman" w:hAnsi="Times New Roman"/>
                <w:kern w:val="2"/>
                <w:sz w:val="20"/>
                <w:szCs w:val="20"/>
                <w:lang w:val="ru-RU" w:eastAsia="ru-RU" w:bidi="ar-SA"/>
              </w:rPr>
              <w:t>Значительные твердые осадки (снег, ливневый снег) с количеством выпавших осадков  не менее 20 мм  за период времени не более 12 ч</w:t>
            </w:r>
          </w:p>
        </w:tc>
      </w:tr>
      <w:tr>
        <w:trPr>
          <w:cantSplit w:val="true"/>
        </w:trPr>
        <w:tc>
          <w:tcPr>
            <w:tcW w:w="4960" w:type="dxa"/>
            <w:tcBorders/>
            <w:vAlign w:val="center"/>
          </w:tcPr>
          <w:p>
            <w:pPr>
              <w:pStyle w:val="Normal"/>
              <w:widowControl w:val="false"/>
              <w:suppressAutoHyphens w:val="true"/>
              <w:spacing w:lineRule="auto" w:line="240" w:before="0" w:after="0"/>
              <w:contextualSpacing/>
              <w:jc w:val="center"/>
              <w:rPr>
                <w:rFonts w:ascii="Times New Roman" w:hAnsi="Times New Roman" w:eastAsia="Lucida Sans Unicode"/>
                <w:kern w:val="2"/>
              </w:rPr>
            </w:pPr>
            <w:r>
              <w:rPr>
                <w:rFonts w:eastAsia="Lucida Sans Unicode" w:cs="Times New Roman" w:ascii="Times New Roman" w:hAnsi="Times New Roman"/>
                <w:kern w:val="2"/>
                <w:sz w:val="20"/>
                <w:szCs w:val="20"/>
                <w:lang w:val="ru-RU" w:eastAsia="ru-RU" w:bidi="ar-SA"/>
              </w:rPr>
              <w:t>Продолжительный сильный дождь</w:t>
            </w:r>
          </w:p>
        </w:tc>
        <w:tc>
          <w:tcPr>
            <w:tcW w:w="4960" w:type="dxa"/>
            <w:tcBorders/>
            <w:vAlign w:val="center"/>
          </w:tcPr>
          <w:p>
            <w:pPr>
              <w:pStyle w:val="Normal"/>
              <w:widowControl w:val="false"/>
              <w:suppressAutoHyphens w:val="true"/>
              <w:spacing w:lineRule="auto" w:line="240" w:before="0" w:after="0"/>
              <w:contextualSpacing/>
              <w:jc w:val="center"/>
              <w:rPr>
                <w:rFonts w:ascii="Times New Roman" w:hAnsi="Times New Roman" w:eastAsia="Lucida Sans Unicode"/>
                <w:kern w:val="2"/>
              </w:rPr>
            </w:pPr>
            <w:r>
              <w:rPr>
                <w:rFonts w:eastAsia="Lucida Sans Unicode" w:cs="Times New Roman" w:ascii="Times New Roman" w:hAnsi="Times New Roman"/>
                <w:kern w:val="2"/>
                <w:sz w:val="20"/>
                <w:szCs w:val="20"/>
                <w:lang w:val="ru-RU" w:eastAsia="ru-RU" w:bidi="ar-SA"/>
              </w:rPr>
              <w:t>Дождь с короткими перерывами (не более 1 ч) с  количеством осадков не менее 100 мм за период времени более 12 ч, но менее 48 ч, или 120 мм  за период времени более 2 суток</w:t>
            </w:r>
          </w:p>
        </w:tc>
      </w:tr>
      <w:tr>
        <w:trPr>
          <w:cantSplit w:val="true"/>
        </w:trPr>
        <w:tc>
          <w:tcPr>
            <w:tcW w:w="4960" w:type="dxa"/>
            <w:tcBorders/>
            <w:vAlign w:val="center"/>
          </w:tcPr>
          <w:p>
            <w:pPr>
              <w:pStyle w:val="Normal"/>
              <w:widowControl w:val="false"/>
              <w:suppressAutoHyphens w:val="true"/>
              <w:spacing w:lineRule="auto" w:line="240" w:before="0" w:after="0"/>
              <w:contextualSpacing/>
              <w:jc w:val="center"/>
              <w:rPr>
                <w:rFonts w:ascii="Times New Roman" w:hAnsi="Times New Roman" w:eastAsia="Lucida Sans Unicode"/>
                <w:kern w:val="2"/>
              </w:rPr>
            </w:pPr>
            <w:r>
              <w:rPr>
                <w:rFonts w:eastAsia="Lucida Sans Unicode" w:cs="Times New Roman" w:ascii="Times New Roman" w:hAnsi="Times New Roman"/>
                <w:kern w:val="2"/>
                <w:sz w:val="20"/>
                <w:szCs w:val="20"/>
                <w:lang w:val="ru-RU" w:eastAsia="ru-RU" w:bidi="ar-SA"/>
              </w:rPr>
              <w:t>Крупный град</w:t>
            </w:r>
          </w:p>
        </w:tc>
        <w:tc>
          <w:tcPr>
            <w:tcW w:w="4960" w:type="dxa"/>
            <w:tcBorders/>
            <w:vAlign w:val="center"/>
          </w:tcPr>
          <w:p>
            <w:pPr>
              <w:pStyle w:val="Normal"/>
              <w:widowControl w:val="false"/>
              <w:suppressAutoHyphens w:val="true"/>
              <w:spacing w:lineRule="auto" w:line="240" w:before="0" w:after="0"/>
              <w:contextualSpacing/>
              <w:jc w:val="center"/>
              <w:rPr>
                <w:rFonts w:ascii="Times New Roman" w:hAnsi="Times New Roman" w:eastAsia="Lucida Sans Unicode"/>
                <w:kern w:val="2"/>
              </w:rPr>
            </w:pPr>
            <w:r>
              <w:rPr>
                <w:rFonts w:eastAsia="Lucida Sans Unicode" w:cs="Times New Roman" w:ascii="Times New Roman" w:hAnsi="Times New Roman"/>
                <w:kern w:val="2"/>
                <w:sz w:val="20"/>
                <w:szCs w:val="20"/>
                <w:lang w:val="ru-RU" w:eastAsia="ru-RU" w:bidi="ar-SA"/>
              </w:rPr>
              <w:t>Град диаметром 20 мм и более</w:t>
            </w:r>
          </w:p>
        </w:tc>
      </w:tr>
      <w:tr>
        <w:trPr>
          <w:cantSplit w:val="true"/>
        </w:trPr>
        <w:tc>
          <w:tcPr>
            <w:tcW w:w="4960" w:type="dxa"/>
            <w:tcBorders/>
            <w:vAlign w:val="center"/>
          </w:tcPr>
          <w:p>
            <w:pPr>
              <w:pStyle w:val="Normal"/>
              <w:widowControl w:val="false"/>
              <w:suppressAutoHyphens w:val="true"/>
              <w:spacing w:lineRule="auto" w:line="240" w:before="0" w:after="0"/>
              <w:contextualSpacing/>
              <w:jc w:val="center"/>
              <w:rPr>
                <w:rFonts w:ascii="Times New Roman" w:hAnsi="Times New Roman" w:eastAsia="Lucida Sans Unicode"/>
                <w:kern w:val="2"/>
              </w:rPr>
            </w:pPr>
            <w:r>
              <w:rPr>
                <w:rFonts w:eastAsia="Lucida Sans Unicode" w:cs="Times New Roman" w:ascii="Times New Roman" w:hAnsi="Times New Roman"/>
                <w:kern w:val="2"/>
                <w:sz w:val="20"/>
                <w:szCs w:val="20"/>
                <w:lang w:val="ru-RU" w:eastAsia="ru-RU" w:bidi="ar-SA"/>
              </w:rPr>
              <w:t>Сильная метель</w:t>
            </w:r>
          </w:p>
        </w:tc>
        <w:tc>
          <w:tcPr>
            <w:tcW w:w="4960" w:type="dxa"/>
            <w:tcBorders/>
            <w:vAlign w:val="center"/>
          </w:tcPr>
          <w:p>
            <w:pPr>
              <w:pStyle w:val="Normal"/>
              <w:widowControl w:val="false"/>
              <w:suppressAutoHyphens w:val="true"/>
              <w:spacing w:lineRule="auto" w:line="240" w:before="0" w:after="0"/>
              <w:contextualSpacing/>
              <w:jc w:val="center"/>
              <w:rPr>
                <w:rFonts w:ascii="Times New Roman" w:hAnsi="Times New Roman" w:eastAsia="Lucida Sans Unicode"/>
                <w:kern w:val="2"/>
              </w:rPr>
            </w:pPr>
            <w:r>
              <w:rPr>
                <w:rFonts w:eastAsia="Lucida Sans Unicode" w:cs="Times New Roman" w:ascii="Times New Roman" w:hAnsi="Times New Roman"/>
                <w:kern w:val="2"/>
                <w:sz w:val="20"/>
                <w:szCs w:val="20"/>
                <w:lang w:val="ru-RU" w:eastAsia="ru-RU" w:bidi="ar-SA"/>
              </w:rPr>
              <w:t>Перенос снега с подстилающей поверхности  (часто сопровождаемый выпадением снега из облаков) сильным (со средней скоростью не менее 15 м/с) ветром и с метеорологической дальностью видимости не более 500 м продолжительностью не менее 12 ч</w:t>
            </w:r>
          </w:p>
        </w:tc>
      </w:tr>
      <w:tr>
        <w:trPr>
          <w:cantSplit w:val="true"/>
        </w:trPr>
        <w:tc>
          <w:tcPr>
            <w:tcW w:w="4960" w:type="dxa"/>
            <w:tcBorders/>
            <w:vAlign w:val="center"/>
          </w:tcPr>
          <w:p>
            <w:pPr>
              <w:pStyle w:val="Normal"/>
              <w:widowControl w:val="false"/>
              <w:suppressAutoHyphens w:val="true"/>
              <w:spacing w:lineRule="auto" w:line="240" w:before="0" w:after="0"/>
              <w:contextualSpacing/>
              <w:jc w:val="center"/>
              <w:rPr>
                <w:rFonts w:ascii="Times New Roman" w:hAnsi="Times New Roman" w:eastAsia="Lucida Sans Unicode"/>
                <w:kern w:val="2"/>
              </w:rPr>
            </w:pPr>
            <w:r>
              <w:rPr>
                <w:rFonts w:eastAsia="Lucida Sans Unicode" w:cs="Times New Roman" w:ascii="Times New Roman" w:hAnsi="Times New Roman"/>
                <w:kern w:val="2"/>
                <w:sz w:val="20"/>
                <w:szCs w:val="20"/>
                <w:lang w:val="ru-RU" w:eastAsia="ru-RU" w:bidi="ar-SA"/>
              </w:rPr>
              <w:t>Сильная пыльная (песчаная) буря</w:t>
            </w:r>
          </w:p>
        </w:tc>
        <w:tc>
          <w:tcPr>
            <w:tcW w:w="4960" w:type="dxa"/>
            <w:tcBorders/>
            <w:vAlign w:val="center"/>
          </w:tcPr>
          <w:p>
            <w:pPr>
              <w:pStyle w:val="Normal"/>
              <w:widowControl w:val="false"/>
              <w:suppressAutoHyphens w:val="true"/>
              <w:spacing w:lineRule="auto" w:line="240" w:before="0" w:after="0"/>
              <w:contextualSpacing/>
              <w:jc w:val="center"/>
              <w:rPr>
                <w:rFonts w:ascii="Times New Roman" w:hAnsi="Times New Roman" w:eastAsia="Lucida Sans Unicode"/>
                <w:kern w:val="2"/>
              </w:rPr>
            </w:pPr>
            <w:r>
              <w:rPr>
                <w:rFonts w:eastAsia="Lucida Sans Unicode" w:cs="Times New Roman" w:ascii="Times New Roman" w:hAnsi="Times New Roman"/>
                <w:kern w:val="2"/>
                <w:sz w:val="20"/>
                <w:szCs w:val="20"/>
                <w:lang w:val="ru-RU" w:eastAsia="ru-RU" w:bidi="ar-SA"/>
              </w:rPr>
              <w:t>Перенос пыли (песка) сильным (со средней скоростью не менее 15 м/с) ветром и с метеорологической дальностью видимости не более 500 м продолжительностью не менее 12 ч</w:t>
            </w:r>
          </w:p>
        </w:tc>
      </w:tr>
      <w:tr>
        <w:trPr>
          <w:cantSplit w:val="true"/>
        </w:trPr>
        <w:tc>
          <w:tcPr>
            <w:tcW w:w="4960" w:type="dxa"/>
            <w:tcBorders/>
            <w:vAlign w:val="center"/>
          </w:tcPr>
          <w:p>
            <w:pPr>
              <w:pStyle w:val="Normal"/>
              <w:widowControl w:val="false"/>
              <w:suppressAutoHyphens w:val="true"/>
              <w:spacing w:lineRule="auto" w:line="240" w:before="0" w:after="0"/>
              <w:contextualSpacing/>
              <w:jc w:val="center"/>
              <w:rPr>
                <w:rFonts w:ascii="Times New Roman" w:hAnsi="Times New Roman" w:eastAsia="Lucida Sans Unicode"/>
                <w:kern w:val="2"/>
              </w:rPr>
            </w:pPr>
            <w:r>
              <w:rPr>
                <w:rFonts w:eastAsia="Lucida Sans Unicode" w:cs="Times New Roman" w:ascii="Times New Roman" w:hAnsi="Times New Roman"/>
                <w:kern w:val="2"/>
                <w:sz w:val="20"/>
                <w:szCs w:val="20"/>
                <w:lang w:val="ru-RU" w:eastAsia="ru-RU" w:bidi="ar-SA"/>
              </w:rPr>
              <w:t>Сильный туман (сильная мгла)</w:t>
            </w:r>
          </w:p>
        </w:tc>
        <w:tc>
          <w:tcPr>
            <w:tcW w:w="4960" w:type="dxa"/>
            <w:tcBorders/>
            <w:vAlign w:val="center"/>
          </w:tcPr>
          <w:p>
            <w:pPr>
              <w:pStyle w:val="Normal"/>
              <w:widowControl w:val="false"/>
              <w:suppressAutoHyphens w:val="true"/>
              <w:spacing w:lineRule="auto" w:line="240" w:before="0" w:after="0"/>
              <w:contextualSpacing/>
              <w:jc w:val="center"/>
              <w:rPr>
                <w:rFonts w:ascii="Times New Roman" w:hAnsi="Times New Roman" w:eastAsia="Lucida Sans Unicode"/>
                <w:kern w:val="2"/>
              </w:rPr>
            </w:pPr>
            <w:r>
              <w:rPr>
                <w:rFonts w:eastAsia="Lucida Sans Unicode" w:cs="Times New Roman" w:ascii="Times New Roman" w:hAnsi="Times New Roman"/>
                <w:kern w:val="2"/>
                <w:sz w:val="20"/>
                <w:szCs w:val="20"/>
                <w:lang w:val="ru-RU" w:eastAsia="ru-RU" w:bidi="ar-SA"/>
              </w:rPr>
              <w:t>Сильное помутнение воздуха за счет скопления мельчайших частиц воды (пыли, продуктов горения), при котором значение метеорологической дальности видимости не более 50 м  продолжительностью не менее 12 ч</w:t>
            </w:r>
          </w:p>
        </w:tc>
      </w:tr>
      <w:tr>
        <w:trPr>
          <w:cantSplit w:val="true"/>
        </w:trPr>
        <w:tc>
          <w:tcPr>
            <w:tcW w:w="4960" w:type="dxa"/>
            <w:tcBorders/>
            <w:vAlign w:val="center"/>
          </w:tcPr>
          <w:p>
            <w:pPr>
              <w:pStyle w:val="Normal"/>
              <w:widowControl w:val="false"/>
              <w:suppressAutoHyphens w:val="true"/>
              <w:spacing w:lineRule="auto" w:line="240" w:before="0" w:after="0"/>
              <w:contextualSpacing/>
              <w:jc w:val="center"/>
              <w:rPr>
                <w:rFonts w:ascii="Times New Roman" w:hAnsi="Times New Roman" w:eastAsia="Lucida Sans Unicode"/>
                <w:kern w:val="2"/>
              </w:rPr>
            </w:pPr>
            <w:r>
              <w:rPr>
                <w:rFonts w:eastAsia="Lucida Sans Unicode" w:cs="Times New Roman" w:ascii="Times New Roman" w:hAnsi="Times New Roman"/>
                <w:kern w:val="2"/>
                <w:sz w:val="20"/>
                <w:szCs w:val="20"/>
                <w:lang w:val="ru-RU" w:eastAsia="ru-RU" w:bidi="ar-SA"/>
              </w:rPr>
              <w:t>Сильное гололедно-изморозевое отложение</w:t>
            </w:r>
          </w:p>
        </w:tc>
        <w:tc>
          <w:tcPr>
            <w:tcW w:w="4960" w:type="dxa"/>
            <w:tcBorders/>
            <w:vAlign w:val="center"/>
          </w:tcPr>
          <w:p>
            <w:pPr>
              <w:pStyle w:val="Normal"/>
              <w:widowControl w:val="false"/>
              <w:suppressAutoHyphens w:val="true"/>
              <w:spacing w:lineRule="auto" w:line="240" w:before="0" w:after="0"/>
              <w:jc w:val="center"/>
              <w:rPr>
                <w:rFonts w:ascii="Times New Roman" w:hAnsi="Times New Roman" w:eastAsia="Lucida Sans Unicode"/>
                <w:kern w:val="2"/>
              </w:rPr>
            </w:pPr>
            <w:r>
              <w:rPr>
                <w:rFonts w:eastAsia="Lucida Sans Unicode" w:cs="Times New Roman" w:ascii="Times New Roman" w:hAnsi="Times New Roman"/>
                <w:kern w:val="2"/>
                <w:sz w:val="20"/>
                <w:szCs w:val="20"/>
                <w:lang w:val="ru-RU" w:eastAsia="ru-RU" w:bidi="ar-SA"/>
              </w:rPr>
              <w:t>Диаметр отложения на проводах гололедного станка:</w:t>
            </w:r>
          </w:p>
          <w:p>
            <w:pPr>
              <w:pStyle w:val="Normal"/>
              <w:widowControl w:val="false"/>
              <w:suppressAutoHyphens w:val="true"/>
              <w:spacing w:lineRule="auto" w:line="240" w:before="0" w:after="0"/>
              <w:jc w:val="center"/>
              <w:rPr>
                <w:rFonts w:ascii="Times New Roman" w:hAnsi="Times New Roman" w:eastAsia="Lucida Sans Unicode"/>
                <w:kern w:val="2"/>
              </w:rPr>
            </w:pPr>
            <w:r>
              <w:rPr>
                <w:rFonts w:eastAsia="Lucida Sans Unicode" w:cs="Times New Roman" w:ascii="Times New Roman" w:hAnsi="Times New Roman"/>
                <w:kern w:val="2"/>
                <w:sz w:val="20"/>
                <w:szCs w:val="20"/>
                <w:lang w:val="ru-RU" w:eastAsia="ru-RU" w:bidi="ar-SA"/>
              </w:rPr>
              <w:t>гололеда – диаметром не менее 20 мм;</w:t>
            </w:r>
          </w:p>
          <w:p>
            <w:pPr>
              <w:pStyle w:val="Normal"/>
              <w:widowControl w:val="false"/>
              <w:suppressAutoHyphens w:val="true"/>
              <w:spacing w:lineRule="auto" w:line="240" w:before="0" w:after="0"/>
              <w:jc w:val="center"/>
              <w:rPr>
                <w:rFonts w:ascii="Times New Roman" w:hAnsi="Times New Roman" w:eastAsia="Lucida Sans Unicode"/>
                <w:kern w:val="2"/>
              </w:rPr>
            </w:pPr>
            <w:r>
              <w:rPr>
                <w:rFonts w:eastAsia="Lucida Sans Unicode" w:cs="Times New Roman" w:ascii="Times New Roman" w:hAnsi="Times New Roman"/>
                <w:kern w:val="2"/>
                <w:sz w:val="20"/>
                <w:szCs w:val="20"/>
                <w:lang w:val="ru-RU" w:eastAsia="ru-RU" w:bidi="ar-SA"/>
              </w:rPr>
              <w:t>сложного отложения или мокрого (замерзающего) снега – диаметром не менее 35 мм;</w:t>
            </w:r>
          </w:p>
          <w:p>
            <w:pPr>
              <w:pStyle w:val="Normal"/>
              <w:widowControl w:val="false"/>
              <w:suppressAutoHyphens w:val="true"/>
              <w:spacing w:lineRule="auto" w:line="240" w:before="0" w:after="0"/>
              <w:contextualSpacing/>
              <w:jc w:val="center"/>
              <w:rPr>
                <w:rFonts w:ascii="Times New Roman" w:hAnsi="Times New Roman" w:eastAsia="Lucida Sans Unicode"/>
                <w:kern w:val="2"/>
              </w:rPr>
            </w:pPr>
            <w:r>
              <w:rPr>
                <w:rFonts w:eastAsia="Lucida Sans Unicode" w:cs="Times New Roman" w:ascii="Times New Roman" w:hAnsi="Times New Roman"/>
                <w:kern w:val="2"/>
                <w:sz w:val="20"/>
                <w:szCs w:val="20"/>
                <w:lang w:val="ru-RU" w:eastAsia="ru-RU" w:bidi="ar-SA"/>
              </w:rPr>
              <w:t>изморози – диаметр отложения не менее 50 мм</w:t>
            </w:r>
          </w:p>
        </w:tc>
      </w:tr>
      <w:tr>
        <w:trPr>
          <w:cantSplit w:val="true"/>
        </w:trPr>
        <w:tc>
          <w:tcPr>
            <w:tcW w:w="4960" w:type="dxa"/>
            <w:tcBorders/>
            <w:vAlign w:val="center"/>
          </w:tcPr>
          <w:p>
            <w:pPr>
              <w:pStyle w:val="Normal"/>
              <w:widowControl w:val="false"/>
              <w:suppressAutoHyphens w:val="true"/>
              <w:spacing w:lineRule="auto" w:line="240" w:before="0" w:after="0"/>
              <w:contextualSpacing/>
              <w:jc w:val="center"/>
              <w:rPr>
                <w:rFonts w:ascii="Times New Roman" w:hAnsi="Times New Roman" w:eastAsia="Lucida Sans Unicode"/>
                <w:kern w:val="2"/>
              </w:rPr>
            </w:pPr>
            <w:r>
              <w:rPr>
                <w:rFonts w:eastAsia="Lucida Sans Unicode" w:cs="Times New Roman" w:ascii="Times New Roman" w:hAnsi="Times New Roman"/>
                <w:kern w:val="2"/>
                <w:sz w:val="20"/>
                <w:szCs w:val="20"/>
                <w:lang w:val="ru-RU" w:eastAsia="ru-RU" w:bidi="ar-SA"/>
              </w:rPr>
              <w:t>Сильный мороз</w:t>
            </w:r>
          </w:p>
        </w:tc>
        <w:tc>
          <w:tcPr>
            <w:tcW w:w="4960" w:type="dxa"/>
            <w:tcBorders/>
            <w:vAlign w:val="center"/>
          </w:tcPr>
          <w:p>
            <w:pPr>
              <w:pStyle w:val="Normal"/>
              <w:widowControl w:val="false"/>
              <w:suppressAutoHyphens w:val="true"/>
              <w:spacing w:lineRule="auto" w:line="240" w:before="0" w:after="0"/>
              <w:contextualSpacing/>
              <w:jc w:val="center"/>
              <w:rPr>
                <w:rFonts w:ascii="Times New Roman" w:hAnsi="Times New Roman" w:eastAsia="Lucida Sans Unicode"/>
                <w:kern w:val="2"/>
              </w:rPr>
            </w:pPr>
            <w:r>
              <w:rPr>
                <w:rFonts w:eastAsia="Lucida Sans Unicode" w:cs="Times New Roman" w:ascii="Times New Roman" w:hAnsi="Times New Roman"/>
                <w:kern w:val="2"/>
                <w:sz w:val="20"/>
                <w:szCs w:val="20"/>
                <w:lang w:val="ru-RU" w:eastAsia="ru-RU" w:bidi="ar-SA"/>
              </w:rPr>
              <w:t>В период с декабря по февраль значение минимальной температуры воздуха достигает 40 гр. мороза или ниже, в ноябре - 32 гр. мороза или ниже, в марте - 34 гр. мороза или ниже</w:t>
            </w:r>
          </w:p>
        </w:tc>
      </w:tr>
      <w:tr>
        <w:trPr>
          <w:cantSplit w:val="true"/>
        </w:trPr>
        <w:tc>
          <w:tcPr>
            <w:tcW w:w="4960" w:type="dxa"/>
            <w:tcBorders/>
            <w:vAlign w:val="center"/>
          </w:tcPr>
          <w:p>
            <w:pPr>
              <w:pStyle w:val="Normal"/>
              <w:widowControl w:val="false"/>
              <w:suppressAutoHyphens w:val="true"/>
              <w:spacing w:lineRule="auto" w:line="240" w:before="0" w:after="0"/>
              <w:contextualSpacing/>
              <w:jc w:val="center"/>
              <w:rPr>
                <w:rFonts w:ascii="Times New Roman" w:hAnsi="Times New Roman" w:eastAsia="Lucida Sans Unicode"/>
                <w:kern w:val="2"/>
              </w:rPr>
            </w:pPr>
            <w:r>
              <w:rPr>
                <w:rFonts w:eastAsia="Lucida Sans Unicode" w:cs="Times New Roman" w:ascii="Times New Roman" w:hAnsi="Times New Roman"/>
                <w:kern w:val="2"/>
                <w:sz w:val="20"/>
                <w:szCs w:val="20"/>
                <w:lang w:val="ru-RU" w:eastAsia="ru-RU" w:bidi="ar-SA"/>
              </w:rPr>
              <w:t>Аномально-холодная погода</w:t>
            </w:r>
          </w:p>
        </w:tc>
        <w:tc>
          <w:tcPr>
            <w:tcW w:w="4960" w:type="dxa"/>
            <w:tcBorders/>
            <w:vAlign w:val="center"/>
          </w:tcPr>
          <w:p>
            <w:pPr>
              <w:pStyle w:val="Normal"/>
              <w:widowControl w:val="false"/>
              <w:suppressAutoHyphens w:val="true"/>
              <w:spacing w:lineRule="auto" w:line="240" w:before="0" w:after="0"/>
              <w:contextualSpacing/>
              <w:jc w:val="center"/>
              <w:rPr>
                <w:rFonts w:ascii="Times New Roman" w:hAnsi="Times New Roman" w:eastAsia="Lucida Sans Unicode"/>
                <w:kern w:val="2"/>
              </w:rPr>
            </w:pPr>
            <w:r>
              <w:rPr>
                <w:rFonts w:eastAsia="Lucida Sans Unicode" w:cs="Times New Roman" w:ascii="Times New Roman" w:hAnsi="Times New Roman"/>
                <w:kern w:val="2"/>
                <w:sz w:val="20"/>
                <w:szCs w:val="20"/>
                <w:lang w:val="ru-RU" w:eastAsia="ru-RU" w:bidi="ar-SA"/>
              </w:rPr>
              <w:t>В течение 5 дней подряд и более значение среднесуточной температуры меньше климатической нормы на 9 гр. и более или/и значение минимальной температуры воздуха достигает 30 гр. мороза или ниже</w:t>
            </w:r>
          </w:p>
        </w:tc>
      </w:tr>
      <w:tr>
        <w:trPr>
          <w:cantSplit w:val="true"/>
        </w:trPr>
        <w:tc>
          <w:tcPr>
            <w:tcW w:w="4960" w:type="dxa"/>
            <w:tcBorders/>
            <w:vAlign w:val="center"/>
          </w:tcPr>
          <w:p>
            <w:pPr>
              <w:pStyle w:val="Normal"/>
              <w:widowControl w:val="false"/>
              <w:suppressAutoHyphens w:val="true"/>
              <w:spacing w:lineRule="auto" w:line="240" w:before="0" w:after="0"/>
              <w:contextualSpacing/>
              <w:jc w:val="center"/>
              <w:rPr>
                <w:rFonts w:ascii="Times New Roman" w:hAnsi="Times New Roman" w:eastAsia="Lucida Sans Unicode"/>
                <w:kern w:val="2"/>
              </w:rPr>
            </w:pPr>
            <w:r>
              <w:rPr>
                <w:rFonts w:eastAsia="Lucida Sans Unicode" w:cs="Times New Roman" w:ascii="Times New Roman" w:hAnsi="Times New Roman"/>
                <w:kern w:val="2"/>
                <w:sz w:val="20"/>
                <w:szCs w:val="20"/>
                <w:lang w:val="ru-RU" w:eastAsia="ru-RU" w:bidi="ar-SA"/>
              </w:rPr>
              <w:t>Сильная жара</w:t>
            </w:r>
          </w:p>
        </w:tc>
        <w:tc>
          <w:tcPr>
            <w:tcW w:w="4960" w:type="dxa"/>
            <w:tcBorders/>
            <w:vAlign w:val="center"/>
          </w:tcPr>
          <w:p>
            <w:pPr>
              <w:pStyle w:val="Normal"/>
              <w:widowControl w:val="false"/>
              <w:suppressAutoHyphens w:val="true"/>
              <w:spacing w:lineRule="auto" w:line="240" w:before="0" w:after="0"/>
              <w:contextualSpacing/>
              <w:jc w:val="center"/>
              <w:rPr>
                <w:rFonts w:ascii="Times New Roman" w:hAnsi="Times New Roman" w:eastAsia="Lucida Sans Unicode"/>
                <w:kern w:val="2"/>
              </w:rPr>
            </w:pPr>
            <w:r>
              <w:rPr>
                <w:rFonts w:eastAsia="Lucida Sans Unicode" w:cs="Times New Roman" w:ascii="Times New Roman" w:hAnsi="Times New Roman"/>
                <w:kern w:val="2"/>
                <w:sz w:val="20"/>
                <w:szCs w:val="20"/>
                <w:lang w:val="ru-RU" w:eastAsia="ru-RU" w:bidi="ar-SA"/>
              </w:rPr>
              <w:t>В период с июня по август значение максимальной температуры воздуха достигает 37 гр. тепла или выше, в мае - 34 гр. тепла или выше</w:t>
            </w:r>
          </w:p>
        </w:tc>
      </w:tr>
      <w:tr>
        <w:trPr>
          <w:cantSplit w:val="true"/>
        </w:trPr>
        <w:tc>
          <w:tcPr>
            <w:tcW w:w="4960" w:type="dxa"/>
            <w:tcBorders/>
            <w:vAlign w:val="center"/>
          </w:tcPr>
          <w:p>
            <w:pPr>
              <w:pStyle w:val="Normal"/>
              <w:widowControl w:val="false"/>
              <w:suppressAutoHyphens w:val="true"/>
              <w:spacing w:lineRule="auto" w:line="240" w:before="0" w:after="0"/>
              <w:contextualSpacing/>
              <w:jc w:val="center"/>
              <w:rPr>
                <w:rFonts w:ascii="Times New Roman" w:hAnsi="Times New Roman" w:eastAsia="Lucida Sans Unicode"/>
                <w:kern w:val="2"/>
              </w:rPr>
            </w:pPr>
            <w:r>
              <w:rPr>
                <w:rFonts w:eastAsia="Lucida Sans Unicode" w:cs="Times New Roman" w:ascii="Times New Roman" w:hAnsi="Times New Roman"/>
                <w:kern w:val="2"/>
                <w:sz w:val="20"/>
                <w:szCs w:val="20"/>
                <w:lang w:val="ru-RU" w:eastAsia="ru-RU" w:bidi="ar-SA"/>
              </w:rPr>
              <w:t>Аномально-жаркая погода</w:t>
            </w:r>
          </w:p>
        </w:tc>
        <w:tc>
          <w:tcPr>
            <w:tcW w:w="4960" w:type="dxa"/>
            <w:tcBorders/>
            <w:vAlign w:val="center"/>
          </w:tcPr>
          <w:p>
            <w:pPr>
              <w:pStyle w:val="Normal"/>
              <w:widowControl w:val="false"/>
              <w:suppressAutoHyphens w:val="true"/>
              <w:spacing w:lineRule="auto" w:line="240" w:before="0" w:after="0"/>
              <w:contextualSpacing/>
              <w:jc w:val="center"/>
              <w:rPr>
                <w:rFonts w:ascii="Times New Roman" w:hAnsi="Times New Roman" w:eastAsia="Lucida Sans Unicode"/>
                <w:kern w:val="2"/>
              </w:rPr>
            </w:pPr>
            <w:r>
              <w:rPr>
                <w:rFonts w:eastAsia="Lucida Sans Unicode" w:cs="Times New Roman" w:ascii="Times New Roman" w:hAnsi="Times New Roman"/>
                <w:kern w:val="2"/>
                <w:sz w:val="20"/>
                <w:szCs w:val="20"/>
                <w:lang w:val="ru-RU" w:eastAsia="ru-RU" w:bidi="ar-SA"/>
              </w:rPr>
              <w:t>В период с апреля по сентябрь в течение 5 дней и более значение среднесуточной температуры воздуха выше климатической нормы на 9 °С и более</w:t>
            </w:r>
          </w:p>
        </w:tc>
      </w:tr>
      <w:tr>
        <w:trPr>
          <w:cantSplit w:val="true"/>
        </w:trPr>
        <w:tc>
          <w:tcPr>
            <w:tcW w:w="4960" w:type="dxa"/>
            <w:tcBorders/>
            <w:vAlign w:val="center"/>
          </w:tcPr>
          <w:p>
            <w:pPr>
              <w:pStyle w:val="Normal"/>
              <w:widowControl w:val="false"/>
              <w:suppressAutoHyphens w:val="true"/>
              <w:spacing w:lineRule="auto" w:line="240" w:before="0" w:after="0"/>
              <w:contextualSpacing/>
              <w:jc w:val="center"/>
              <w:rPr>
                <w:rFonts w:ascii="Times New Roman" w:hAnsi="Times New Roman" w:eastAsia="Lucida Sans Unicode"/>
                <w:kern w:val="2"/>
              </w:rPr>
            </w:pPr>
            <w:r>
              <w:rPr>
                <w:rFonts w:eastAsia="Lucida Sans Unicode" w:cs="Times New Roman" w:ascii="Times New Roman" w:hAnsi="Times New Roman"/>
                <w:kern w:val="2"/>
                <w:sz w:val="20"/>
                <w:szCs w:val="20"/>
                <w:lang w:val="ru-RU" w:eastAsia="ru-RU" w:bidi="ar-SA"/>
              </w:rPr>
              <w:t>Чрезвычайная пожарная опасность</w:t>
            </w:r>
          </w:p>
        </w:tc>
        <w:tc>
          <w:tcPr>
            <w:tcW w:w="4960" w:type="dxa"/>
            <w:tcBorders/>
            <w:vAlign w:val="center"/>
          </w:tcPr>
          <w:p>
            <w:pPr>
              <w:pStyle w:val="Normal"/>
              <w:widowControl w:val="false"/>
              <w:suppressAutoHyphens w:val="true"/>
              <w:spacing w:lineRule="auto" w:line="240" w:before="0" w:after="0"/>
              <w:contextualSpacing/>
              <w:jc w:val="center"/>
              <w:rPr>
                <w:rFonts w:ascii="Times New Roman" w:hAnsi="Times New Roman" w:eastAsia="Lucida Sans Unicode"/>
                <w:kern w:val="2"/>
              </w:rPr>
            </w:pPr>
            <w:r>
              <w:rPr>
                <w:rFonts w:eastAsia="Lucida Sans Unicode" w:cs="Times New Roman" w:ascii="Times New Roman" w:hAnsi="Times New Roman"/>
                <w:kern w:val="2"/>
                <w:sz w:val="20"/>
                <w:szCs w:val="20"/>
                <w:lang w:val="ru-RU" w:eastAsia="ru-RU" w:bidi="ar-SA"/>
              </w:rPr>
              <w:t>Показатель пожарной опасности относится к 5 классу (10000 °С по формуле Нестерова)</w:t>
            </w:r>
          </w:p>
        </w:tc>
      </w:tr>
    </w:tbl>
    <w:p>
      <w:pPr>
        <w:pStyle w:val="Normal"/>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Опасность для людей при неблагоприятных метеоявлениях заключается в разрушении дорожных и мостовых покрытий, увеличении количества ДТП, в разрушении сооружений, систем жизнеобеспечения, трансформаторов, воздушных линий электропередач и связи, наземных трубопроводов, а также поражении людей обломками разрушенных сооружений, осколками стекол, летящими с большой скоростью. Вследствие аварий, вызванных опасными метеорологическими явлениями, может быть нарушено устойчивое функционирование объектов производственной и социальной сферы, нанесен ущерб сельскому хозяйству. </w:t>
      </w:r>
    </w:p>
    <w:p>
      <w:pPr>
        <w:pStyle w:val="Normal"/>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Для смягчения последствий от опасных явлений метеорологического характера рекомендуется:</w:t>
      </w:r>
    </w:p>
    <w:p>
      <w:pPr>
        <w:pStyle w:val="ListParagraph"/>
        <w:numPr>
          <w:ilvl w:val="0"/>
          <w:numId w:val="4"/>
        </w:numPr>
        <w:spacing w:lineRule="auto" w:line="240" w:before="0" w:after="0"/>
        <w:ind w:left="0" w:firstLine="709"/>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оповещение населения об угрозе возникновения явления;</w:t>
      </w:r>
    </w:p>
    <w:p>
      <w:pPr>
        <w:pStyle w:val="ListParagraph"/>
        <w:numPr>
          <w:ilvl w:val="0"/>
          <w:numId w:val="4"/>
        </w:numPr>
        <w:spacing w:lineRule="auto" w:line="240" w:before="0" w:after="0"/>
        <w:ind w:left="0" w:firstLine="709"/>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отключение ЛЭП, обесточивание потребителей во избежание замыканий электрических сетей;</w:t>
      </w:r>
    </w:p>
    <w:p>
      <w:pPr>
        <w:pStyle w:val="ListParagraph"/>
        <w:numPr>
          <w:ilvl w:val="0"/>
          <w:numId w:val="4"/>
        </w:numPr>
        <w:spacing w:lineRule="auto" w:line="240" w:before="0" w:after="0"/>
        <w:ind w:left="0" w:firstLine="709"/>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отключение газоснабжения во избежание утечек газа и, как следствие, возможного пожара или взрыва; </w:t>
      </w:r>
    </w:p>
    <w:p>
      <w:pPr>
        <w:pStyle w:val="ListParagraph"/>
        <w:numPr>
          <w:ilvl w:val="0"/>
          <w:numId w:val="4"/>
        </w:numPr>
        <w:spacing w:lineRule="auto" w:line="240" w:before="0" w:after="0"/>
        <w:ind w:left="0" w:firstLine="709"/>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усиление зданий и сооружений, укрытие населения в капитальных строениях, подвалах и убежищах, защита витрин, окон с наветренной стороны;</w:t>
      </w:r>
    </w:p>
    <w:p>
      <w:pPr>
        <w:pStyle w:val="ListParagraph"/>
        <w:numPr>
          <w:ilvl w:val="0"/>
          <w:numId w:val="4"/>
        </w:numPr>
        <w:spacing w:lineRule="auto" w:line="240" w:before="0" w:after="0"/>
        <w:ind w:left="0" w:firstLine="709"/>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проведение противопаводковых мероприятий,</w:t>
      </w:r>
    </w:p>
    <w:p>
      <w:pPr>
        <w:pStyle w:val="ListParagraph"/>
        <w:numPr>
          <w:ilvl w:val="0"/>
          <w:numId w:val="4"/>
        </w:numPr>
        <w:spacing w:lineRule="auto" w:line="240" w:before="0" w:after="0"/>
        <w:ind w:left="0" w:firstLine="709"/>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застройка территории выше максимального уровня ежегодного подъема воды в половодье.</w:t>
      </w:r>
    </w:p>
    <w:p>
      <w:pPr>
        <w:pStyle w:val="ListParagraph"/>
        <w:spacing w:lineRule="auto" w:line="240" w:before="0" w:after="0"/>
        <w:ind w:left="0" w:firstLine="709"/>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В целях обеспечения нормальных условий для движения автотранспорта в зимний период требуется устройство постоянной (снегозащитные лесополосы, постоянные заборы) или временной снегозащиты (снегозадерживающие щиты, снежные траншеи и др.). </w:t>
      </w:r>
    </w:p>
    <w:p>
      <w:pPr>
        <w:pStyle w:val="Normal"/>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ind w:firstLine="709"/>
        <w:jc w:val="center"/>
        <w:rPr>
          <w:rFonts w:ascii="Times New Roman" w:hAnsi="Times New Roman" w:eastAsia="Times New Roman" w:cs="Times New Roman"/>
          <w:b/>
          <w:sz w:val="28"/>
          <w:szCs w:val="28"/>
          <w:lang w:eastAsia="ru-RU"/>
        </w:rPr>
      </w:pPr>
      <w:r>
        <w:rPr>
          <w:rFonts w:eastAsia="Times New Roman" w:cs="Times New Roman" w:ascii="Times New Roman" w:hAnsi="Times New Roman"/>
          <w:b/>
          <w:sz w:val="28"/>
          <w:szCs w:val="28"/>
          <w:lang w:eastAsia="ru-RU"/>
        </w:rPr>
        <w:t xml:space="preserve">Система обеспечения пожарной безопасности </w:t>
      </w:r>
    </w:p>
    <w:p>
      <w:pPr>
        <w:pStyle w:val="Normal"/>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В поселении есть собственная пожарная часть, имеется пожарная машина. </w:t>
      </w:r>
    </w:p>
    <w:p>
      <w:pPr>
        <w:pStyle w:val="Normal"/>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К источникам наружного противопожарного водоснабжения относятся пожарные гидранты в количестве -6 шт и водонапорная башня, которая хранит 10-ти минутный противопожарный запас воды и 3 места для забора воды с р. Волга</w:t>
      </w:r>
    </w:p>
    <w:p>
      <w:pPr>
        <w:pStyle w:val="Normal"/>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t>Объектовых подразделений пожарной охраны на территории Вахитовского СП не имеется. В район выезда Вахитовского сельского поселения входит: одно подразделение 112 ПСЧ 8 ПСО ФПС ГПС ГУ МЧС России по РТ дислоцируемое в с. Верхний Услон Верхнеуслонского СП, ул. Автодорожная, д.3., количество пожарной техники в расчете 2 ед./ в резерве 2 ед, из них: АЦ-8-40, АЦ – 8 (131)/ АЦ-8-40, АЦ – 8 (131).</w:t>
      </w:r>
    </w:p>
    <w:p>
      <w:pPr>
        <w:pStyle w:val="Normal"/>
        <w:spacing w:lineRule="auto" w:line="240" w:before="0" w:after="0"/>
        <w:ind w:firstLine="709"/>
        <w:contextualSpacing/>
        <w:jc w:val="both"/>
        <w:rPr>
          <w:rFonts w:ascii="Times New Roman" w:hAnsi="Times New Roman" w:eastAsia="Times New Roman" w:cs="Times New Roman"/>
          <w:sz w:val="28"/>
          <w:szCs w:val="28"/>
          <w:lang w:eastAsia="ru-RU"/>
        </w:rPr>
      </w:pPr>
      <w:r>
        <w:rPr>
          <w:rFonts w:cs="Times New Roman" w:ascii="Times New Roman" w:hAnsi="Times New Roman"/>
          <w:sz w:val="28"/>
          <w:szCs w:val="28"/>
        </w:rPr>
        <w:t>Одно подразделение добровольной пожарной команды ДПК «Никольский», дислоцируемое в н.п. пос. Никольский Набережно-Морквашского сельского поселения. Количество пожарной техники в расчете 1 ед. МАЗ – Водовоз.</w:t>
      </w:r>
      <w:r>
        <w:rPr>
          <w:rFonts w:eastAsia="Times New Roman" w:cs="Times New Roman" w:ascii="Times New Roman" w:hAnsi="Times New Roman"/>
          <w:sz w:val="28"/>
          <w:szCs w:val="28"/>
          <w:lang w:eastAsia="ru-RU"/>
        </w:rPr>
        <w:t>Согласно СП 31.13330.2012, а также в соответствии с Пособием по проектированию систем внутреннего и наружного пожаротушения технически несложных объектов П70.0010.09-90, норма расхода воды на наружное пожаротушение составляет 5 л/с для каждого населенного пункта (количество одновременных пожаров 1 в населенном пункте с населением менее 1000 чел.). Расчетный расход воды на внутреннее пожаротушение 2,5 л/с. Продолжительность тушения пожара – 3 часа.</w:t>
      </w:r>
    </w:p>
    <w:p>
      <w:pPr>
        <w:pStyle w:val="Normal"/>
        <w:spacing w:lineRule="auto" w:line="240" w:before="0" w:after="0"/>
        <w:ind w:firstLine="709"/>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firstLine="709"/>
        <w:jc w:val="center"/>
        <w:rPr>
          <w:rFonts w:ascii="Times New Roman" w:hAnsi="Times New Roman" w:eastAsia="Times New Roman" w:cs="Times New Roman"/>
          <w:b/>
          <w:sz w:val="28"/>
          <w:szCs w:val="28"/>
          <w:lang w:eastAsia="ru-RU"/>
        </w:rPr>
      </w:pPr>
      <w:r>
        <w:rPr>
          <w:rFonts w:eastAsia="Times New Roman" w:cs="Times New Roman" w:ascii="Times New Roman" w:hAnsi="Times New Roman"/>
          <w:b/>
          <w:sz w:val="28"/>
          <w:szCs w:val="28"/>
          <w:lang w:eastAsia="ru-RU"/>
        </w:rPr>
        <w:t>Полномочия органов местного самоуправления</w:t>
      </w:r>
    </w:p>
    <w:p>
      <w:pPr>
        <w:pStyle w:val="Normal"/>
        <w:spacing w:lineRule="auto" w:line="240" w:before="0" w:after="0"/>
        <w:ind w:firstLine="567"/>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Для профилактики пожаров, ограничения их распространения со стороны органов местного самоуправления необходимо реализовывать первичные меры пожарной безопасности в соответствии со ст.63 Федерального закона от 22.07.2008 №123-ФЗ «Технический регламент о требованиях пожарной безопасности» (с изменениями и дополнениями) (далее – ФЗ от 22.07.2008 №123-ФЗ), со стороны населения соблюдать меры пожарной безопасности.</w:t>
      </w:r>
    </w:p>
    <w:p>
      <w:pPr>
        <w:pStyle w:val="Normal"/>
        <w:spacing w:lineRule="auto" w:line="240" w:before="0" w:after="0"/>
        <w:ind w:firstLine="567"/>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Согласно ст.19 Федерального закона от 21.12.1994 №69-ФЗ «О пожарной безопасности» (с изменениями и дополнениями) (далее ФЗ от 21.12.1994 №69-ФЗ), к полномочиям органов местного самоуправления поселений по обеспечению первичных мер пожарной безопасности в границах сельских населенных пунктов относятся:</w:t>
      </w:r>
    </w:p>
    <w:p>
      <w:pPr>
        <w:pStyle w:val="Normal"/>
        <w:spacing w:lineRule="auto" w:line="240" w:before="0" w:after="0"/>
        <w:ind w:firstLine="567"/>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w:t>
      </w:r>
      <w:r>
        <w:rPr>
          <w:rFonts w:eastAsia="Times New Roman" w:cs="Times New Roman" w:ascii="Times New Roman" w:hAnsi="Times New Roman"/>
          <w:sz w:val="28"/>
          <w:szCs w:val="28"/>
          <w:lang w:eastAsia="ru-RU"/>
        </w:rPr>
        <w:tab/>
        <w:t>создание условий для организации добровольной пожарной охраны, а также для участия граждан в обеспечении первичных мер пожарной безопасности в иных формах;</w:t>
      </w:r>
    </w:p>
    <w:p>
      <w:pPr>
        <w:pStyle w:val="Normal"/>
        <w:spacing w:lineRule="auto" w:line="240" w:before="0" w:after="0"/>
        <w:ind w:firstLine="567"/>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w:t>
      </w:r>
      <w:r>
        <w:rPr>
          <w:rFonts w:eastAsia="Times New Roman" w:cs="Times New Roman" w:ascii="Times New Roman" w:hAnsi="Times New Roman"/>
          <w:sz w:val="28"/>
          <w:szCs w:val="28"/>
          <w:lang w:eastAsia="ru-RU"/>
        </w:rPr>
        <w:tab/>
        <w:t>создание в целях пожаротушения условий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w:t>
      </w:r>
    </w:p>
    <w:p>
      <w:pPr>
        <w:pStyle w:val="Normal"/>
        <w:spacing w:lineRule="auto" w:line="240" w:before="0" w:after="0"/>
        <w:ind w:firstLine="567"/>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w:t>
      </w:r>
      <w:r>
        <w:rPr>
          <w:rFonts w:eastAsia="Times New Roman" w:cs="Times New Roman" w:ascii="Times New Roman" w:hAnsi="Times New Roman"/>
          <w:sz w:val="28"/>
          <w:szCs w:val="28"/>
          <w:lang w:eastAsia="ru-RU"/>
        </w:rPr>
        <w:tab/>
        <w:t>оснащение территорий общего пользования первичными средствами тушения пожаров и противопожарным инвентарем;</w:t>
      </w:r>
    </w:p>
    <w:p>
      <w:pPr>
        <w:pStyle w:val="Normal"/>
        <w:spacing w:lineRule="auto" w:line="240" w:before="0" w:after="0"/>
        <w:ind w:firstLine="567"/>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w:t>
      </w:r>
      <w:r>
        <w:rPr>
          <w:rFonts w:eastAsia="Times New Roman" w:cs="Times New Roman" w:ascii="Times New Roman" w:hAnsi="Times New Roman"/>
          <w:sz w:val="28"/>
          <w:szCs w:val="28"/>
          <w:lang w:eastAsia="ru-RU"/>
        </w:rPr>
        <w:tab/>
        <w:t>организация и принятие мер по оповещению населения и подразделений Государственной противопожарной службы о пожаре;</w:t>
      </w:r>
    </w:p>
    <w:p>
      <w:pPr>
        <w:pStyle w:val="Normal"/>
        <w:spacing w:lineRule="auto" w:line="240" w:before="0" w:after="0"/>
        <w:ind w:firstLine="567"/>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w:t>
      </w:r>
      <w:r>
        <w:rPr>
          <w:rFonts w:eastAsia="Times New Roman" w:cs="Times New Roman" w:ascii="Times New Roman" w:hAnsi="Times New Roman"/>
          <w:sz w:val="28"/>
          <w:szCs w:val="28"/>
          <w:lang w:eastAsia="ru-RU"/>
        </w:rPr>
        <w:tab/>
        <w:t>принятие мер по локализации пожара и спасению людей и имущества до прибытия подразделений Государственной противопожарной службы;</w:t>
      </w:r>
    </w:p>
    <w:p>
      <w:pPr>
        <w:pStyle w:val="Normal"/>
        <w:spacing w:lineRule="auto" w:line="240" w:before="0" w:after="0"/>
        <w:ind w:firstLine="567"/>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w:t>
      </w:r>
      <w:r>
        <w:rPr>
          <w:rFonts w:eastAsia="Times New Roman" w:cs="Times New Roman" w:ascii="Times New Roman" w:hAnsi="Times New Roman"/>
          <w:sz w:val="28"/>
          <w:szCs w:val="28"/>
          <w:lang w:eastAsia="ru-RU"/>
        </w:rPr>
        <w:tab/>
        <w:t>включение мероприятий по обеспечению пожарной безопасности в планы, схемы и программы развития территорий поселений и городских округов;</w:t>
      </w:r>
    </w:p>
    <w:p>
      <w:pPr>
        <w:pStyle w:val="Normal"/>
        <w:spacing w:lineRule="auto" w:line="240" w:before="0" w:after="0"/>
        <w:ind w:firstLine="567"/>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w:t>
      </w:r>
      <w:r>
        <w:rPr>
          <w:rFonts w:eastAsia="Times New Roman" w:cs="Times New Roman" w:ascii="Times New Roman" w:hAnsi="Times New Roman"/>
          <w:sz w:val="28"/>
          <w:szCs w:val="28"/>
          <w:lang w:eastAsia="ru-RU"/>
        </w:rPr>
        <w:tab/>
        <w:t>оказание содействия органам государственной власти субъектов Российской Федерации в информировании населения о мерах пожарной безопасности, в том числе посредством организации и проведения собраний населения;</w:t>
      </w:r>
    </w:p>
    <w:p>
      <w:pPr>
        <w:pStyle w:val="Normal"/>
        <w:spacing w:lineRule="auto" w:line="240" w:before="0" w:after="0"/>
        <w:ind w:firstLine="567"/>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w:t>
      </w:r>
      <w:r>
        <w:rPr>
          <w:rFonts w:eastAsia="Times New Roman" w:cs="Times New Roman" w:ascii="Times New Roman" w:hAnsi="Times New Roman"/>
          <w:sz w:val="28"/>
          <w:szCs w:val="28"/>
          <w:lang w:eastAsia="ru-RU"/>
        </w:rPr>
        <w:tab/>
        <w:t>установление особого противопожарного режима в случае повышения пожарной опасности.</w:t>
      </w:r>
    </w:p>
    <w:p>
      <w:pPr>
        <w:pStyle w:val="Normal"/>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Должна проводиться работа с населением по профилактике возгораний сухой растительности, так как около 90% ландшафтных (природных) пожаров возникают в связи с деятельностью человека, или из-за его беспечности.</w:t>
      </w:r>
    </w:p>
    <w:p>
      <w:pPr>
        <w:pStyle w:val="Normal"/>
        <w:spacing w:lineRule="auto" w:line="240" w:before="0" w:after="0"/>
        <w:ind w:firstLine="709"/>
        <w:jc w:val="center"/>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ind w:firstLine="709"/>
        <w:jc w:val="center"/>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Противопожарные расстояния</w:t>
      </w:r>
    </w:p>
    <w:p>
      <w:pPr>
        <w:pStyle w:val="Normal"/>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Необходимо выдерживать противопожарные расстояния от зданий и сооружений до лесничеств, трубопроводов.</w:t>
      </w:r>
    </w:p>
    <w:p>
      <w:pPr>
        <w:pStyle w:val="Normal"/>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Согласно пункту 4.14 СП 4.13130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утвержденного Приказом МЧС РФ от 24.04.2013 №288 (далее СП 4.13130), противопожарные расстояния до границ лесных насаждений от зданий, сооружений городских населенных пунктов с индивидуальной малоэтажной жилой застройкой, от зданий и сооружений сельских населенных пунктов, а также от жилых домов на приусадебных, садовых земельных участках должны составлять не менее 30 м. Расстояния до леса от садовых домов и хозяйственных построек на садовых земельных участках должны составлять не менее 15 м.</w:t>
      </w:r>
    </w:p>
    <w:p>
      <w:pPr>
        <w:pStyle w:val="Normal"/>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Согласно ст.74 ФЗ от 22.07.2008 №123-ФЗ, противопожарные расстояния от оси подземных местных распределительных газопроводов до населенных пунктов, отдельных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законом «О техническом регулировании», для этих объектов, в зависимости от уровня рабочего давления, диаметра, степени ответственности объектов. 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
    <w:p>
      <w:pPr>
        <w:pStyle w:val="Normal"/>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ind w:firstLine="709"/>
        <w:jc w:val="center"/>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Пожаротушение</w:t>
      </w:r>
    </w:p>
    <w:p>
      <w:pPr>
        <w:pStyle w:val="Normal"/>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В населенных пунктах должен быть обеспечен подъезд пожарной техники к каждому дому. </w:t>
      </w:r>
    </w:p>
    <w:p>
      <w:pPr>
        <w:pStyle w:val="Normal"/>
        <w:spacing w:lineRule="auto" w:line="240" w:before="0" w:after="0"/>
        <w:ind w:firstLine="709"/>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Согласно требованиям «СП 31.13330.2021. Свод правил. Водоснабжение. Наружные сети и сооружения. СНиП 2.04.02-84*», утвержденного Приказом Минстроя России от 27.12.2021 № 1016/пр ( с изменениями и дополнениями) (далее СП 31.13330.2021), а также в соответствии с Пособием по проектированию систем внутреннего и наружного пожаротушения технически несложных объектов П70.0010.09-90, норма расхода воды на наружное пожаротушение составляет 5 л/с для каждого населенного пункта (количество одновременных пожаров 1 в населенном пункте с населением менее 1000 чел.). Расчетный расход воды на внутреннее пожаротушение 2,5 л/с. Продолжительность тушения пожара – 3 часа.</w:t>
      </w:r>
    </w:p>
    <w:p>
      <w:pPr>
        <w:pStyle w:val="Normal"/>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Расстановку пожарных гидрантов следует осуществлять согласно СП 8.13130 «Системы противопожарной защиты. Наружное противопожарное водоснабжение. Требования пожарной безопасности» (утв. Приказом МЧС России от 30.03.2020 №225). Расстановка пожарных гидрантов на водопроводной сети должна обеспечивать подачу воды с расчетным расходом на пожаротушение любой точки обслуживаемого данной сетью здания на уровне нулевой отметки не менее чем от двух гидрантов при расходе воды на наружное пожаротушение 15 л/с и более или от одного гидранта - при расходе воды менее 15 л/с с учетом прокладки рукавных линий длиной не более 200 м по дорогам с твердым покрытием.</w:t>
      </w:r>
    </w:p>
    <w:p>
      <w:pPr>
        <w:pStyle w:val="Normal"/>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Следует предусмотреть создание добровольной пожарной охраны в соответствии с Федеральным законом от 06.05.2011 № 100-ФЗ «О добровольной пожарной охране» ( с изменениями и дополнениями) (далее – ФЗ от 06.05.2011 № 100-ФЗ).</w:t>
      </w:r>
    </w:p>
    <w:p>
      <w:pPr>
        <w:pStyle w:val="Normal"/>
        <w:spacing w:lineRule="auto" w:line="240" w:before="0" w:after="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ind w:firstLine="709"/>
        <w:jc w:val="center"/>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Охрана лесов от пожаров</w:t>
      </w:r>
    </w:p>
    <w:p>
      <w:pPr>
        <w:pStyle w:val="Normal"/>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Органы местного самоуправления в пределах своих полномочий, определенных в соответствии с Лесным кодексом, ограничивают пребывание граждан в лесах и въезд в них транспортных средств, проведение в лесах определенных видов работ в целях обеспечения пожарной безопасности в лесах в порядке, установленном уполномоченным федеральным органом исполнительной власти.</w:t>
      </w:r>
    </w:p>
    <w:p>
      <w:pPr>
        <w:pStyle w:val="Normal"/>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В границах лесов лесного фонда должны обеспечиваться следующие мероприятия по противопожарному обустройству:</w:t>
      </w:r>
    </w:p>
    <w:p>
      <w:pPr>
        <w:pStyle w:val="Normal"/>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в качестве предупредительных мероприятий: установка стендов, предупредительных аншлагов, шлагбаумов, благоустройство зон отдыха граждан;</w:t>
      </w:r>
    </w:p>
    <w:p>
      <w:pPr>
        <w:pStyle w:val="Normal"/>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в качестве мероприятий по ограничению распространения пожаров: устройство минерализованных полос, их ежегодная прочистка и обновление;</w:t>
      </w:r>
    </w:p>
    <w:p>
      <w:pPr>
        <w:pStyle w:val="Normal"/>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реконструкция дорог противопожарного назначения, устройство подъездов к источникам водоснабжения, устройство пожарных водоемов;</w:t>
      </w:r>
    </w:p>
    <w:p>
      <w:pPr>
        <w:pStyle w:val="Normal"/>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приобретение противопожарного оборудования.</w:t>
      </w:r>
    </w:p>
    <w:p>
      <w:pPr>
        <w:pStyle w:val="Normal"/>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На землях сельскохозяйственного назначения должны реализовываться следующие мероприятия, направленные на обеспечение соблюдения правил пожарной безопасности:</w:t>
      </w:r>
    </w:p>
    <w:p>
      <w:pPr>
        <w:pStyle w:val="Normal"/>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недопущение сжигания сухой травы, стернии и пожнивных остатков на землях сельскохозяйственного назначения, а также древесно-кустарниковой растительности;</w:t>
      </w:r>
    </w:p>
    <w:p>
      <w:pPr>
        <w:pStyle w:val="Normal"/>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содержание в чистоте территории сельскохозяйственных производств, прилегающие к лесным и торфяным массивам, очищение их от мусора и сухостоя.</w:t>
      </w:r>
    </w:p>
    <w:p>
      <w:pPr>
        <w:pStyle w:val="Normal"/>
        <w:spacing w:before="0" w:after="0"/>
        <w:ind w:firstLine="567"/>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Требования по защите населенных пунктов от лесных пожаров регламентированы Правилами противопожарного режима в Российской Федерации (утв. Постановлением Правительства РФ от 16.09.2020 №1479 (с изменениями и дополнениями) (далее ППР РФ).</w:t>
      </w:r>
    </w:p>
    <w:p>
      <w:pPr>
        <w:pStyle w:val="Normal"/>
        <w:spacing w:before="0" w:after="0"/>
        <w:ind w:firstLine="567"/>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В соответствии с ППР РФ 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1,4 метра или иным противопожарным барьером. </w:t>
      </w:r>
    </w:p>
    <w:p>
      <w:pPr>
        <w:pStyle w:val="Normal"/>
        <w:spacing w:before="0" w:after="0"/>
        <w:ind w:firstLine="567"/>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В целях исключения возможного перехода природных пожаров на территории населенных пунктов, подверженных угрозе лесных пожаров и других ландшафтных (природных) пожаров, до начала пожароопасного периода, а также при установлении на соответствующей территории особого противопожарного режима вокруг территории населенных пунктов создаются (обновляются) противопожарные минерализованные полосы шириной не менее 10 метров или иные противопожарные барьеры.</w:t>
      </w:r>
    </w:p>
    <w:p>
      <w:pPr>
        <w:pStyle w:val="Normal"/>
        <w:spacing w:before="0" w:after="0"/>
        <w:ind w:firstLine="567"/>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Запрещается использовать противопожарные минерализованные полосы и противопожарные расстояния для строительства различных сооружений и подсобных строений, ведения сельскохозяйственных работ, для складирования горючих материалов, мусора, бытовых отходов, а также отходов древесных, строительных и других горючих материалов.</w:t>
      </w:r>
    </w:p>
    <w:p>
      <w:pPr>
        <w:pStyle w:val="Normal"/>
        <w:spacing w:lineRule="auto" w:line="240" w:before="0" w:after="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widowControl w:val="false"/>
        <w:suppressAutoHyphens w:val="true"/>
        <w:jc w:val="center"/>
        <w:rPr>
          <w:rFonts w:ascii="Times New Roman" w:hAnsi="Times New Roman" w:eastAsia="Lucida Sans Unicode" w:cs="Times New Roman"/>
          <w:b/>
          <w:kern w:val="2"/>
          <w:sz w:val="28"/>
          <w:szCs w:val="28"/>
        </w:rPr>
      </w:pPr>
      <w:bookmarkStart w:id="228" w:name="_Toc26625343"/>
      <w:r>
        <w:rPr>
          <w:rFonts w:eastAsia="Lucida Sans Unicode" w:cs="Times New Roman" w:ascii="Times New Roman" w:hAnsi="Times New Roman"/>
          <w:b/>
          <w:kern w:val="2"/>
          <w:sz w:val="28"/>
          <w:szCs w:val="28"/>
        </w:rPr>
        <w:t>Мероприятия при угрозе возникновении террористических актов</w:t>
      </w:r>
      <w:bookmarkEnd w:id="228"/>
    </w:p>
    <w:p>
      <w:pPr>
        <w:pStyle w:val="Normal"/>
        <w:widowControl w:val="false"/>
        <w:tabs>
          <w:tab w:val="clear" w:pos="709"/>
          <w:tab w:val="left" w:pos="1080" w:leader="none"/>
        </w:tabs>
        <w:suppressAutoHyphens w:val="true"/>
        <w:ind w:firstLine="709"/>
        <w:jc w:val="both"/>
        <w:rPr>
          <w:rFonts w:ascii="Times New Roman" w:hAnsi="Times New Roman" w:eastAsia="Lucida Sans Unicode" w:cs="Times New Roman"/>
          <w:kern w:val="2"/>
          <w:sz w:val="28"/>
          <w:szCs w:val="28"/>
        </w:rPr>
      </w:pPr>
      <w:r>
        <w:rPr>
          <w:rFonts w:eastAsia="Lucida Sans Unicode" w:cs="Times New Roman" w:ascii="Times New Roman" w:hAnsi="Times New Roman"/>
          <w:kern w:val="2"/>
          <w:sz w:val="28"/>
          <w:szCs w:val="28"/>
        </w:rPr>
        <w:t>Объектами террористических актов могут быть транспортные средства, объекты транспорта, потенциально опасные промышленные объекты, гидротехнические сооружения, системы водоснабжения; места массового скопления людей - общественные, торговые и жилые здания, спортивные сооружения, концертные и выставочные залы; предприятия по производству пищевых и мясомолочных продуктов, системы связи, управления и пр.</w:t>
      </w:r>
    </w:p>
    <w:p>
      <w:pPr>
        <w:pStyle w:val="Normal"/>
        <w:widowControl w:val="false"/>
        <w:suppressAutoHyphens w:val="true"/>
        <w:ind w:firstLine="709"/>
        <w:jc w:val="both"/>
        <w:rPr>
          <w:rFonts w:ascii="Times New Roman" w:hAnsi="Times New Roman" w:eastAsia="Lucida Sans Unicode" w:cs="Times New Roman"/>
          <w:kern w:val="2"/>
          <w:sz w:val="28"/>
          <w:szCs w:val="28"/>
        </w:rPr>
      </w:pPr>
      <w:r>
        <w:rPr>
          <w:rFonts w:eastAsia="Lucida Sans Unicode" w:cs="Times New Roman" w:ascii="Times New Roman" w:hAnsi="Times New Roman"/>
          <w:kern w:val="2"/>
          <w:sz w:val="28"/>
          <w:szCs w:val="28"/>
        </w:rPr>
        <w:t>Основными задачами органов управления ГОЧС по защите населения при террористических актах являются:</w:t>
      </w:r>
    </w:p>
    <w:p>
      <w:pPr>
        <w:pStyle w:val="Normal"/>
        <w:widowControl w:val="false"/>
        <w:numPr>
          <w:ilvl w:val="0"/>
          <w:numId w:val="56"/>
        </w:numPr>
        <w:tabs>
          <w:tab w:val="clear" w:pos="709"/>
          <w:tab w:val="left" w:pos="1134" w:leader="none"/>
        </w:tabs>
        <w:suppressAutoHyphens w:val="true"/>
        <w:spacing w:lineRule="auto" w:line="240" w:before="0" w:after="0"/>
        <w:ind w:left="0" w:firstLine="709"/>
        <w:jc w:val="both"/>
        <w:rPr>
          <w:rFonts w:ascii="Times New Roman" w:hAnsi="Times New Roman" w:eastAsia="Lucida Sans Unicode" w:cs="Times New Roman"/>
          <w:kern w:val="2"/>
          <w:sz w:val="28"/>
          <w:szCs w:val="28"/>
        </w:rPr>
      </w:pPr>
      <w:r>
        <w:rPr>
          <w:rFonts w:eastAsia="Lucida Sans Unicode" w:cs="Times New Roman" w:ascii="Times New Roman" w:hAnsi="Times New Roman"/>
          <w:kern w:val="2"/>
          <w:sz w:val="28"/>
          <w:szCs w:val="28"/>
        </w:rPr>
        <w:t>постоянный анализ и прогноз опасностей, связанных с терроризмом, принятие эффективных мер по предупреждению чрезвычайных ситуаций, вызываемых террористической деятельностью;</w:t>
      </w:r>
    </w:p>
    <w:p>
      <w:pPr>
        <w:pStyle w:val="Normal"/>
        <w:widowControl w:val="false"/>
        <w:numPr>
          <w:ilvl w:val="0"/>
          <w:numId w:val="56"/>
        </w:numPr>
        <w:tabs>
          <w:tab w:val="clear" w:pos="709"/>
          <w:tab w:val="left" w:pos="1134" w:leader="none"/>
        </w:tabs>
        <w:suppressAutoHyphens w:val="true"/>
        <w:spacing w:lineRule="auto" w:line="240" w:before="0" w:after="0"/>
        <w:ind w:left="0" w:firstLine="709"/>
        <w:jc w:val="both"/>
        <w:rPr>
          <w:rFonts w:ascii="Times New Roman" w:hAnsi="Times New Roman" w:eastAsia="Lucida Sans Unicode" w:cs="Times New Roman"/>
          <w:kern w:val="2"/>
          <w:sz w:val="28"/>
          <w:szCs w:val="28"/>
        </w:rPr>
      </w:pPr>
      <w:r>
        <w:rPr>
          <w:rFonts w:eastAsia="Lucida Sans Unicode" w:cs="Times New Roman" w:ascii="Times New Roman" w:hAnsi="Times New Roman"/>
          <w:kern w:val="2"/>
          <w:sz w:val="28"/>
          <w:szCs w:val="28"/>
        </w:rPr>
        <w:t>осуществление комплекса организационных и инженерно-технических мероприятий по защите потенциально опасных объектов и населения от терроризма;</w:t>
      </w:r>
    </w:p>
    <w:p>
      <w:pPr>
        <w:pStyle w:val="Normal"/>
        <w:widowControl w:val="false"/>
        <w:numPr>
          <w:ilvl w:val="0"/>
          <w:numId w:val="56"/>
        </w:numPr>
        <w:tabs>
          <w:tab w:val="clear" w:pos="709"/>
          <w:tab w:val="left" w:pos="1134" w:leader="none"/>
        </w:tabs>
        <w:suppressAutoHyphens w:val="true"/>
        <w:spacing w:lineRule="auto" w:line="240" w:before="0" w:after="0"/>
        <w:ind w:left="0" w:firstLine="709"/>
        <w:jc w:val="both"/>
        <w:rPr>
          <w:rFonts w:ascii="Times New Roman" w:hAnsi="Times New Roman" w:eastAsia="Lucida Sans Unicode" w:cs="Times New Roman"/>
          <w:kern w:val="2"/>
          <w:sz w:val="28"/>
          <w:szCs w:val="28"/>
        </w:rPr>
      </w:pPr>
      <w:r>
        <w:rPr>
          <w:rFonts w:eastAsia="Lucida Sans Unicode" w:cs="Times New Roman" w:ascii="Times New Roman" w:hAnsi="Times New Roman"/>
          <w:kern w:val="2"/>
          <w:sz w:val="28"/>
          <w:szCs w:val="28"/>
        </w:rPr>
        <w:t>поддержание в готовности сил и средств к локализации и ликвидации последствий террористических актов.</w:t>
      </w:r>
    </w:p>
    <w:p>
      <w:pPr>
        <w:pStyle w:val="Normal"/>
        <w:spacing w:lineRule="auto" w:line="240" w:before="0" w:after="0"/>
        <w:ind w:firstLine="709"/>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В современных условиях, как один из основных факторов возникновения кризисных ситуаций может рассматриваться терроризм.</w:t>
      </w:r>
    </w:p>
    <w:p>
      <w:pPr>
        <w:pStyle w:val="Normal"/>
        <w:widowControl w:val="false"/>
        <w:suppressAutoHyphens w:val="true"/>
        <w:spacing w:before="0" w:after="0"/>
        <w:ind w:firstLine="709"/>
        <w:contextualSpacing/>
        <w:rPr>
          <w:rFonts w:ascii="Times New Roman" w:hAnsi="Times New Roman" w:eastAsia="Lucida Sans Unicode" w:cs="Times New Roman"/>
          <w:kern w:val="2"/>
          <w:sz w:val="28"/>
          <w:szCs w:val="28"/>
        </w:rPr>
      </w:pPr>
      <w:r>
        <w:rPr>
          <w:rFonts w:eastAsia="Lucida Sans Unicode" w:cs="Times New Roman" w:ascii="Times New Roman" w:hAnsi="Times New Roman"/>
          <w:kern w:val="2"/>
          <w:sz w:val="28"/>
          <w:szCs w:val="28"/>
        </w:rPr>
        <w:t>Основными видами аварийно-спасательных и других неотложных работ в условиях совершения террористического акта являются:</w:t>
      </w:r>
    </w:p>
    <w:p>
      <w:pPr>
        <w:pStyle w:val="Normal"/>
        <w:widowControl w:val="false"/>
        <w:numPr>
          <w:ilvl w:val="0"/>
          <w:numId w:val="56"/>
        </w:numPr>
        <w:tabs>
          <w:tab w:val="clear" w:pos="709"/>
          <w:tab w:val="left" w:pos="993" w:leader="none"/>
        </w:tabs>
        <w:suppressAutoHyphens w:val="true"/>
        <w:spacing w:lineRule="auto" w:line="240" w:before="0" w:after="0"/>
        <w:ind w:left="0" w:firstLine="709"/>
        <w:jc w:val="both"/>
        <w:rPr>
          <w:rFonts w:ascii="Times New Roman" w:hAnsi="Times New Roman" w:eastAsia="Lucida Sans Unicode" w:cs="Times New Roman"/>
          <w:kern w:val="2"/>
          <w:sz w:val="28"/>
          <w:szCs w:val="28"/>
        </w:rPr>
      </w:pPr>
      <w:r>
        <w:rPr>
          <w:rFonts w:eastAsia="Lucida Sans Unicode" w:cs="Times New Roman" w:ascii="Times New Roman" w:hAnsi="Times New Roman"/>
          <w:kern w:val="2"/>
          <w:sz w:val="28"/>
          <w:szCs w:val="28"/>
        </w:rPr>
        <w:t>разведка зоны чрезвычайной ситуации (состояние зданий, территории, маршрутов выдвижения сил и средств, определение границ зоны чрезвычайной ситуации).</w:t>
      </w:r>
    </w:p>
    <w:p>
      <w:pPr>
        <w:pStyle w:val="Normal"/>
        <w:widowControl w:val="false"/>
        <w:numPr>
          <w:ilvl w:val="0"/>
          <w:numId w:val="56"/>
        </w:numPr>
        <w:tabs>
          <w:tab w:val="clear" w:pos="709"/>
          <w:tab w:val="left" w:pos="993" w:leader="none"/>
        </w:tabs>
        <w:suppressAutoHyphens w:val="true"/>
        <w:spacing w:lineRule="auto" w:line="240" w:before="0" w:after="0"/>
        <w:ind w:left="0" w:firstLine="709"/>
        <w:jc w:val="both"/>
        <w:rPr>
          <w:rFonts w:ascii="Times New Roman" w:hAnsi="Times New Roman" w:eastAsia="Lucida Sans Unicode" w:cs="Times New Roman"/>
          <w:kern w:val="2"/>
          <w:sz w:val="28"/>
          <w:szCs w:val="28"/>
        </w:rPr>
      </w:pPr>
      <w:r>
        <w:rPr>
          <w:rFonts w:eastAsia="Lucida Sans Unicode" w:cs="Times New Roman" w:ascii="Times New Roman" w:hAnsi="Times New Roman"/>
          <w:kern w:val="2"/>
          <w:sz w:val="28"/>
          <w:szCs w:val="28"/>
        </w:rPr>
        <w:t>ввод сил и средств аварийно-спасательных служб, аварийно-спасательных формирований в зону чрезвычайной ситуации;</w:t>
      </w:r>
    </w:p>
    <w:p>
      <w:pPr>
        <w:pStyle w:val="Normal"/>
        <w:widowControl w:val="false"/>
        <w:numPr>
          <w:ilvl w:val="0"/>
          <w:numId w:val="56"/>
        </w:numPr>
        <w:tabs>
          <w:tab w:val="clear" w:pos="709"/>
          <w:tab w:val="left" w:pos="993" w:leader="none"/>
        </w:tabs>
        <w:suppressAutoHyphens w:val="true"/>
        <w:spacing w:lineRule="auto" w:line="240" w:before="0" w:after="0"/>
        <w:ind w:left="0" w:firstLine="709"/>
        <w:jc w:val="both"/>
        <w:rPr>
          <w:rFonts w:ascii="Times New Roman" w:hAnsi="Times New Roman" w:eastAsia="Lucida Sans Unicode" w:cs="Times New Roman"/>
          <w:kern w:val="2"/>
          <w:sz w:val="28"/>
          <w:szCs w:val="28"/>
        </w:rPr>
      </w:pPr>
      <w:r>
        <w:rPr>
          <w:rFonts w:eastAsia="Lucida Sans Unicode" w:cs="Times New Roman" w:ascii="Times New Roman" w:hAnsi="Times New Roman"/>
          <w:kern w:val="2"/>
          <w:sz w:val="28"/>
          <w:szCs w:val="28"/>
        </w:rPr>
        <w:t>проведение аварийно-спасательных и других неотложных работ;</w:t>
      </w:r>
    </w:p>
    <w:p>
      <w:pPr>
        <w:pStyle w:val="Normal"/>
        <w:widowControl w:val="false"/>
        <w:numPr>
          <w:ilvl w:val="0"/>
          <w:numId w:val="56"/>
        </w:numPr>
        <w:tabs>
          <w:tab w:val="clear" w:pos="709"/>
          <w:tab w:val="left" w:pos="993" w:leader="none"/>
        </w:tabs>
        <w:suppressAutoHyphens w:val="true"/>
        <w:spacing w:lineRule="auto" w:line="240" w:before="0" w:after="0"/>
        <w:ind w:left="0" w:firstLine="709"/>
        <w:jc w:val="both"/>
        <w:rPr>
          <w:rFonts w:ascii="Times New Roman" w:hAnsi="Times New Roman" w:eastAsia="Lucida Sans Unicode" w:cs="Times New Roman"/>
          <w:kern w:val="2"/>
          <w:sz w:val="28"/>
          <w:szCs w:val="28"/>
        </w:rPr>
      </w:pPr>
      <w:r>
        <w:rPr>
          <w:rFonts w:eastAsia="Lucida Sans Unicode" w:cs="Times New Roman" w:ascii="Times New Roman" w:hAnsi="Times New Roman"/>
          <w:kern w:val="2"/>
          <w:sz w:val="28"/>
          <w:szCs w:val="28"/>
        </w:rPr>
        <w:t>эвакуация пострадавших и материальных ценностей;</w:t>
      </w:r>
    </w:p>
    <w:p>
      <w:pPr>
        <w:pStyle w:val="Normal"/>
        <w:widowControl w:val="false"/>
        <w:numPr>
          <w:ilvl w:val="0"/>
          <w:numId w:val="56"/>
        </w:numPr>
        <w:tabs>
          <w:tab w:val="clear" w:pos="709"/>
          <w:tab w:val="left" w:pos="993" w:leader="none"/>
        </w:tabs>
        <w:suppressAutoHyphens w:val="true"/>
        <w:spacing w:lineRule="auto" w:line="240" w:before="0" w:after="0"/>
        <w:ind w:left="0" w:firstLine="709"/>
        <w:jc w:val="both"/>
        <w:rPr>
          <w:rFonts w:ascii="Times New Roman" w:hAnsi="Times New Roman" w:eastAsia="Lucida Sans Unicode" w:cs="Times New Roman"/>
          <w:kern w:val="2"/>
          <w:sz w:val="28"/>
          <w:szCs w:val="28"/>
        </w:rPr>
      </w:pPr>
      <w:r>
        <w:rPr>
          <w:rFonts w:eastAsia="Lucida Sans Unicode" w:cs="Times New Roman" w:ascii="Times New Roman" w:hAnsi="Times New Roman"/>
          <w:kern w:val="2"/>
          <w:sz w:val="28"/>
          <w:szCs w:val="28"/>
        </w:rPr>
        <w:t>организация оповещения, управления и связи;</w:t>
      </w:r>
    </w:p>
    <w:p>
      <w:pPr>
        <w:pStyle w:val="Normal"/>
        <w:widowControl w:val="false"/>
        <w:numPr>
          <w:ilvl w:val="0"/>
          <w:numId w:val="56"/>
        </w:numPr>
        <w:tabs>
          <w:tab w:val="clear" w:pos="709"/>
          <w:tab w:val="left" w:pos="993" w:leader="none"/>
        </w:tabs>
        <w:suppressAutoHyphens w:val="true"/>
        <w:spacing w:lineRule="auto" w:line="240" w:before="0" w:after="0"/>
        <w:ind w:left="0" w:firstLine="709"/>
        <w:jc w:val="both"/>
        <w:rPr>
          <w:rFonts w:ascii="Times New Roman" w:hAnsi="Times New Roman" w:eastAsia="Lucida Sans Unicode" w:cs="Times New Roman"/>
          <w:kern w:val="2"/>
          <w:sz w:val="28"/>
          <w:szCs w:val="28"/>
        </w:rPr>
      </w:pPr>
      <w:r>
        <w:rPr>
          <w:rFonts w:eastAsia="Lucida Sans Unicode" w:cs="Times New Roman" w:ascii="Times New Roman" w:hAnsi="Times New Roman"/>
          <w:kern w:val="2"/>
          <w:sz w:val="28"/>
          <w:szCs w:val="28"/>
        </w:rPr>
        <w:t>обеспечение общественного порядка;</w:t>
      </w:r>
    </w:p>
    <w:p>
      <w:pPr>
        <w:pStyle w:val="Normal"/>
        <w:widowControl w:val="false"/>
        <w:numPr>
          <w:ilvl w:val="0"/>
          <w:numId w:val="56"/>
        </w:numPr>
        <w:tabs>
          <w:tab w:val="clear" w:pos="709"/>
          <w:tab w:val="left" w:pos="993" w:leader="none"/>
        </w:tabs>
        <w:suppressAutoHyphens w:val="true"/>
        <w:spacing w:lineRule="auto" w:line="240" w:before="0" w:after="0"/>
        <w:ind w:left="0" w:firstLine="709"/>
        <w:jc w:val="both"/>
        <w:rPr>
          <w:rFonts w:ascii="Times New Roman" w:hAnsi="Times New Roman" w:eastAsia="Lucida Sans Unicode" w:cs="Times New Roman"/>
          <w:kern w:val="2"/>
          <w:sz w:val="28"/>
          <w:szCs w:val="28"/>
        </w:rPr>
      </w:pPr>
      <w:r>
        <w:rPr>
          <w:rFonts w:eastAsia="Lucida Sans Unicode" w:cs="Times New Roman" w:ascii="Times New Roman" w:hAnsi="Times New Roman"/>
          <w:kern w:val="2"/>
          <w:sz w:val="28"/>
          <w:szCs w:val="28"/>
        </w:rPr>
        <w:t>работа с родственниками пострадавших;</w:t>
      </w:r>
    </w:p>
    <w:p>
      <w:pPr>
        <w:sectPr>
          <w:footerReference w:type="default" r:id="rId94"/>
          <w:footerReference w:type="first" r:id="rId95"/>
          <w:footnotePr>
            <w:numFmt w:val="decimal"/>
          </w:footnotePr>
          <w:type w:val="nextPage"/>
          <w:pgSz w:w="11906" w:h="16838"/>
          <w:pgMar w:left="1134" w:right="851" w:gutter="0" w:header="0" w:top="851" w:footer="0" w:bottom="709"/>
          <w:pgNumType w:fmt="decimal"/>
          <w:formProt w:val="false"/>
          <w:textDirection w:val="lrTb"/>
          <w:docGrid w:type="default" w:linePitch="360" w:charSpace="4294959103"/>
        </w:sectPr>
        <w:pStyle w:val="Normal"/>
        <w:widowControl w:val="false"/>
        <w:numPr>
          <w:ilvl w:val="0"/>
          <w:numId w:val="56"/>
        </w:numPr>
        <w:tabs>
          <w:tab w:val="clear" w:pos="709"/>
          <w:tab w:val="left" w:pos="993" w:leader="none"/>
        </w:tabs>
        <w:suppressAutoHyphens w:val="true"/>
        <w:spacing w:lineRule="auto" w:line="240" w:before="0" w:after="0"/>
        <w:ind w:left="0" w:firstLine="709"/>
        <w:jc w:val="both"/>
        <w:rPr>
          <w:rFonts w:ascii="Times New Roman" w:hAnsi="Times New Roman" w:eastAsia="Lucida Sans Unicode" w:cs="Times New Roman"/>
          <w:kern w:val="2"/>
          <w:sz w:val="28"/>
          <w:szCs w:val="28"/>
        </w:rPr>
      </w:pPr>
      <w:r>
        <w:rPr>
          <w:rFonts w:eastAsia="Lucida Sans Unicode" w:cs="Times New Roman" w:ascii="Times New Roman" w:hAnsi="Times New Roman"/>
          <w:kern w:val="2"/>
          <w:sz w:val="28"/>
          <w:szCs w:val="28"/>
        </w:rPr>
        <w:t>разборка завалов, расчистка местности, рекультивация территории (при необходимости).</w:t>
      </w:r>
    </w:p>
    <w:p>
      <w:pPr>
        <w:pStyle w:val="Normal"/>
        <w:spacing w:lineRule="auto" w:line="276" w:before="0" w:after="0"/>
        <w:contextualSpacing/>
        <w:jc w:val="center"/>
        <w:rPr>
          <w:rFonts w:ascii="Times New Roman" w:hAnsi="Times New Roman" w:eastAsia="Calibri" w:cs="Times New Roman"/>
          <w:b/>
          <w:sz w:val="28"/>
          <w:szCs w:val="28"/>
        </w:rPr>
      </w:pPr>
      <w:r>
        <w:rPr>
          <w:rFonts w:eastAsia="Calibri" w:cs="Times New Roman" w:ascii="Times New Roman" w:hAnsi="Times New Roman"/>
          <w:b/>
          <w:sz w:val="28"/>
          <w:szCs w:val="28"/>
        </w:rPr>
        <w:t xml:space="preserve">Перечень мероприятий по гражданской обороне, предупреждению чрезвычайных ситуаций природного и техногенного характера </w:t>
      </w:r>
    </w:p>
    <w:tbl>
      <w:tblPr>
        <w:tblW w:w="5000" w:type="pct"/>
        <w:jc w:val="center"/>
        <w:tblInd w:w="0" w:type="dxa"/>
        <w:tblLayout w:type="fixed"/>
        <w:tblCellMar>
          <w:top w:w="0" w:type="dxa"/>
          <w:left w:w="108" w:type="dxa"/>
          <w:bottom w:w="0" w:type="dxa"/>
          <w:right w:w="108" w:type="dxa"/>
        </w:tblCellMar>
        <w:tblLook w:noVBand="0" w:val="0000" w:noHBand="0" w:lastColumn="0" w:firstColumn="0" w:lastRow="0" w:firstRow="0"/>
      </w:tblPr>
      <w:tblGrid>
        <w:gridCol w:w="799"/>
        <w:gridCol w:w="2828"/>
        <w:gridCol w:w="3230"/>
        <w:gridCol w:w="1367"/>
        <w:gridCol w:w="1138"/>
        <w:gridCol w:w="1281"/>
        <w:gridCol w:w="4492"/>
      </w:tblGrid>
      <w:tr>
        <w:trPr>
          <w:tblHeader w:val="true"/>
          <w:trHeight w:val="20" w:hRule="atLeast"/>
          <w:cantSplit w:val="true"/>
        </w:trPr>
        <w:tc>
          <w:tcPr>
            <w:tcW w:w="79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bookmarkStart w:id="229" w:name="_Hlk137024018_Копия_1"/>
            <w:bookmarkEnd w:id="229"/>
            <w:r>
              <w:rPr>
                <w:rFonts w:eastAsia="Times New Roman" w:cs="Times New Roman" w:ascii="Times New Roman" w:hAnsi="Times New Roman"/>
                <w:sz w:val="20"/>
                <w:szCs w:val="20"/>
                <w:lang w:eastAsia="ru-RU"/>
              </w:rPr>
              <w:t xml:space="preserve">№ </w:t>
            </w:r>
            <w:r>
              <w:rPr>
                <w:rFonts w:eastAsia="Times New Roman" w:cs="Times New Roman" w:ascii="Times New Roman" w:hAnsi="Times New Roman"/>
                <w:sz w:val="20"/>
                <w:szCs w:val="20"/>
                <w:lang w:eastAsia="ru-RU"/>
              </w:rPr>
              <w:t>п/п</w:t>
            </w:r>
          </w:p>
        </w:tc>
        <w:tc>
          <w:tcPr>
            <w:tcW w:w="282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Наименование объекта</w:t>
            </w:r>
          </w:p>
        </w:tc>
        <w:tc>
          <w:tcPr>
            <w:tcW w:w="323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Вид мероприятия</w:t>
            </w:r>
          </w:p>
        </w:tc>
        <w:tc>
          <w:tcPr>
            <w:tcW w:w="13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Количество</w:t>
            </w:r>
          </w:p>
        </w:tc>
        <w:tc>
          <w:tcPr>
            <w:tcW w:w="2419"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Сроки реализации</w:t>
            </w:r>
          </w:p>
        </w:tc>
        <w:tc>
          <w:tcPr>
            <w:tcW w:w="449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Источник мероприятия (наименование документа)</w:t>
            </w:r>
          </w:p>
        </w:tc>
      </w:tr>
      <w:tr>
        <w:trPr>
          <w:tblHeader w:val="true"/>
          <w:trHeight w:val="1862" w:hRule="atLeast"/>
          <w:cantSplit w:val="true"/>
        </w:trPr>
        <w:tc>
          <w:tcPr>
            <w:tcW w:w="79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282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323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36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 xml:space="preserve">Первая очередь </w:t>
            </w:r>
          </w:p>
        </w:tc>
        <w:tc>
          <w:tcPr>
            <w:tcW w:w="12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Расчетный период</w:t>
            </w:r>
          </w:p>
        </w:tc>
        <w:tc>
          <w:tcPr>
            <w:tcW w:w="44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20" w:hRule="atLeast"/>
          <w:cantSplit w:val="true"/>
        </w:trPr>
        <w:tc>
          <w:tcPr>
            <w:tcW w:w="7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1</w:t>
            </w:r>
          </w:p>
        </w:tc>
        <w:tc>
          <w:tcPr>
            <w:tcW w:w="28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Вахитовское сельское поселение</w:t>
            </w:r>
          </w:p>
        </w:tc>
        <w:tc>
          <w:tcPr>
            <w:tcW w:w="32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Установка речевых сиренных установок</w:t>
            </w:r>
          </w:p>
        </w:tc>
        <w:tc>
          <w:tcPr>
            <w:tcW w:w="13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7 шт.</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w:t>
            </w:r>
          </w:p>
        </w:tc>
        <w:tc>
          <w:tcPr>
            <w:tcW w:w="12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449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8"/>
                <w:szCs w:val="24"/>
                <w:lang w:eastAsia="ru-RU"/>
              </w:rPr>
            </w:pPr>
            <w:r>
              <w:rPr>
                <w:rFonts w:eastAsia="Times New Roman" w:cs="Times New Roman" w:ascii="Times New Roman" w:hAnsi="Times New Roman"/>
                <w:sz w:val="20"/>
                <w:szCs w:val="20"/>
                <w:lang w:eastAsia="ru-RU"/>
              </w:rPr>
              <w:t>Генеральный план Вахитовского сельского поселения</w:t>
            </w:r>
          </w:p>
        </w:tc>
      </w:tr>
      <w:tr>
        <w:trPr>
          <w:trHeight w:val="20" w:hRule="atLeast"/>
          <w:cantSplit w:val="true"/>
        </w:trPr>
        <w:tc>
          <w:tcPr>
            <w:tcW w:w="7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2</w:t>
            </w:r>
          </w:p>
        </w:tc>
        <w:tc>
          <w:tcPr>
            <w:tcW w:w="28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Леса</w:t>
            </w:r>
          </w:p>
        </w:tc>
        <w:tc>
          <w:tcPr>
            <w:tcW w:w="32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Соблюдать противопожарные расстояния</w:t>
            </w:r>
          </w:p>
        </w:tc>
        <w:tc>
          <w:tcPr>
            <w:tcW w:w="13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w:t>
            </w:r>
          </w:p>
        </w:tc>
        <w:tc>
          <w:tcPr>
            <w:tcW w:w="12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449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r>
      <w:tr>
        <w:trPr>
          <w:trHeight w:val="20" w:hRule="atLeast"/>
          <w:cantSplit w:val="true"/>
        </w:trPr>
        <w:tc>
          <w:tcPr>
            <w:tcW w:w="7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3</w:t>
            </w:r>
          </w:p>
        </w:tc>
        <w:tc>
          <w:tcPr>
            <w:tcW w:w="282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 xml:space="preserve">Магистральные трубопроводы </w:t>
            </w:r>
          </w:p>
        </w:tc>
        <w:tc>
          <w:tcPr>
            <w:tcW w:w="32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Установление и соблюдение режима зон минимальных расстояний</w:t>
            </w:r>
          </w:p>
        </w:tc>
        <w:tc>
          <w:tcPr>
            <w:tcW w:w="13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4</w:t>
            </w:r>
          </w:p>
        </w:tc>
        <w:tc>
          <w:tcPr>
            <w:tcW w:w="113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t>+</w:t>
            </w:r>
          </w:p>
        </w:tc>
        <w:tc>
          <w:tcPr>
            <w:tcW w:w="12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tc>
        <w:tc>
          <w:tcPr>
            <w:tcW w:w="449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bookmarkStart w:id="230" w:name="_Hlk137024018_Копия_1"/>
            <w:bookmarkStart w:id="231" w:name="_Hlk137024018_Копия_1"/>
            <w:bookmarkEnd w:id="231"/>
          </w:p>
        </w:tc>
      </w:tr>
    </w:tbl>
    <w:p>
      <w:pPr>
        <w:sectPr>
          <w:footnotePr>
            <w:numFmt w:val="decimal"/>
          </w:footnotePr>
          <w:type w:val="nextPage"/>
          <w:pgSz w:orient="landscape" w:w="16838" w:h="11906"/>
          <w:pgMar w:left="851" w:right="851" w:gutter="0" w:header="0" w:top="1134" w:footer="0" w:bottom="709"/>
          <w:pgNumType w:fmt="decimal"/>
          <w:formProt w:val="false"/>
          <w:textDirection w:val="lrTb"/>
          <w:docGrid w:type="default" w:linePitch="360" w:charSpace="4294959103"/>
        </w:sectPr>
        <w:pStyle w:val="Normal"/>
        <w:rPr/>
      </w:pPr>
      <w:r>
        <w:rPr/>
      </w:r>
    </w:p>
    <w:p>
      <w:pPr>
        <w:pStyle w:val="Normal"/>
        <w:spacing w:lineRule="auto" w:line="240"/>
        <w:ind w:firstLine="709"/>
        <w:jc w:val="center"/>
        <w:rPr>
          <w:rFonts w:ascii="Times New Roman" w:hAnsi="Times New Roman" w:cs="Times New Roman"/>
          <w:sz w:val="28"/>
          <w:szCs w:val="28"/>
          <w:lang w:eastAsia="x-none"/>
        </w:rPr>
      </w:pPr>
      <w:r>
        <w:rPr>
          <w:rFonts w:cs="Times New Roman" w:ascii="Times New Roman" w:hAnsi="Times New Roman"/>
          <w:sz w:val="28"/>
          <w:szCs w:val="28"/>
          <w:lang w:eastAsia="x-none"/>
        </w:rPr>
        <w:t>Приложение</w:t>
      </w:r>
    </w:p>
    <w:p>
      <w:pPr>
        <w:pStyle w:val="Table1"/>
        <w:ind w:firstLine="709"/>
        <w:jc w:val="right"/>
        <w:rPr>
          <w:sz w:val="28"/>
          <w:szCs w:val="28"/>
        </w:rPr>
      </w:pPr>
      <w:r>
        <w:rPr>
          <w:sz w:val="28"/>
          <w:szCs w:val="28"/>
        </w:rPr>
        <w:t>Приложение 1</w:t>
      </w:r>
    </w:p>
    <w:p>
      <w:pPr>
        <w:pStyle w:val="Normal"/>
        <w:tabs>
          <w:tab w:val="clear" w:pos="709"/>
          <w:tab w:val="left" w:pos="993" w:leader="none"/>
        </w:tabs>
        <w:suppressAutoHyphens w:val="tru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Исходные данные и требования для разработки перечня мероприятий по гражданской обороне, мероприятий по предупреждению чрезвычайных ситуаций</w:t>
      </w:r>
    </w:p>
    <w:p>
      <w:pPr>
        <w:pStyle w:val="Normal"/>
        <w:tabs>
          <w:tab w:val="clear" w:pos="709"/>
          <w:tab w:val="left" w:pos="993" w:leader="none"/>
        </w:tabs>
        <w:suppressAutoHyphens w:val="tru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clear" w:pos="709"/>
          <w:tab w:val="left" w:pos="993" w:leader="none"/>
        </w:tabs>
        <w:suppressAutoHyphens w:val="true"/>
        <w:spacing w:lineRule="auto" w:line="240" w:before="0" w:after="0"/>
        <w:jc w:val="center"/>
        <w:rPr>
          <w:rFonts w:ascii="Times New Roman" w:hAnsi="Times New Roman" w:eastAsia="Times New Roman" w:cs="Times New Roman"/>
          <w:sz w:val="28"/>
          <w:szCs w:val="28"/>
          <w:lang w:eastAsia="ru-RU"/>
        </w:rPr>
      </w:pPr>
      <w:r>
        <w:rPr/>
        <w:drawing>
          <wp:inline distT="0" distB="0" distL="0" distR="0">
            <wp:extent cx="5200015" cy="7425055"/>
            <wp:effectExtent l="0" t="0" r="0" b="0"/>
            <wp:docPr id="32"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5" descr=""/>
                    <pic:cNvPicPr>
                      <a:picLocks noChangeAspect="1" noChangeArrowheads="1"/>
                    </pic:cNvPicPr>
                  </pic:nvPicPr>
                  <pic:blipFill>
                    <a:blip r:embed="rId96"/>
                    <a:stretch>
                      <a:fillRect/>
                    </a:stretch>
                  </pic:blipFill>
                  <pic:spPr bwMode="auto">
                    <a:xfrm>
                      <a:off x="0" y="0"/>
                      <a:ext cx="5200015" cy="7425055"/>
                    </a:xfrm>
                    <a:prstGeom prst="rect">
                      <a:avLst/>
                    </a:prstGeom>
                  </pic:spPr>
                </pic:pic>
              </a:graphicData>
            </a:graphic>
          </wp:inline>
        </w:drawing>
      </w:r>
    </w:p>
    <w:p>
      <w:pPr>
        <w:pStyle w:val="Normal"/>
        <w:tabs>
          <w:tab w:val="clear" w:pos="709"/>
          <w:tab w:val="left" w:pos="993" w:leader="none"/>
        </w:tabs>
        <w:suppressAutoHyphens w:val="true"/>
        <w:spacing w:lineRule="auto" w:line="240" w:before="0" w:after="0"/>
        <w:jc w:val="center"/>
        <w:rPr>
          <w:rFonts w:ascii="Times New Roman" w:hAnsi="Times New Roman" w:eastAsia="Times New Roman" w:cs="Times New Roman"/>
          <w:sz w:val="28"/>
          <w:szCs w:val="28"/>
          <w:lang w:eastAsia="ru-RU"/>
        </w:rPr>
      </w:pPr>
      <w:r>
        <w:rPr/>
        <w:drawing>
          <wp:inline distT="0" distB="0" distL="0" distR="0">
            <wp:extent cx="5358765" cy="7543800"/>
            <wp:effectExtent l="0" t="0" r="0" b="0"/>
            <wp:docPr id="33"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6" descr=""/>
                    <pic:cNvPicPr>
                      <a:picLocks noChangeAspect="1" noChangeArrowheads="1"/>
                    </pic:cNvPicPr>
                  </pic:nvPicPr>
                  <pic:blipFill>
                    <a:blip r:embed="rId97"/>
                    <a:stretch>
                      <a:fillRect/>
                    </a:stretch>
                  </pic:blipFill>
                  <pic:spPr bwMode="auto">
                    <a:xfrm>
                      <a:off x="0" y="0"/>
                      <a:ext cx="5358765" cy="7543800"/>
                    </a:xfrm>
                    <a:prstGeom prst="rect">
                      <a:avLst/>
                    </a:prstGeom>
                  </pic:spPr>
                </pic:pic>
              </a:graphicData>
            </a:graphic>
          </wp:inline>
        </w:drawing>
      </w:r>
    </w:p>
    <w:p>
      <w:pPr>
        <w:pStyle w:val="Normal"/>
        <w:tabs>
          <w:tab w:val="clear" w:pos="709"/>
          <w:tab w:val="left" w:pos="993" w:leader="none"/>
        </w:tabs>
        <w:suppressAutoHyphens w:val="true"/>
        <w:spacing w:lineRule="auto" w:line="240" w:before="0" w:after="0"/>
        <w:jc w:val="center"/>
        <w:rPr>
          <w:rFonts w:ascii="Times New Roman" w:hAnsi="Times New Roman" w:eastAsia="Times New Roman" w:cs="Times New Roman"/>
          <w:sz w:val="28"/>
          <w:szCs w:val="28"/>
          <w:lang w:eastAsia="ru-RU"/>
        </w:rPr>
      </w:pPr>
      <w:r>
        <w:rPr/>
        <w:drawing>
          <wp:inline distT="0" distB="0" distL="0" distR="0">
            <wp:extent cx="5459095" cy="7727315"/>
            <wp:effectExtent l="0" t="0" r="0" b="0"/>
            <wp:docPr id="34"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11" descr=""/>
                    <pic:cNvPicPr>
                      <a:picLocks noChangeAspect="1" noChangeArrowheads="1"/>
                    </pic:cNvPicPr>
                  </pic:nvPicPr>
                  <pic:blipFill>
                    <a:blip r:embed="rId98"/>
                    <a:stretch>
                      <a:fillRect/>
                    </a:stretch>
                  </pic:blipFill>
                  <pic:spPr bwMode="auto">
                    <a:xfrm>
                      <a:off x="0" y="0"/>
                      <a:ext cx="5459095" cy="7727315"/>
                    </a:xfrm>
                    <a:prstGeom prst="rect">
                      <a:avLst/>
                    </a:prstGeom>
                  </pic:spPr>
                </pic:pic>
              </a:graphicData>
            </a:graphic>
          </wp:inline>
        </w:drawing>
      </w:r>
    </w:p>
    <w:p>
      <w:pPr>
        <w:pStyle w:val="Normal"/>
        <w:tabs>
          <w:tab w:val="clear" w:pos="709"/>
          <w:tab w:val="left" w:pos="993" w:leader="none"/>
        </w:tabs>
        <w:suppressAutoHyphens w:val="true"/>
        <w:spacing w:lineRule="auto" w:line="240" w:before="0" w:after="0"/>
        <w:jc w:val="center"/>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r>
        <w:br w:type="page"/>
      </w:r>
    </w:p>
    <w:p>
      <w:pPr>
        <w:pStyle w:val="Table1"/>
        <w:ind w:firstLine="709"/>
        <w:jc w:val="right"/>
        <w:rPr>
          <w:sz w:val="28"/>
          <w:szCs w:val="28"/>
        </w:rPr>
      </w:pPr>
      <w:r>
        <w:rPr>
          <w:sz w:val="28"/>
          <w:szCs w:val="28"/>
        </w:rPr>
        <w:t>Приложение 2</w:t>
      </w:r>
    </w:p>
    <w:p>
      <w:pPr>
        <w:pStyle w:val="Normal"/>
        <w:tabs>
          <w:tab w:val="clear" w:pos="709"/>
          <w:tab w:val="left" w:pos="993" w:leader="none"/>
        </w:tabs>
        <w:suppressAutoHyphens w:val="tru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Исходные данные и требования для разработки перечня мероприятий по гражданской обороне, мероприятий по предупреждению чрезвычайных ситуаций</w:t>
      </w:r>
    </w:p>
    <w:p>
      <w:pPr>
        <w:pStyle w:val="Normal"/>
        <w:tabs>
          <w:tab w:val="clear" w:pos="709"/>
          <w:tab w:val="left" w:pos="993" w:leader="none"/>
        </w:tabs>
        <w:suppressAutoHyphens w:val="tru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drawing>
          <wp:inline distT="0" distB="0" distL="0" distR="0">
            <wp:extent cx="5422265" cy="7790815"/>
            <wp:effectExtent l="0" t="0" r="0" b="0"/>
            <wp:docPr id="35"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12" descr=""/>
                    <pic:cNvPicPr>
                      <a:picLocks noChangeAspect="1" noChangeArrowheads="1"/>
                    </pic:cNvPicPr>
                  </pic:nvPicPr>
                  <pic:blipFill>
                    <a:blip r:embed="rId99"/>
                    <a:stretch>
                      <a:fillRect/>
                    </a:stretch>
                  </pic:blipFill>
                  <pic:spPr bwMode="auto">
                    <a:xfrm>
                      <a:off x="0" y="0"/>
                      <a:ext cx="5422265" cy="7790815"/>
                    </a:xfrm>
                    <a:prstGeom prst="rect">
                      <a:avLst/>
                    </a:prstGeom>
                  </pic:spPr>
                </pic:pic>
              </a:graphicData>
            </a:graphic>
          </wp:inline>
        </w:drawing>
      </w:r>
    </w:p>
    <w:p>
      <w:pPr>
        <w:pStyle w:val="Normal"/>
        <w:jc w:val="center"/>
        <w:rPr>
          <w:rFonts w:ascii="Times New Roman" w:hAnsi="Times New Roman" w:cs="Times New Roman"/>
          <w:sz w:val="28"/>
          <w:szCs w:val="28"/>
        </w:rPr>
      </w:pPr>
      <w:r>
        <w:rPr/>
        <w:drawing>
          <wp:inline distT="0" distB="0" distL="0" distR="0">
            <wp:extent cx="5591810" cy="7827010"/>
            <wp:effectExtent l="0" t="0" r="0" b="0"/>
            <wp:docPr id="36"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13" descr=""/>
                    <pic:cNvPicPr>
                      <a:picLocks noChangeAspect="1" noChangeArrowheads="1"/>
                    </pic:cNvPicPr>
                  </pic:nvPicPr>
                  <pic:blipFill>
                    <a:blip r:embed="rId100"/>
                    <a:stretch>
                      <a:fillRect/>
                    </a:stretch>
                  </pic:blipFill>
                  <pic:spPr bwMode="auto">
                    <a:xfrm>
                      <a:off x="0" y="0"/>
                      <a:ext cx="5591810" cy="7827010"/>
                    </a:xfrm>
                    <a:prstGeom prst="rect">
                      <a:avLst/>
                    </a:prstGeom>
                  </pic:spPr>
                </pic:pic>
              </a:graphicData>
            </a:graphic>
          </wp:inline>
        </w:drawing>
      </w:r>
      <w:r>
        <w:rPr/>
        <w:drawing>
          <wp:inline distT="0" distB="0" distL="0" distR="0">
            <wp:extent cx="5847080" cy="7845425"/>
            <wp:effectExtent l="0" t="0" r="0" b="0"/>
            <wp:docPr id="37"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14" descr=""/>
                    <pic:cNvPicPr>
                      <a:picLocks noChangeAspect="1" noChangeArrowheads="1"/>
                    </pic:cNvPicPr>
                  </pic:nvPicPr>
                  <pic:blipFill>
                    <a:blip r:embed="rId101"/>
                    <a:stretch>
                      <a:fillRect/>
                    </a:stretch>
                  </pic:blipFill>
                  <pic:spPr bwMode="auto">
                    <a:xfrm>
                      <a:off x="0" y="0"/>
                      <a:ext cx="5847080" cy="7845425"/>
                    </a:xfrm>
                    <a:prstGeom prst="rect">
                      <a:avLst/>
                    </a:prstGeom>
                  </pic:spPr>
                </pic:pic>
              </a:graphicData>
            </a:graphic>
          </wp:inline>
        </w:drawing>
      </w:r>
    </w:p>
    <w:p>
      <w:pPr>
        <w:pStyle w:val="Normal"/>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r>
        <w:br w:type="page"/>
      </w:r>
    </w:p>
    <w:p>
      <w:pPr>
        <w:pStyle w:val="Normal"/>
        <w:tabs>
          <w:tab w:val="clear" w:pos="709"/>
          <w:tab w:val="left" w:pos="993" w:leader="none"/>
        </w:tabs>
        <w:suppressAutoHyphens w:val="true"/>
        <w:spacing w:lineRule="auto" w:line="240" w:before="0" w:after="0"/>
        <w:ind w:firstLine="709"/>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Приложение 3</w:t>
      </w:r>
    </w:p>
    <w:p>
      <w:pPr>
        <w:pStyle w:val="Normal"/>
        <w:tabs>
          <w:tab w:val="clear" w:pos="709"/>
          <w:tab w:val="left" w:pos="993" w:leader="none"/>
        </w:tabs>
        <w:suppressAutoHyphens w:val="tru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t xml:space="preserve">Письмо Управления Роспотребнадзора по РТ №11/10729 от 08.06.2023 г  </w:t>
      </w:r>
    </w:p>
    <w:p>
      <w:pPr>
        <w:pStyle w:val="Normal"/>
        <w:tabs>
          <w:tab w:val="clear" w:pos="709"/>
          <w:tab w:val="left" w:pos="993" w:leader="none"/>
        </w:tabs>
        <w:suppressAutoHyphens w:val="true"/>
        <w:spacing w:lineRule="auto" w:line="240" w:before="0" w:after="0"/>
        <w:ind w:firstLine="709"/>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center"/>
        <w:rPr>
          <w:rFonts w:ascii="Times New Roman" w:hAnsi="Times New Roman" w:cs="Times New Roman"/>
          <w:sz w:val="28"/>
          <w:szCs w:val="28"/>
          <w:lang w:eastAsia="ru-RU"/>
        </w:rPr>
      </w:pPr>
      <w:r>
        <w:rPr/>
        <w:drawing>
          <wp:inline distT="0" distB="0" distL="0" distR="0">
            <wp:extent cx="5672455" cy="8096250"/>
            <wp:effectExtent l="0" t="0" r="0" b="0"/>
            <wp:docPr id="38"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7" descr=""/>
                    <pic:cNvPicPr>
                      <a:picLocks noChangeAspect="1" noChangeArrowheads="1"/>
                    </pic:cNvPicPr>
                  </pic:nvPicPr>
                  <pic:blipFill>
                    <a:blip r:embed="rId102"/>
                    <a:stretch>
                      <a:fillRect/>
                    </a:stretch>
                  </pic:blipFill>
                  <pic:spPr bwMode="auto">
                    <a:xfrm>
                      <a:off x="0" y="0"/>
                      <a:ext cx="5672455" cy="8096250"/>
                    </a:xfrm>
                    <a:prstGeom prst="rect">
                      <a:avLst/>
                    </a:prstGeom>
                  </pic:spPr>
                </pic:pic>
              </a:graphicData>
            </a:graphic>
          </wp:inline>
        </w:drawing>
      </w:r>
    </w:p>
    <w:p>
      <w:pPr>
        <w:pStyle w:val="Normal"/>
        <w:spacing w:lineRule="auto" w:line="240" w:before="0" w:after="0"/>
        <w:jc w:val="center"/>
        <w:rPr>
          <w:rFonts w:ascii="Times New Roman" w:hAnsi="Times New Roman" w:cs="Times New Roman"/>
          <w:sz w:val="28"/>
          <w:szCs w:val="28"/>
          <w:lang w:eastAsia="ru-RU"/>
        </w:rPr>
      </w:pPr>
      <w:r>
        <w:rPr/>
        <w:drawing>
          <wp:inline distT="0" distB="0" distL="0" distR="0">
            <wp:extent cx="5948045" cy="8515350"/>
            <wp:effectExtent l="0" t="0" r="0" b="0"/>
            <wp:docPr id="39"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4" descr=""/>
                    <pic:cNvPicPr>
                      <a:picLocks noChangeAspect="1" noChangeArrowheads="1"/>
                    </pic:cNvPicPr>
                  </pic:nvPicPr>
                  <pic:blipFill>
                    <a:blip r:embed="rId103"/>
                    <a:stretch>
                      <a:fillRect/>
                    </a:stretch>
                  </pic:blipFill>
                  <pic:spPr bwMode="auto">
                    <a:xfrm>
                      <a:off x="0" y="0"/>
                      <a:ext cx="5948045" cy="8515350"/>
                    </a:xfrm>
                    <a:prstGeom prst="rect">
                      <a:avLst/>
                    </a:prstGeom>
                  </pic:spPr>
                </pic:pic>
              </a:graphicData>
            </a:graphic>
          </wp:inline>
        </w:drawing>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eastAsia="Times New Roman" w:cs="Times New Roman"/>
          <w:b/>
          <w:sz w:val="28"/>
          <w:szCs w:val="28"/>
          <w:lang w:eastAsia="ru-RU"/>
        </w:rPr>
      </w:pPr>
      <w:r>
        <w:rPr>
          <w:rFonts w:eastAsia="Times New Roman" w:cs="Times New Roman" w:ascii="Times New Roman" w:hAnsi="Times New Roman"/>
          <w:b/>
          <w:sz w:val="28"/>
          <w:szCs w:val="28"/>
          <w:lang w:eastAsia="ru-RU"/>
        </w:rPr>
      </w:r>
      <w:bookmarkStart w:id="232" w:name="_Toc266432775"/>
      <w:bookmarkStart w:id="233" w:name="_Toc316136505"/>
      <w:bookmarkStart w:id="234" w:name="_Toc7079022"/>
      <w:bookmarkStart w:id="235" w:name="_Toc44092923"/>
      <w:bookmarkStart w:id="236" w:name="_Toc43800418"/>
      <w:bookmarkStart w:id="237" w:name="_Toc266432775"/>
      <w:bookmarkStart w:id="238" w:name="_Toc316136505"/>
      <w:bookmarkStart w:id="239" w:name="_Toc7079022"/>
      <w:bookmarkStart w:id="240" w:name="_Toc44092923"/>
      <w:bookmarkStart w:id="241" w:name="_Toc43800418"/>
      <w:bookmarkEnd w:id="237"/>
      <w:bookmarkEnd w:id="238"/>
      <w:bookmarkEnd w:id="239"/>
      <w:r>
        <w:br w:type="page"/>
      </w:r>
    </w:p>
    <w:p>
      <w:pPr>
        <w:pStyle w:val="Style35"/>
        <w:numPr>
          <w:ilvl w:val="0"/>
          <w:numId w:val="0"/>
        </w:numPr>
        <w:ind w:left="735" w:hanging="0"/>
        <w:outlineLvl w:val="0"/>
        <w:rPr>
          <w:szCs w:val="28"/>
          <w:lang w:val="ru-RU"/>
        </w:rPr>
      </w:pPr>
      <w:bookmarkStart w:id="242" w:name="_Toc44092923"/>
      <w:bookmarkStart w:id="243" w:name="_Toc43800418"/>
      <w:bookmarkStart w:id="244" w:name="_Toc147740089"/>
      <w:r>
        <w:rPr>
          <w:szCs w:val="28"/>
          <w:lang w:val="ru-RU"/>
        </w:rPr>
        <w:t>СПИСОК ИСПОЛЬЗОВАННОЙ ЛИТЕРАТУР</w:t>
      </w:r>
      <w:bookmarkEnd w:id="242"/>
      <w:bookmarkEnd w:id="243"/>
      <w:r>
        <w:rPr>
          <w:szCs w:val="28"/>
          <w:lang w:val="ru-RU"/>
        </w:rPr>
        <w:t>Ы</w:t>
      </w:r>
      <w:bookmarkEnd w:id="244"/>
    </w:p>
    <w:p>
      <w:pPr>
        <w:pStyle w:val="Style35"/>
        <w:ind w:left="737" w:hanging="0"/>
        <w:rPr>
          <w:szCs w:val="28"/>
        </w:rPr>
      </w:pPr>
      <w:r>
        <w:rPr>
          <w:szCs w:val="28"/>
        </w:rPr>
      </w:r>
    </w:p>
    <w:p>
      <w:pPr>
        <w:pStyle w:val="ListParagraph"/>
        <w:numPr>
          <w:ilvl w:val="0"/>
          <w:numId w:val="23"/>
        </w:numPr>
        <w:spacing w:lineRule="auto" w:line="240" w:beforeAutospacing="1"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Ландшафты Республики Татарстан. Региональный ландшафтно-экологический анализ//Под редакцией профессора Ермолаева / Ермолаев О.П., Игонин М.Е., Бубнов А.Ю., Павлова С.В. – Казань: «Слово». – 2007. – 411 с.</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Красная книга Республики Татарстан: животные, растения, грибы/ гл. ред. А. И. Щеповских. – Казань: Природа: Стар, 1995. – 454 с.</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cs="Times New Roman" w:ascii="Times New Roman" w:hAnsi="Times New Roman"/>
          <w:sz w:val="28"/>
          <w:szCs w:val="28"/>
        </w:rPr>
        <w:t>Справочное пособие «Биологическое разнообразие и особо охраняемые природные территории Республики Татарстан», Казань, 2018г.</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cs="Times New Roman" w:ascii="Times New Roman" w:hAnsi="Times New Roman"/>
          <w:sz w:val="28"/>
          <w:szCs w:val="28"/>
        </w:rPr>
        <w:t>К.М. Мирзоев, Н.С. Гатиятуллин, Е.А. Тарасов, В.П. Степанов, Р.Н. Гатиятуллин, М.Х. Рахматуллин, В.А. Кожевников. Сейсмическая опасность территории Татарстана</w:t>
      </w:r>
      <w:r>
        <w:rPr>
          <w:rFonts w:eastAsia="Times New Roman" w:cs="Times New Roman" w:ascii="Times New Roman" w:hAnsi="Times New Roman"/>
          <w:sz w:val="28"/>
          <w:szCs w:val="28"/>
          <w:lang w:eastAsia="ru-RU"/>
        </w:rPr>
        <w:t>//Георесурсы. 1(15)2004. С.45-48.</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Степанов В.П., Мирзоев К.М., Тарасов Е.А., Гатиятуллин Р.Н., Степанов А.В., Степанов И.В. Важнейшие разломы и сейсмичность территории Татарстана//Геология. Известия Отделения наук о Земле и экологии. Уфа, 1998. №3. С.126-135.</w:t>
      </w:r>
    </w:p>
    <w:p>
      <w:pPr>
        <w:pStyle w:val="ListParagraph"/>
        <w:numPr>
          <w:ilvl w:val="0"/>
          <w:numId w:val="23"/>
        </w:numPr>
        <w:spacing w:lineRule="auto" w:line="240" w:before="0" w:afterAutospacing="1"/>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Книга «Объекты культурного наследия Республики Татарстан»</w:t>
      </w:r>
    </w:p>
    <w:p>
      <w:pPr>
        <w:pStyle w:val="ListParagraph"/>
        <w:keepNext w:val="true"/>
        <w:tabs>
          <w:tab w:val="clear" w:pos="709"/>
          <w:tab w:val="left" w:pos="600" w:leader="none"/>
        </w:tabs>
        <w:spacing w:lineRule="auto" w:line="240" w:beforeAutospacing="1" w:afterAutospacing="1"/>
        <w:ind w:left="735" w:hanging="0"/>
        <w:contextualSpacing/>
        <w:jc w:val="center"/>
        <w:rPr>
          <w:rFonts w:ascii="Times New Roman" w:hAnsi="Times New Roman" w:eastAsia="Times New Roman" w:cs="Times New Roman"/>
          <w:b/>
          <w:sz w:val="28"/>
          <w:szCs w:val="28"/>
          <w:lang w:eastAsia="ru-RU"/>
        </w:rPr>
      </w:pPr>
      <w:r>
        <w:rPr>
          <w:rFonts w:eastAsia="Times New Roman" w:cs="Times New Roman" w:ascii="Times New Roman" w:hAnsi="Times New Roman"/>
          <w:b/>
          <w:sz w:val="28"/>
          <w:szCs w:val="28"/>
          <w:lang w:eastAsia="ru-RU"/>
        </w:rPr>
      </w:r>
    </w:p>
    <w:p>
      <w:pPr>
        <w:pStyle w:val="ListParagraph"/>
        <w:keepNext w:val="true"/>
        <w:tabs>
          <w:tab w:val="clear" w:pos="709"/>
          <w:tab w:val="left" w:pos="600" w:leader="none"/>
        </w:tabs>
        <w:spacing w:lineRule="auto" w:line="240" w:beforeAutospacing="1" w:afterAutospacing="1"/>
        <w:ind w:left="735" w:hanging="0"/>
        <w:contextualSpacing/>
        <w:jc w:val="center"/>
        <w:rPr>
          <w:rFonts w:ascii="Times New Roman" w:hAnsi="Times New Roman" w:eastAsia="Times New Roman" w:cs="Times New Roman"/>
          <w:b/>
          <w:sz w:val="28"/>
          <w:szCs w:val="28"/>
          <w:lang w:eastAsia="ru-RU"/>
        </w:rPr>
      </w:pPr>
      <w:r>
        <w:rPr>
          <w:rFonts w:eastAsia="Times New Roman" w:cs="Times New Roman" w:ascii="Times New Roman" w:hAnsi="Times New Roman"/>
          <w:b/>
          <w:sz w:val="28"/>
          <w:szCs w:val="28"/>
          <w:lang w:eastAsia="ru-RU"/>
        </w:rPr>
        <w:t>Исходные данные</w:t>
      </w:r>
    </w:p>
    <w:p>
      <w:pPr>
        <w:pStyle w:val="ListParagraph"/>
        <w:numPr>
          <w:ilvl w:val="0"/>
          <w:numId w:val="23"/>
        </w:numPr>
        <w:spacing w:lineRule="auto" w:line="240" w:beforeAutospacing="1"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Исходные данные, предоставленные органами местного самоуправления </w:t>
      </w:r>
      <w:r>
        <w:rPr>
          <w:rFonts w:cs="Times New Roman" w:ascii="Times New Roman" w:hAnsi="Times New Roman"/>
          <w:sz w:val="28"/>
          <w:szCs w:val="28"/>
        </w:rPr>
        <w:t>Верхнеуслонского муниципального района Республики Татарстан и Вахитовского поселения Верхнеуслонского муниципального района Республики Татарстан</w:t>
      </w:r>
      <w:r>
        <w:rPr>
          <w:rFonts w:eastAsia="Times New Roman" w:cs="Times New Roman" w:ascii="Times New Roman" w:hAnsi="Times New Roman"/>
          <w:sz w:val="28"/>
          <w:szCs w:val="28"/>
          <w:lang w:eastAsia="ru-RU"/>
        </w:rPr>
        <w:t>.</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Схема территориального планирования Республики Татарстан, </w:t>
      </w:r>
      <w:r>
        <w:rPr>
          <w:rFonts w:cs="Times New Roman" w:ascii="Times New Roman" w:hAnsi="Times New Roman"/>
          <w:sz w:val="28"/>
          <w:szCs w:val="28"/>
        </w:rPr>
        <w:t>утвержденная Постановлением Кабинета Министров Республики Татарстан от 21.02.2011 №134.</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Схема территориального планирования </w:t>
      </w:r>
      <w:r>
        <w:rPr>
          <w:rFonts w:cs="Times New Roman" w:ascii="Times New Roman" w:hAnsi="Times New Roman"/>
          <w:sz w:val="28"/>
          <w:szCs w:val="28"/>
        </w:rPr>
        <w:t>Верхнеуслонского муниципального района</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Данные, </w:t>
      </w:r>
      <w:r>
        <w:rPr>
          <w:rFonts w:cs="Times New Roman" w:ascii="Times New Roman" w:hAnsi="Times New Roman"/>
          <w:sz w:val="28"/>
          <w:szCs w:val="28"/>
        </w:rPr>
        <w:t>предоставленные в адрес ГБУ «Фонд пространственных данных РТ» ГБУ «Научно-производственное объединение по геологии и использованию недр РТ» Министерства экологии и природных ресурсов РТ</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cs="Times New Roman" w:ascii="Times New Roman" w:hAnsi="Times New Roman"/>
          <w:sz w:val="28"/>
          <w:szCs w:val="28"/>
        </w:rPr>
        <w:t>Данные, предоставленные в адрес ГБУ «Фонд пространственных данных РТ» ООО «Газпром трансгаз Казань»</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cs="Times New Roman" w:ascii="Times New Roman" w:hAnsi="Times New Roman"/>
          <w:sz w:val="28"/>
          <w:szCs w:val="28"/>
        </w:rPr>
        <w:t>Данные, предоставленные в адрес ГБУ «Фонд пространственных данных РТ» АО «Транснефть-Прикамье»</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cs="Times New Roman" w:ascii="Times New Roman" w:hAnsi="Times New Roman"/>
          <w:sz w:val="28"/>
          <w:szCs w:val="28"/>
        </w:rPr>
        <w:t>Данные, предоставленные в адрес ГБУ «Фонд пространственных данных РТ»  ПАО «Татнефть» им.В.Д.Шашина</w:t>
      </w:r>
    </w:p>
    <w:p>
      <w:pPr>
        <w:pStyle w:val="ListParagraph"/>
        <w:numPr>
          <w:ilvl w:val="0"/>
          <w:numId w:val="23"/>
        </w:numPr>
        <w:spacing w:lineRule="auto" w:line="240" w:before="0" w:afterAutospacing="1"/>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Данные, предоставленные в адрес ГБУ «Фонд пространственных данных РТ» ПАО «Нижнекамскнефтехим»</w:t>
      </w:r>
    </w:p>
    <w:p>
      <w:pPr>
        <w:pStyle w:val="ListParagraph"/>
        <w:spacing w:lineRule="auto" w:line="240" w:beforeAutospacing="1" w:afterAutospacing="1"/>
        <w:ind w:left="709" w:hanging="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ListParagraph"/>
        <w:keepNext w:val="true"/>
        <w:tabs>
          <w:tab w:val="clear" w:pos="709"/>
          <w:tab w:val="left" w:pos="600" w:leader="none"/>
        </w:tabs>
        <w:spacing w:lineRule="auto" w:line="240" w:beforeAutospacing="1" w:after="20"/>
        <w:ind w:left="735" w:hanging="0"/>
        <w:contextualSpacing/>
        <w:jc w:val="center"/>
        <w:rPr>
          <w:rFonts w:ascii="Times New Roman" w:hAnsi="Times New Roman" w:eastAsia="Times New Roman" w:cs="Times New Roman"/>
          <w:b/>
          <w:sz w:val="28"/>
          <w:szCs w:val="28"/>
          <w:lang w:eastAsia="ru-RU"/>
        </w:rPr>
      </w:pPr>
      <w:r>
        <w:rPr>
          <w:rFonts w:eastAsia="Times New Roman" w:cs="Times New Roman" w:ascii="Times New Roman" w:hAnsi="Times New Roman"/>
          <w:b/>
          <w:sz w:val="28"/>
          <w:szCs w:val="28"/>
          <w:lang w:eastAsia="ru-RU"/>
        </w:rPr>
        <w:t>Список нормативной документации</w:t>
      </w:r>
    </w:p>
    <w:p>
      <w:pPr>
        <w:pStyle w:val="ListParagraph"/>
        <w:numPr>
          <w:ilvl w:val="0"/>
          <w:numId w:val="23"/>
        </w:numPr>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«Градостроительный кодекс РФ» от 29.12.2004 №190-ФЗ (с изменениями и дополнениями)</w:t>
      </w:r>
    </w:p>
    <w:p>
      <w:pPr>
        <w:pStyle w:val="ListParagraph"/>
        <w:numPr>
          <w:ilvl w:val="0"/>
          <w:numId w:val="23"/>
        </w:numPr>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«Земельный кодекс РФ» от 25.10.2001 №136-ФЗ (с изменениями и дополнениями)</w:t>
      </w:r>
    </w:p>
    <w:p>
      <w:pPr>
        <w:pStyle w:val="ListParagraph"/>
        <w:numPr>
          <w:ilvl w:val="0"/>
          <w:numId w:val="23"/>
        </w:numPr>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«Водный кодекс РФ» от 03.06.2006 №74-ФЗ (с изменениями и дополнениями)</w:t>
      </w:r>
    </w:p>
    <w:p>
      <w:pPr>
        <w:pStyle w:val="ListParagraph"/>
        <w:numPr>
          <w:ilvl w:val="0"/>
          <w:numId w:val="23"/>
        </w:numPr>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«Лесной кодекс РФ» от 04.12.2006 №200-ФЗ (с изменениями и дополнениями)</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«Воздушный кодекс РФ» от 19.03.1997 № 60-ФЗ (с изменениями и дополнениями)</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Федеральный закон от 10.01.2002 №7-ФЗ «Об охране окружающей среды» (с последними изменениями и дополнениями)</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Федеральный закон от 21.02.1992 № 2395-1-ФЗ «О недрах» (с изменениями и дополнениями)</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Федеральный закон от 24.04.1995 №52-ФЗ «О животном мире» (с изменениями и дополнениями)</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Федеральный закон от 30.03.1999 № 52-ФЗ «О санитарно-эпидемиологическом благополучии населения» (с изменениями и дополнениями)</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Федеральный закон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 изменениями и дополнениями)</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Федеральный закон от 14.03.1995 № 33-ФЗ «Об особо охраняемых природных территориях» (с изменениями и дополнениями)</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Федеральный закон от 24.06.1998 № 89-ФЗ «Об отходах производства и потребления» (с изменениями и дополнениями)</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Федеральный закон от 21.12.1994 № 68-ФЗ «О защите населения и территории от чрезвычайны ситуаций природного и техногенного характера» (с изменениями и дополнениями)</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Федеральный закон от 30.12.2009 № 384-ФЗ «Технический регламент о безопасности зданий и сооружений» (с изменениями и дополнениями)</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Федеральный закон от 21.07.1997 № 116-ФЗ «О промышленной безопасности опасных производственных объектов» (с изменениями и дополнениями)</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Федеральный закон от 21.12.1994 №69-ФЗ «О пожарной безопасности» (с изменениями и дополнениями)</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Федеральный закон от 22.07.2008 №123-ФЗ «Технический регламент о требованиях пожарной безопасности» (с изменениями и дополнениями)</w:t>
      </w:r>
    </w:p>
    <w:p>
      <w:pPr>
        <w:pStyle w:val="ListParagraph"/>
        <w:numPr>
          <w:ilvl w:val="0"/>
          <w:numId w:val="23"/>
        </w:numPr>
        <w:spacing w:lineRule="auto" w:line="240" w:before="0" w:afterAutospacing="1"/>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Федеральный закон от 06.05.2011 № 100-ФЗ «О добровольной пожарной охране» ( с изменениями и дополнениями)</w:t>
      </w:r>
    </w:p>
    <w:p>
      <w:pPr>
        <w:pStyle w:val="ListParagraph"/>
        <w:spacing w:lineRule="auto" w:line="240" w:beforeAutospacing="1" w:after="20"/>
        <w:ind w:left="735" w:hanging="0"/>
        <w:contextualSpacing/>
        <w:jc w:val="center"/>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w:t xml:space="preserve"> </w:t>
      </w:r>
    </w:p>
    <w:p>
      <w:pPr>
        <w:pStyle w:val="ListParagraph"/>
        <w:spacing w:lineRule="auto" w:line="240" w:beforeAutospacing="1" w:after="20"/>
        <w:ind w:left="735" w:hanging="0"/>
        <w:contextualSpacing/>
        <w:jc w:val="center"/>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w:t>Природная характеристика</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СП 131.13330.2020 «СНиП 23-01-99*. Строительная климатология», утвержденный и введеный в действие Приказом Минстроя России от 24.12.2020 № 859/пр. (с изменениями и дополнениями)</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СП 14.1330.2018 «</w:t>
      </w:r>
      <w:r>
        <w:rPr>
          <w:rFonts w:cs="Times New Roman" w:ascii="Times New Roman" w:hAnsi="Times New Roman"/>
          <w:sz w:val="28"/>
          <w:szCs w:val="28"/>
        </w:rPr>
        <w:t xml:space="preserve">Свод правил. Строительство в сейсмических районах. Актуализированная редакция СНиП </w:t>
      </w:r>
      <w:r>
        <w:rPr>
          <w:rFonts w:cs="Times New Roman" w:ascii="Times New Roman" w:hAnsi="Times New Roman"/>
          <w:sz w:val="28"/>
          <w:szCs w:val="28"/>
          <w:lang w:val="en-US"/>
        </w:rPr>
        <w:t>II</w:t>
      </w:r>
      <w:r>
        <w:rPr>
          <w:rFonts w:cs="Times New Roman" w:ascii="Times New Roman" w:hAnsi="Times New Roman"/>
          <w:sz w:val="28"/>
          <w:szCs w:val="28"/>
        </w:rPr>
        <w:t>-7-8</w:t>
      </w:r>
      <w:r>
        <w:rPr>
          <w:rFonts w:eastAsia="Times New Roman" w:cs="Times New Roman" w:ascii="Times New Roman" w:hAnsi="Times New Roman"/>
          <w:sz w:val="28"/>
          <w:szCs w:val="28"/>
          <w:lang w:eastAsia="ru-RU"/>
        </w:rPr>
        <w:t>», утв. приказом Минстроя РФ от 24.05.2018 №309/пр (с изменениями и дополнениями)</w:t>
      </w:r>
    </w:p>
    <w:p>
      <w:pPr>
        <w:pStyle w:val="ListParagraph"/>
        <w:widowControl w:val="false"/>
        <w:numPr>
          <w:ilvl w:val="0"/>
          <w:numId w:val="23"/>
        </w:numPr>
        <w:suppressAutoHyphens w:val="true"/>
        <w:spacing w:lineRule="auto" w:line="240" w:before="0" w:after="0"/>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 xml:space="preserve">Перечнь особо ценных продуктивных сельскохозяйственных угодий на территории Республики Татарстан, использование которых для других целей не допускается, за исключением случаев, установленных федеральным законодательством, утв. распоряжением КМ РТ от 23.12.2016 № 3056-р </w:t>
      </w:r>
      <w:r>
        <w:rPr>
          <w:rFonts w:eastAsia="Times New Roman" w:cs="Times New Roman" w:ascii="Times New Roman" w:hAnsi="Times New Roman"/>
          <w:sz w:val="28"/>
          <w:szCs w:val="28"/>
          <w:lang w:eastAsia="ru-RU"/>
        </w:rPr>
        <w:t>(с изменениями и дополнениями)</w:t>
      </w:r>
    </w:p>
    <w:p>
      <w:pPr>
        <w:pStyle w:val="ListParagraph"/>
        <w:widowControl w:val="false"/>
        <w:suppressAutoHyphens w:val="true"/>
        <w:spacing w:lineRule="auto" w:line="240" w:before="0" w:after="0"/>
        <w:ind w:left="735" w:hanging="0"/>
        <w:contextual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r>
    </w:p>
    <w:p>
      <w:pPr>
        <w:pStyle w:val="ListParagraph"/>
        <w:spacing w:lineRule="auto" w:line="240" w:beforeAutospacing="1" w:after="20"/>
        <w:ind w:left="735" w:hanging="0"/>
        <w:contextualSpacing/>
        <w:jc w:val="center"/>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w:t xml:space="preserve">Оценка современного негативного воздействия окружающей среды </w:t>
      </w:r>
    </w:p>
    <w:p>
      <w:pPr>
        <w:pStyle w:val="ListParagraph"/>
        <w:numPr>
          <w:ilvl w:val="0"/>
          <w:numId w:val="23"/>
        </w:numPr>
        <w:spacing w:lineRule="auto" w:line="240" w:beforeAutospacing="1" w:after="2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СП 2.6.1.2612-10 «Основные санитарные правила обеспечения радиационной безопасности (ОСПОРБ-99/2010)» (вместе с «СП 2.6.1.2612-10. ОСПОРБ-99/2010. Санитарные правила и нормативы...») (Зарегистрировано в Минюсте России 11.08.2010 N 18115), утв. Постановлением Главного государственного санитарного врача РФ от 26.04.2010 №40 (с изменениями и дополнениями)</w:t>
      </w:r>
    </w:p>
    <w:p>
      <w:pPr>
        <w:pStyle w:val="ListParagraph"/>
        <w:numPr>
          <w:ilvl w:val="0"/>
          <w:numId w:val="23"/>
        </w:numPr>
        <w:spacing w:lineRule="auto" w:line="240" w:before="0" w:after="2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Перечнь особо ценных продуктивных сельскохозяйственных угодий на территории Республики Татарстан, использование которых для других целей не допускается, за исключением случаев, установленных федеральным законодательством, утв. распоряжением КМ РТ от 23.12.2016 № 3056-р (с изменениями и дополнениями)</w:t>
      </w:r>
    </w:p>
    <w:p>
      <w:pPr>
        <w:pStyle w:val="ListParagraph"/>
        <w:spacing w:lineRule="auto" w:line="240" w:beforeAutospacing="1" w:after="20"/>
        <w:ind w:left="735" w:hanging="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ListParagraph"/>
        <w:spacing w:lineRule="auto" w:line="240" w:beforeAutospacing="1" w:after="20"/>
        <w:ind w:left="735" w:hanging="0"/>
        <w:contextualSpacing/>
        <w:jc w:val="center"/>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w:t>Земли лесного фонда</w:t>
      </w:r>
    </w:p>
    <w:p>
      <w:pPr>
        <w:pStyle w:val="ListParagraph"/>
        <w:numPr>
          <w:ilvl w:val="0"/>
          <w:numId w:val="23"/>
        </w:numPr>
        <w:spacing w:lineRule="auto" w:line="240" w:before="0" w:afterAutospacing="1"/>
        <w:contextualSpacing/>
        <w:jc w:val="both"/>
        <w:rPr>
          <w:rFonts w:ascii="Times New Roman" w:hAnsi="Times New Roman" w:eastAsia="Times New Roman" w:cs="Times New Roman"/>
          <w:sz w:val="28"/>
          <w:szCs w:val="28"/>
          <w:lang w:eastAsia="ru-RU"/>
        </w:rPr>
      </w:pPr>
      <w:r>
        <w:rPr>
          <w:rFonts w:cs="Times New Roman" w:ascii="Times New Roman" w:hAnsi="Times New Roman"/>
          <w:sz w:val="28"/>
          <w:szCs w:val="28"/>
        </w:rPr>
        <w:t xml:space="preserve">Лесохозяйственный регламент Приволжского лесничества, утв. приказом Министерства лесного хозяйства РТ от 12.02.2019 № 89-осн </w:t>
      </w:r>
      <w:r>
        <w:rPr>
          <w:rFonts w:eastAsia="Times New Roman" w:cs="Times New Roman" w:ascii="Times New Roman" w:hAnsi="Times New Roman"/>
          <w:sz w:val="28"/>
          <w:szCs w:val="28"/>
          <w:lang w:eastAsia="ru-RU"/>
        </w:rPr>
        <w:t>(с изменениями и дополнениями)</w:t>
      </w:r>
    </w:p>
    <w:p>
      <w:pPr>
        <w:pStyle w:val="ListParagraph"/>
        <w:spacing w:lineRule="auto" w:line="240" w:before="0" w:after="20"/>
        <w:ind w:left="735" w:hanging="0"/>
        <w:contextualSpacing/>
        <w:jc w:val="center"/>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w:r>
    </w:p>
    <w:p>
      <w:pPr>
        <w:pStyle w:val="ListParagraph"/>
        <w:spacing w:lineRule="auto" w:line="240" w:before="0" w:after="20"/>
        <w:ind w:left="735" w:hanging="0"/>
        <w:contextualSpacing/>
        <w:jc w:val="center"/>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w:t>Недра</w:t>
      </w:r>
    </w:p>
    <w:p>
      <w:pPr>
        <w:pStyle w:val="ListParagraph"/>
        <w:numPr>
          <w:ilvl w:val="0"/>
          <w:numId w:val="23"/>
        </w:numPr>
        <w:spacing w:lineRule="auto" w:line="240" w:before="0" w:afterAutospacing="1"/>
        <w:contextualSpacing/>
        <w:jc w:val="both"/>
        <w:rPr>
          <w:rFonts w:ascii="Times New Roman" w:hAnsi="Times New Roman" w:eastAsia="Times New Roman" w:cs="Times New Roman"/>
          <w:i/>
          <w:i/>
          <w:sz w:val="28"/>
          <w:szCs w:val="28"/>
          <w:lang w:eastAsia="ru-RU"/>
        </w:rPr>
      </w:pPr>
      <w:r>
        <w:rPr>
          <w:rFonts w:cs="Times New Roman" w:ascii="Times New Roman" w:hAnsi="Times New Roman"/>
          <w:sz w:val="28"/>
          <w:szCs w:val="28"/>
        </w:rPr>
        <w:t xml:space="preserve"> </w:t>
      </w:r>
      <w:r>
        <w:rPr>
          <w:rFonts w:cs="Times New Roman" w:ascii="Times New Roman" w:hAnsi="Times New Roman"/>
          <w:sz w:val="28"/>
          <w:szCs w:val="28"/>
        </w:rPr>
        <w:t>Перечень участков недр местного значения по Республике Татарстан, утв. приказом Минэкологии и природных ресурсов РТ от 01.09.2021 № 949-п (Зарегистрировано в Минюсте РТ 07.09.2021 № 7893)</w:t>
      </w:r>
      <w:r>
        <w:rPr>
          <w:rFonts w:eastAsia="Times New Roman" w:cs="Times New Roman" w:ascii="Times New Roman" w:hAnsi="Times New Roman"/>
          <w:sz w:val="28"/>
          <w:szCs w:val="28"/>
          <w:lang w:eastAsia="ru-RU"/>
        </w:rPr>
        <w:t xml:space="preserve"> (с изменениями и дополнениями)</w:t>
      </w:r>
    </w:p>
    <w:p>
      <w:pPr>
        <w:pStyle w:val="ListParagraph"/>
        <w:spacing w:lineRule="auto" w:line="240" w:before="0" w:afterAutospacing="1"/>
        <w:ind w:left="735" w:hanging="0"/>
        <w:contextualSpacing/>
        <w:jc w:val="both"/>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w:r>
    </w:p>
    <w:p>
      <w:pPr>
        <w:pStyle w:val="ListParagraph"/>
        <w:spacing w:lineRule="auto" w:line="240" w:beforeAutospacing="1" w:after="20"/>
        <w:ind w:left="735" w:hanging="0"/>
        <w:contextualSpacing/>
        <w:jc w:val="center"/>
        <w:rPr>
          <w:rFonts w:ascii="Times New Roman" w:hAnsi="Times New Roman" w:cs="Times New Roman"/>
          <w:i/>
          <w:i/>
          <w:sz w:val="28"/>
          <w:szCs w:val="28"/>
        </w:rPr>
      </w:pPr>
      <w:r>
        <w:rPr>
          <w:rFonts w:cs="Times New Roman" w:ascii="Times New Roman" w:hAnsi="Times New Roman"/>
          <w:i/>
          <w:sz w:val="28"/>
          <w:szCs w:val="28"/>
        </w:rPr>
        <w:t>Особо охраняемые природные территории</w:t>
      </w:r>
    </w:p>
    <w:p>
      <w:pPr>
        <w:pStyle w:val="ListParagraph"/>
        <w:numPr>
          <w:ilvl w:val="0"/>
          <w:numId w:val="23"/>
        </w:numPr>
        <w:spacing w:lineRule="auto" w:line="240" w:beforeAutospacing="1"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Государственный реестр особо охраняемых природных территорий в Республике Татарстан и внесении изменений в отдельные Постановления Кабинета Министров Республики Татарстан по вопросам особо охраняемых природных территорий, утв. Постановлением КМ РТ от 24.07.2009 № 520 (с изменениями и дополнениями)</w:t>
      </w:r>
    </w:p>
    <w:p>
      <w:pPr>
        <w:pStyle w:val="ListParagraph"/>
        <w:numPr>
          <w:ilvl w:val="0"/>
          <w:numId w:val="23"/>
        </w:numPr>
        <w:spacing w:lineRule="auto" w:line="240" w:before="0" w:afterAutospacing="1"/>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Постановление КМ РТ от 29.12.2005 № 644 "О внесении изменений в отдельные нормативные правовые акты Совета Министров Татарской АССР, Кабинета Министров Татарской ССР и Кабинета Министров Республики Татарстан по вопросам особо охраняемых природных территорий" (с изменениями и дополнениями)</w:t>
      </w:r>
    </w:p>
    <w:p>
      <w:pPr>
        <w:pStyle w:val="ListParagraph"/>
        <w:spacing w:lineRule="auto" w:line="240" w:beforeAutospacing="1" w:after="20"/>
        <w:ind w:left="735" w:hanging="0"/>
        <w:contextualSpacing/>
        <w:jc w:val="center"/>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w:r>
    </w:p>
    <w:p>
      <w:pPr>
        <w:pStyle w:val="ListParagraph"/>
        <w:spacing w:lineRule="auto" w:line="240" w:beforeAutospacing="1" w:after="20"/>
        <w:ind w:left="735" w:hanging="0"/>
        <w:contextualSpacing/>
        <w:jc w:val="center"/>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w:t>Санитарно-защитные зоны</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Правила установления санитарно-защитных зон и использования земельных участков, расположенных в границах санитарно-защитных зон, утв. Постановлением Правительства РФ от 03.03.2018 №222 (с изменениями и дополнениями)</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25.09.2007 № 74 (с изменениями и дополнениями)</w:t>
      </w:r>
    </w:p>
    <w:p>
      <w:pPr>
        <w:pStyle w:val="ListParagraph"/>
        <w:numPr>
          <w:ilvl w:val="0"/>
          <w:numId w:val="23"/>
        </w:numPr>
        <w:spacing w:lineRule="auto" w:line="240" w:before="0" w:afterAutospacing="1"/>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Территориальная схема в области обращения с отходами Республики Татарстан, утв. Постановлением КМ РТ от 13.03.2018 №149 (с изменениями и дополнениями)</w:t>
      </w:r>
    </w:p>
    <w:p>
      <w:pPr>
        <w:pStyle w:val="ListParagraph"/>
        <w:spacing w:lineRule="auto" w:line="240" w:beforeAutospacing="1" w:afterAutospacing="1"/>
        <w:ind w:left="709" w:hanging="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ListParagraph"/>
        <w:spacing w:lineRule="auto" w:line="240" w:beforeAutospacing="1" w:after="20"/>
        <w:ind w:left="735" w:hanging="0"/>
        <w:contextualSpacing/>
        <w:jc w:val="center"/>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w:t>Скотомогильники</w:t>
      </w:r>
    </w:p>
    <w:p>
      <w:pPr>
        <w:pStyle w:val="ListParagraph"/>
        <w:numPr>
          <w:ilvl w:val="0"/>
          <w:numId w:val="23"/>
        </w:numPr>
        <w:spacing w:lineRule="auto" w:line="240" w:beforeAutospacing="1"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Перечень сибиреязвенных скотомогильников и биотермических ям, в отношении которых органы местного самоуправления муниципальных районов и городского округа «город Набережные Челны» наделяются государственными полномочиями, утвержденный распоряжением Кабинета Министров РТ от 21.04.2012 №620-р (с изменениями и дополнениями)</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Ветеринарные правила перемещения, хранения, переработки и утилизации биологических отходов, утв. Приказом Минсельхоза России от 26.10.2020 № 626 (Зарегистрировано в Минюсте России 29.10.2020 № 60657) (с изменениями и дополнениями)</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РД-АПК 3.10.07.05-17. Ветеринарно-санитарные требования при проектировании, строительстве, реконструкции и эксплуатации животноводческих помещений, утв. и введены в действие Минсельхозом России 23.05.2017 (с изменениями и дополнениями)</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СанПиН 3.3686-21 «Санитарно-эпидемиологические требования по профилактике инфекционных болезней», утв. Постановлением Главного государственного санитарного врача РФ от 28.01.2021 № 4 (Зарегистрировано в Минюсте России 15.02.2021 № 62500) (с изменениями и дополнениями)</w:t>
      </w:r>
    </w:p>
    <w:p>
      <w:pPr>
        <w:pStyle w:val="ListParagraph"/>
        <w:numPr>
          <w:ilvl w:val="0"/>
          <w:numId w:val="23"/>
        </w:numPr>
        <w:spacing w:lineRule="auto" w:line="240" w:before="0" w:afterAutospacing="1"/>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СП 42.13330.2016 «СНиП 2.07.01-89*. Градостроительство. Планировка и застройка городских и сельских поселений», утвержденный приказом Министерства строительства и жилищно-коммунального хозяйства Российской Федерации от 30.12.2016 №1034 (с изменениями и дополнениями)</w:t>
      </w:r>
    </w:p>
    <w:p>
      <w:pPr>
        <w:pStyle w:val="ListParagraph"/>
        <w:spacing w:lineRule="auto" w:line="240" w:beforeAutospacing="1" w:afterAutospacing="1"/>
        <w:ind w:left="735" w:hanging="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ListParagraph"/>
        <w:spacing w:lineRule="auto" w:line="240" w:before="0" w:after="20"/>
        <w:ind w:left="735" w:hanging="0"/>
        <w:contextualSpacing/>
        <w:jc w:val="center"/>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w:t>Придорожные полосы</w:t>
      </w:r>
    </w:p>
    <w:p>
      <w:pPr>
        <w:pStyle w:val="ListParagraph"/>
        <w:numPr>
          <w:ilvl w:val="0"/>
          <w:numId w:val="23"/>
        </w:numPr>
        <w:tabs>
          <w:tab w:val="clear" w:pos="709"/>
          <w:tab w:val="left" w:pos="851" w:leader="none"/>
        </w:tabs>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Перечнь автомобильных дорог общего пользования регионального или межмуниципального значения Республики Татарстан, утв. Постановлением КМ РТ от 13.10.2022 № 1099 (с изменениями и дополнениями)</w:t>
      </w:r>
    </w:p>
    <w:p>
      <w:pPr>
        <w:pStyle w:val="ListParagraph"/>
        <w:numPr>
          <w:ilvl w:val="0"/>
          <w:numId w:val="23"/>
        </w:numPr>
        <w:tabs>
          <w:tab w:val="clear" w:pos="709"/>
          <w:tab w:val="left" w:pos="851" w:leader="none"/>
        </w:tabs>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Постановление КМ РТ от 01.12.2008 № 841 «О полосах отвода и придорожных полосах автомобильных дорог общего пользования» (с изменениями и дополнениями)</w:t>
      </w:r>
    </w:p>
    <w:p>
      <w:pPr>
        <w:pStyle w:val="ListParagraph"/>
        <w:numPr>
          <w:ilvl w:val="0"/>
          <w:numId w:val="23"/>
        </w:numPr>
        <w:tabs>
          <w:tab w:val="clear" w:pos="709"/>
          <w:tab w:val="left" w:pos="851" w:leader="none"/>
        </w:tabs>
        <w:spacing w:lineRule="auto" w:line="240" w:before="0" w:after="0"/>
        <w:contextualSpacing/>
        <w:jc w:val="both"/>
        <w:rPr>
          <w:rFonts w:ascii="Times New Roman" w:hAnsi="Times New Roman" w:eastAsia="Times New Roman" w:cs="Times New Roman"/>
          <w:sz w:val="28"/>
          <w:szCs w:val="28"/>
          <w:lang w:eastAsia="ru-RU"/>
        </w:rPr>
      </w:pPr>
      <w:r>
        <w:rPr>
          <w:rFonts w:eastAsia="" w:ascii="Times New Roman" w:hAnsi="Times New Roman" w:eastAsiaTheme="minorEastAsia"/>
          <w:sz w:val="28"/>
          <w:szCs w:val="28"/>
        </w:rPr>
        <w:t xml:space="preserve">Постановление Правительства РФ от 02.09.2009 №717 «О нормах отвода земель для размещения автомобильных дорог и (или) объектов дорожного сервиса» </w:t>
      </w:r>
      <w:r>
        <w:rPr>
          <w:rFonts w:eastAsia="Times New Roman" w:cs="Times New Roman" w:ascii="Times New Roman" w:hAnsi="Times New Roman"/>
          <w:sz w:val="28"/>
          <w:szCs w:val="28"/>
          <w:lang w:eastAsia="ru-RU"/>
        </w:rPr>
        <w:t>(с изменениями и дополнениями)</w:t>
      </w:r>
    </w:p>
    <w:p>
      <w:pPr>
        <w:pStyle w:val="ListParagraph"/>
        <w:numPr>
          <w:ilvl w:val="0"/>
          <w:numId w:val="23"/>
        </w:numPr>
        <w:tabs>
          <w:tab w:val="clear" w:pos="709"/>
          <w:tab w:val="left" w:pos="851" w:leader="none"/>
        </w:tabs>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СП 34.13330.2021. Свод правил. Автомобильные дороги. СНиП 2.05.02-85*, утв. и введен в действие Приказом Минстроя России от 09.02.2021 № 53/пр (с изменениями и дополнениями)</w:t>
      </w:r>
    </w:p>
    <w:p>
      <w:pPr>
        <w:pStyle w:val="ListParagraph"/>
        <w:numPr>
          <w:ilvl w:val="0"/>
          <w:numId w:val="23"/>
        </w:numPr>
        <w:tabs>
          <w:tab w:val="clear" w:pos="709"/>
          <w:tab w:val="left" w:pos="851" w:leader="none"/>
        </w:tabs>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Свод правил «Станции автомобильные заправочные. Требования пожарной безопасности», утв. приказом МЧС России от 05.05.2014 № 221 (с изменениями и дополнениями)</w:t>
      </w:r>
    </w:p>
    <w:p>
      <w:pPr>
        <w:pStyle w:val="ListParagraph"/>
        <w:numPr>
          <w:ilvl w:val="0"/>
          <w:numId w:val="23"/>
        </w:numPr>
        <w:tabs>
          <w:tab w:val="clear" w:pos="709"/>
          <w:tab w:val="left" w:pos="851" w:leader="none"/>
        </w:tabs>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Федеральные авиационные правила «Требования к посадочным площадкам, расположенным на участке земли или акватории» (Зарегистрировано в Минюсте РФ 05.04.2011 № 20420), утв. приказом Минтранса РФ от 04.03.2011 № 69 (с изменениями и дополнениями)</w:t>
      </w:r>
    </w:p>
    <w:p>
      <w:pPr>
        <w:pStyle w:val="ListParagraph"/>
        <w:numPr>
          <w:ilvl w:val="0"/>
          <w:numId w:val="23"/>
        </w:numPr>
        <w:tabs>
          <w:tab w:val="clear" w:pos="709"/>
          <w:tab w:val="left" w:pos="851" w:leader="none"/>
        </w:tabs>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ОСН 3.02.01-97. Отраслевые строительные нормы. Нормы и правила проектирования отвода земель для железных дорог», утв. Указанием МПС России от 24.11.1997 № С-1360у (с изменениями и дополнениями)</w:t>
      </w:r>
    </w:p>
    <w:p>
      <w:pPr>
        <w:pStyle w:val="ListParagraph"/>
        <w:numPr>
          <w:ilvl w:val="0"/>
          <w:numId w:val="23"/>
        </w:numPr>
        <w:tabs>
          <w:tab w:val="clear" w:pos="709"/>
          <w:tab w:val="left" w:pos="851" w:leader="none"/>
        </w:tabs>
        <w:spacing w:lineRule="auto" w:line="240" w:before="0" w:afterAutospacing="1"/>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Федеральные правила использования воздушного пространства Российской Федерации», утв. постановлением Правительства Российской Федерации от 11 марта 2010 г. № 138 (с изменениями и дополнениями)</w:t>
      </w:r>
    </w:p>
    <w:p>
      <w:pPr>
        <w:pStyle w:val="ListParagraph"/>
        <w:tabs>
          <w:tab w:val="clear" w:pos="709"/>
          <w:tab w:val="left" w:pos="851" w:leader="none"/>
        </w:tabs>
        <w:spacing w:lineRule="auto" w:line="240" w:before="0" w:after="20"/>
        <w:ind w:left="735" w:hanging="0"/>
        <w:contextualSpacing/>
        <w:jc w:val="center"/>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w:r>
    </w:p>
    <w:p>
      <w:pPr>
        <w:pStyle w:val="ListParagraph"/>
        <w:tabs>
          <w:tab w:val="clear" w:pos="709"/>
          <w:tab w:val="left" w:pos="851" w:leader="none"/>
        </w:tabs>
        <w:spacing w:lineRule="auto" w:line="240" w:before="0" w:after="20"/>
        <w:ind w:left="735" w:hanging="0"/>
        <w:contextualSpacing/>
        <w:jc w:val="center"/>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w:t>Охранная зона и санитарный разрыв железных дорог</w:t>
      </w:r>
    </w:p>
    <w:p>
      <w:pPr>
        <w:pStyle w:val="ListParagraph"/>
        <w:numPr>
          <w:ilvl w:val="0"/>
          <w:numId w:val="23"/>
        </w:numPr>
        <w:tabs>
          <w:tab w:val="clear" w:pos="709"/>
          <w:tab w:val="left" w:pos="851" w:leader="none"/>
        </w:tabs>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Постановление Правительства РФ от 12.10.2006 № 611 «О порядке установления и использования полос отвода и охранных зон железных дорог» (с изменениями и дополнениями)</w:t>
      </w:r>
    </w:p>
    <w:p>
      <w:pPr>
        <w:pStyle w:val="ListParagraph"/>
        <w:numPr>
          <w:ilvl w:val="0"/>
          <w:numId w:val="23"/>
        </w:numPr>
        <w:tabs>
          <w:tab w:val="clear" w:pos="709"/>
          <w:tab w:val="left" w:pos="851" w:leader="none"/>
        </w:tabs>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ОСН 3.02.01-97 Отраслевые строительные нормы. Нормы и правила проектирования отвода земель для железных дорог, утв. Указанием МПС России от 24.11.1997 № С-1360у (с изменениями и дополнениями)</w:t>
      </w:r>
    </w:p>
    <w:p>
      <w:pPr>
        <w:pStyle w:val="ListParagraph"/>
        <w:numPr>
          <w:ilvl w:val="0"/>
          <w:numId w:val="23"/>
        </w:numPr>
        <w:tabs>
          <w:tab w:val="clear" w:pos="709"/>
          <w:tab w:val="left" w:pos="851" w:leader="none"/>
        </w:tabs>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СП 119.13330.2017. Свод правил. Железные дороги колеи 1520 мм. Актуализированная редакция СНиП 32-01-95, утв. и введен в действие Приказом Минстроя России от 12.12.2017 №1648/пр (с изменениями и дополнениями)</w:t>
      </w:r>
    </w:p>
    <w:p>
      <w:pPr>
        <w:pStyle w:val="ListParagraph"/>
        <w:numPr>
          <w:ilvl w:val="0"/>
          <w:numId w:val="23"/>
        </w:numPr>
        <w:tabs>
          <w:tab w:val="clear" w:pos="709"/>
          <w:tab w:val="left" w:pos="851" w:leader="none"/>
        </w:tabs>
        <w:spacing w:lineRule="auto" w:line="240" w:before="0" w:afterAutospacing="1"/>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Правила и нормы технической эксплуатации жилищного фонда, утв. Постановлением Госстроя РФ от 27.09.2003 №170 (Зарегистрировано в Минюсте РФ 15.10.2003 №5176) (с изменениями и дополнениями)</w:t>
      </w:r>
    </w:p>
    <w:p>
      <w:pPr>
        <w:pStyle w:val="ListParagraph"/>
        <w:tabs>
          <w:tab w:val="clear" w:pos="709"/>
          <w:tab w:val="left" w:pos="851" w:leader="none"/>
        </w:tabs>
        <w:spacing w:lineRule="auto" w:line="240" w:before="0" w:afterAutospacing="1"/>
        <w:ind w:left="735" w:hanging="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ListParagraph"/>
        <w:spacing w:lineRule="auto" w:line="240" w:before="0" w:after="20"/>
        <w:ind w:left="735" w:hanging="0"/>
        <w:contextualSpacing/>
        <w:jc w:val="center"/>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w:t>Приаэродромная территория</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cs="Times New Roman" w:ascii="Times New Roman" w:hAnsi="Times New Roman"/>
          <w:sz w:val="28"/>
          <w:szCs w:val="28"/>
          <w:shd w:fill="FFFFFF" w:val="clear"/>
        </w:rPr>
        <w:t>Положение о приаэродромной территории и правила разрешения разногласий, возникающих между высшими исполнительными органами государственной власти субъетов РФ, уполномоченными Правительством Российской Федерации федеральными органами исполнительной власти и Федеральной службой по надзору в сфере защиты прав потребителей и благополучия человека при согласовании проекта акта об установлении приаэродромной территории и при определении границ седьмой подзоны приаэродромной территории», утв.</w:t>
      </w:r>
      <w:r>
        <w:rPr>
          <w:rFonts w:eastAsia="Times New Roman" w:cs="Times New Roman" w:ascii="Times New Roman" w:hAnsi="Times New Roman"/>
          <w:sz w:val="28"/>
          <w:szCs w:val="28"/>
          <w:lang w:eastAsia="ru-RU"/>
        </w:rPr>
        <w:t xml:space="preserve"> </w:t>
      </w:r>
      <w:r>
        <w:rPr>
          <w:rFonts w:cs="Times New Roman" w:ascii="Times New Roman" w:hAnsi="Times New Roman"/>
          <w:sz w:val="28"/>
          <w:szCs w:val="28"/>
          <w:shd w:fill="FFFFFF" w:val="clear"/>
        </w:rPr>
        <w:t xml:space="preserve">Постановлением Правительства РФ от 02.12.2017 № 1460 </w:t>
      </w:r>
      <w:r>
        <w:rPr>
          <w:rFonts w:eastAsia="Times New Roman" w:cs="Times New Roman" w:ascii="Times New Roman" w:hAnsi="Times New Roman"/>
          <w:sz w:val="28"/>
          <w:szCs w:val="28"/>
          <w:lang w:eastAsia="ru-RU"/>
        </w:rPr>
        <w:t>(с изменениями и дополнениями)</w:t>
      </w:r>
    </w:p>
    <w:p>
      <w:pPr>
        <w:pStyle w:val="ListParagraph"/>
        <w:numPr>
          <w:ilvl w:val="0"/>
          <w:numId w:val="23"/>
        </w:numPr>
        <w:spacing w:lineRule="auto" w:line="240" w:before="0" w:afterAutospacing="1"/>
        <w:contextualSpacing/>
        <w:jc w:val="both"/>
        <w:rPr>
          <w:rFonts w:ascii="Times New Roman" w:hAnsi="Times New Roman" w:eastAsia="Times New Roman" w:cs="Times New Roman"/>
          <w:sz w:val="28"/>
          <w:szCs w:val="28"/>
          <w:lang w:eastAsia="ru-RU"/>
        </w:rPr>
      </w:pPr>
      <w:r>
        <w:rPr>
          <w:rFonts w:cs="Times New Roman" w:ascii="Times New Roman" w:hAnsi="Times New Roman"/>
          <w:sz w:val="28"/>
          <w:szCs w:val="28"/>
          <w:shd w:fill="FFFFFF" w:val="clear"/>
        </w:rPr>
        <w:t>Методика установления седьмой подзоны приаэродромной территории, расчета и оценки рисков для здоровья человека, утв. Приказом Роспотребнадзора от 07.12.2022 № 664 (с изменениями и дополнениями).</w:t>
      </w:r>
    </w:p>
    <w:p>
      <w:pPr>
        <w:pStyle w:val="ListParagraph"/>
        <w:spacing w:lineRule="auto" w:line="240" w:before="0" w:after="20"/>
        <w:ind w:left="735" w:hanging="0"/>
        <w:contextualSpacing/>
        <w:jc w:val="center"/>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w:r>
    </w:p>
    <w:p>
      <w:pPr>
        <w:pStyle w:val="ListParagraph"/>
        <w:spacing w:lineRule="auto" w:line="240" w:before="0" w:after="20"/>
        <w:ind w:left="735" w:hanging="0"/>
        <w:contextualSpacing/>
        <w:jc w:val="center"/>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w:t>Зоны минимальных расстояний</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Правила безопасности в нефтяной и газовой промышленности, утв. приказом Ростехнадзора от 15.12.2020 № 534 (Зарегистрировано в Минюсте России 29.12.2020 № 61888) (с изменениями и дополнениями)</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СП 36.13330.2012. Свод правил. Магистральные трубопроводы. Актуализированная редакция СНиП 2.05.06-85*, утв. Приказом Госстроя от 25.12.2012 № 108/ГС (с изменениями и дополнениями)</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СП 284.1325800.2016. Свод правил. Трубопроводы промысловые для нефти и газа. Правила проектирования и производства работ, утв. и введен в действие Приказом Минстроя России от 16.12.2016 № 978/пр (с изменениями и дополнениями)</w:t>
      </w:r>
    </w:p>
    <w:p>
      <w:pPr>
        <w:pStyle w:val="ListParagraph"/>
        <w:numPr>
          <w:ilvl w:val="0"/>
          <w:numId w:val="23"/>
        </w:numPr>
        <w:spacing w:lineRule="auto" w:line="240" w:before="0" w:afterAutospacing="1"/>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СП 62.13330.2011*. Свод правил. Газораспределительные системы. Актуализированная редакция СНиП 42-01-2002, утв. Приказом Минрегиона России от 27.12.2010 № 780 (с изменениями и дополнениями)</w:t>
      </w:r>
    </w:p>
    <w:p>
      <w:pPr>
        <w:pStyle w:val="ListParagraph"/>
        <w:spacing w:lineRule="auto" w:line="240" w:before="0" w:afterAutospacing="1"/>
        <w:ind w:left="1211" w:hanging="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ListParagraph"/>
        <w:spacing w:lineRule="auto" w:line="240" w:before="0" w:after="20"/>
        <w:ind w:left="735" w:hanging="0"/>
        <w:contextualSpacing/>
        <w:jc w:val="center"/>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w:t>Охранные зоны трубопроводов</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Приказ Ростехнадзора № 352, Минэнерго России № 785 от 15.09.2020 «О признании не подлежащими применению Правил охраны магистральных трубопроводов, утвержденных Минтопэнерго России 29 апреля 1992 г. и постановлением Госгортехнадзора России от 22 апреля 1992 г. № 9» (с изменениями и дополнениями)</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cs="Times New Roman" w:ascii="Times New Roman" w:hAnsi="Times New Roman"/>
          <w:sz w:val="28"/>
          <w:szCs w:val="28"/>
          <w:lang w:eastAsia="ru-RU"/>
        </w:rPr>
        <w:t>Правила охраны магистральных трубопроводов, утв. постановлением Госгортехнадзора Россииот 24.04.1992 №9</w:t>
      </w:r>
      <w:r>
        <w:rPr>
          <w:rFonts w:eastAsia="Times New Roman" w:cs="Times New Roman" w:ascii="Times New Roman" w:hAnsi="Times New Roman"/>
          <w:sz w:val="28"/>
          <w:szCs w:val="28"/>
          <w:lang w:eastAsia="ru-RU"/>
        </w:rPr>
        <w:t xml:space="preserve"> (с изменениями и дополнениями)</w:t>
      </w:r>
    </w:p>
    <w:p>
      <w:pPr>
        <w:pStyle w:val="ListParagraph"/>
        <w:numPr>
          <w:ilvl w:val="0"/>
          <w:numId w:val="23"/>
        </w:numPr>
        <w:spacing w:lineRule="auto" w:line="240" w:before="0" w:after="0"/>
        <w:contextualSpacing/>
        <w:jc w:val="both"/>
        <w:rPr>
          <w:rFonts w:ascii="Times New Roman" w:hAnsi="Times New Roman" w:cs="Times New Roman"/>
          <w:sz w:val="28"/>
          <w:szCs w:val="28"/>
        </w:rPr>
      </w:pPr>
      <w:r>
        <w:rPr>
          <w:rFonts w:cs="Times New Roman" w:ascii="Times New Roman" w:hAnsi="Times New Roman"/>
          <w:sz w:val="28"/>
          <w:szCs w:val="28"/>
        </w:rPr>
        <w:t xml:space="preserve">Правила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 утв. постановлением Правительства РФ от 08.09.2017 № 1083 </w:t>
      </w:r>
      <w:r>
        <w:rPr>
          <w:rFonts w:eastAsia="Times New Roman" w:cs="Times New Roman" w:ascii="Times New Roman" w:hAnsi="Times New Roman"/>
          <w:sz w:val="28"/>
          <w:szCs w:val="28"/>
          <w:lang w:eastAsia="ru-RU"/>
        </w:rPr>
        <w:t>(с изменениями и дополнениями)</w:t>
      </w:r>
    </w:p>
    <w:p>
      <w:pPr>
        <w:pStyle w:val="ListParagraph"/>
        <w:numPr>
          <w:ilvl w:val="0"/>
          <w:numId w:val="23"/>
        </w:numPr>
        <w:spacing w:lineRule="auto" w:line="240" w:before="0" w:afterAutospacing="1"/>
        <w:contextualSpacing/>
        <w:jc w:val="both"/>
        <w:rPr>
          <w:rFonts w:ascii="Times New Roman" w:hAnsi="Times New Roman" w:eastAsia="Times New Roman" w:cs="Times New Roman"/>
          <w:sz w:val="28"/>
          <w:szCs w:val="28"/>
          <w:lang w:eastAsia="ru-RU"/>
        </w:rPr>
      </w:pPr>
      <w:r>
        <w:rPr>
          <w:rFonts w:cs="Times New Roman" w:ascii="Times New Roman" w:hAnsi="Times New Roman"/>
          <w:sz w:val="28"/>
          <w:szCs w:val="28"/>
        </w:rPr>
        <w:t>Правила охраны газораспределительных сетей, утв. постановлением Правительства Российской Федерации от 20.11.2000 №878</w:t>
      </w:r>
      <w:r>
        <w:rPr>
          <w:rFonts w:eastAsia="Times New Roman" w:cs="Times New Roman" w:ascii="Times New Roman" w:hAnsi="Times New Roman"/>
          <w:sz w:val="28"/>
          <w:szCs w:val="28"/>
          <w:lang w:eastAsia="ru-RU"/>
        </w:rPr>
        <w:t xml:space="preserve"> (с изменениями и дополнениями)</w:t>
      </w:r>
    </w:p>
    <w:p>
      <w:pPr>
        <w:pStyle w:val="ListParagraph"/>
        <w:spacing w:lineRule="auto" w:line="240" w:before="0" w:afterAutospacing="1"/>
        <w:ind w:left="1211" w:hanging="0"/>
        <w:contextualSpacing/>
        <w:jc w:val="both"/>
        <w:rPr>
          <w:rFonts w:ascii="Times New Roman" w:hAnsi="Times New Roman" w:cs="Times New Roman"/>
          <w:sz w:val="28"/>
          <w:szCs w:val="28"/>
        </w:rPr>
      </w:pPr>
      <w:r>
        <w:rPr>
          <w:rFonts w:cs="Times New Roman" w:ascii="Times New Roman" w:hAnsi="Times New Roman"/>
          <w:sz w:val="28"/>
          <w:szCs w:val="28"/>
        </w:rPr>
      </w:r>
    </w:p>
    <w:p>
      <w:pPr>
        <w:pStyle w:val="ListParagraph"/>
        <w:spacing w:lineRule="auto" w:line="240" w:before="0" w:after="20"/>
        <w:ind w:left="735" w:hanging="0"/>
        <w:contextualSpacing/>
        <w:jc w:val="center"/>
        <w:rPr>
          <w:rFonts w:ascii="Times New Roman" w:hAnsi="Times New Roman" w:cs="Times New Roman"/>
          <w:i/>
          <w:i/>
          <w:sz w:val="28"/>
          <w:szCs w:val="28"/>
        </w:rPr>
      </w:pPr>
      <w:r>
        <w:rPr>
          <w:rFonts w:cs="Times New Roman" w:ascii="Times New Roman" w:hAnsi="Times New Roman"/>
          <w:i/>
          <w:sz w:val="28"/>
          <w:szCs w:val="28"/>
        </w:rPr>
        <w:t>Охранные зоны воздушных линий электропередач</w:t>
      </w:r>
    </w:p>
    <w:p>
      <w:pPr>
        <w:pStyle w:val="ListParagraph"/>
        <w:numPr>
          <w:ilvl w:val="0"/>
          <w:numId w:val="23"/>
        </w:numPr>
        <w:spacing w:before="0" w:after="2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Порядок установления охранных зон объектов электросетевого хозяйства и особых условий использования участков, расположенных в границах таких зон, утв. Постановлением Правительства РФ от 24.02.2009 №160 (с изменениями и дополнениями утверждеными постановлением Правительства Российской Федерации от 18 февраля 2023 г. № 270 «О некоторых вопросах использования земельных участков, расположенных в границах охранных зон объектов электросетевого хозяйства»)</w:t>
      </w:r>
    </w:p>
    <w:p>
      <w:pPr>
        <w:pStyle w:val="ListParagraph"/>
        <w:spacing w:before="0" w:after="20"/>
        <w:ind w:left="735" w:hanging="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ListParagraph"/>
        <w:spacing w:lineRule="auto" w:line="240" w:before="0" w:after="20"/>
        <w:ind w:left="735" w:hanging="0"/>
        <w:contextualSpacing/>
        <w:jc w:val="center"/>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w:t>Охранные зоны линий и сооружений связи</w:t>
      </w:r>
    </w:p>
    <w:p>
      <w:pPr>
        <w:pStyle w:val="ListParagraph"/>
        <w:numPr>
          <w:ilvl w:val="0"/>
          <w:numId w:val="23"/>
        </w:numPr>
        <w:spacing w:lineRule="auto" w:line="240" w:before="0" w:afterAutospacing="1"/>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Правила охраны линий и сооружений связи в Российской Федерации, утв. Постановлением Правительства Российской Федерации от 09.06.1995 №578 (с изменениями и дополнениями)</w:t>
      </w:r>
    </w:p>
    <w:p>
      <w:pPr>
        <w:pStyle w:val="ListParagraph"/>
        <w:spacing w:lineRule="auto" w:line="240" w:before="0" w:afterAutospacing="1"/>
        <w:ind w:left="1211" w:hanging="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ListParagraph"/>
        <w:spacing w:lineRule="auto" w:line="240" w:before="0" w:after="20"/>
        <w:ind w:left="735" w:hanging="0"/>
        <w:contextualSpacing/>
        <w:jc w:val="center"/>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w:t>Зоны ограничений передающего радиотехнического объекта</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СанПиН 2.1.8/2.2.4.1383-03 «Гигиенические требования к размещению и эксплуатации передающих радиотехнических объектов», утв. Главным государственным санитарным врачом РФ 09.06.2003 (Зарегистрировано в Минюсте РФ 18.06.2003 № 4710) (с изменениями и дополнениями)</w:t>
      </w:r>
    </w:p>
    <w:p>
      <w:pPr>
        <w:pStyle w:val="ListParagraph"/>
        <w:numPr>
          <w:ilvl w:val="0"/>
          <w:numId w:val="23"/>
        </w:numPr>
        <w:spacing w:lineRule="auto" w:line="240" w:before="0" w:afterAutospacing="1"/>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СанПиН 2.1.8/2.2.1190-03 «Гигиенические требования к размещению и эксплуатации средств сухопутной подвижной радиосвязи», утв. Главным государственным санитарным врачом РФ 30.01.2003 (Зарегистрировано в Минюсте РФ 26.03.2003 №4329) (с изменениями и дополнениями)</w:t>
      </w:r>
    </w:p>
    <w:p>
      <w:pPr>
        <w:pStyle w:val="ListParagraph"/>
        <w:spacing w:lineRule="auto" w:line="240" w:before="0" w:afterAutospacing="1"/>
        <w:ind w:left="1211" w:hanging="0"/>
        <w:contextualSpacing/>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ListParagraph"/>
        <w:spacing w:lineRule="auto" w:line="240" w:before="0" w:after="20"/>
        <w:ind w:left="735" w:hanging="0"/>
        <w:contextualSpacing/>
        <w:jc w:val="center"/>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w:t>Охранные зоны тепловых сетей</w:t>
      </w:r>
    </w:p>
    <w:p>
      <w:pPr>
        <w:pStyle w:val="ListParagraph"/>
        <w:numPr>
          <w:ilvl w:val="0"/>
          <w:numId w:val="23"/>
        </w:numPr>
        <w:spacing w:lineRule="auto" w:line="240" w:before="0" w:afterAutospacing="1"/>
        <w:contextualSpacing/>
        <w:jc w:val="both"/>
        <w:rPr>
          <w:rFonts w:ascii="Times New Roman" w:hAnsi="Times New Roman" w:cs="Times New Roman"/>
          <w:sz w:val="28"/>
          <w:szCs w:val="28"/>
        </w:rPr>
      </w:pPr>
      <w:r>
        <w:rPr>
          <w:rFonts w:cs="Times New Roman" w:ascii="Times New Roman" w:hAnsi="Times New Roman"/>
          <w:sz w:val="28"/>
          <w:szCs w:val="28"/>
        </w:rPr>
        <w:t>СП 124.13330.2012. Свод правил. Тепловые сети. Актуализированная редакция СНиП 41-02-2003, утв. Приказом Минрегиона России от 30.06.2012 № 280</w:t>
      </w:r>
      <w:r>
        <w:rPr>
          <w:rFonts w:eastAsia="Times New Roman" w:cs="Times New Roman" w:ascii="Times New Roman" w:hAnsi="Times New Roman"/>
          <w:sz w:val="28"/>
          <w:szCs w:val="28"/>
          <w:lang w:eastAsia="ru-RU"/>
        </w:rPr>
        <w:t xml:space="preserve"> (с изменениями и дополнениями)</w:t>
      </w:r>
    </w:p>
    <w:p>
      <w:pPr>
        <w:pStyle w:val="ListParagraph"/>
        <w:spacing w:lineRule="auto" w:line="240" w:before="0" w:afterAutospacing="1"/>
        <w:ind w:left="735" w:hanging="0"/>
        <w:contextualSpacing/>
        <w:jc w:val="both"/>
        <w:rPr>
          <w:rFonts w:ascii="Times New Roman" w:hAnsi="Times New Roman" w:cs="Times New Roman"/>
          <w:sz w:val="28"/>
          <w:szCs w:val="28"/>
        </w:rPr>
      </w:pPr>
      <w:r>
        <w:rPr>
          <w:rFonts w:cs="Times New Roman" w:ascii="Times New Roman" w:hAnsi="Times New Roman"/>
          <w:sz w:val="28"/>
          <w:szCs w:val="28"/>
        </w:rPr>
      </w:r>
    </w:p>
    <w:p>
      <w:pPr>
        <w:pStyle w:val="ListParagraph"/>
        <w:jc w:val="center"/>
        <w:rPr>
          <w:rFonts w:ascii="Times New Roman" w:hAnsi="Times New Roman" w:cs="Times New Roman"/>
          <w:i/>
          <w:i/>
          <w:sz w:val="28"/>
          <w:szCs w:val="28"/>
        </w:rPr>
      </w:pPr>
      <w:bookmarkStart w:id="245" w:name="_Toc128940860"/>
      <w:r>
        <w:rPr>
          <w:rFonts w:cs="Times New Roman" w:ascii="Times New Roman" w:hAnsi="Times New Roman"/>
          <w:i/>
          <w:sz w:val="28"/>
          <w:szCs w:val="28"/>
        </w:rPr>
        <w:t>Охранные зоны стационарных пунктов наблюдений за состоянием окружающей среды, охранные зоны пунктов государственной геодезической сети</w:t>
      </w:r>
      <w:bookmarkEnd w:id="245"/>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Положение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 972 и признании не действующим на территории Российской Федерации постановления Совета Министров СССР от 6 января 1983 г. № 19, утв. Постановлением Правительства РФ от 17.03.2021 №392 (с изменениями и дополнениями)</w:t>
      </w:r>
    </w:p>
    <w:p>
      <w:pPr>
        <w:pStyle w:val="ListParagraph"/>
        <w:numPr>
          <w:ilvl w:val="0"/>
          <w:numId w:val="23"/>
        </w:numPr>
        <w:spacing w:lineRule="auto" w:line="240" w:before="0" w:afterAutospacing="1"/>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Положение об охранных зонах пунктов государственной геодезической сети, государственной нивелирной сети и государственной гравиметрической сети, утв. Постановлением Правительства РФ от 21.08.2019 №1080 (с изменениями и дополнениями)</w:t>
      </w:r>
    </w:p>
    <w:p>
      <w:pPr>
        <w:pStyle w:val="ListParagraph"/>
        <w:spacing w:lineRule="auto" w:line="240" w:before="0" w:afterAutospacing="1"/>
        <w:ind w:left="1211" w:hanging="0"/>
        <w:contextualSpacing/>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ListParagraph"/>
        <w:spacing w:lineRule="auto" w:line="240" w:before="0" w:after="20"/>
        <w:ind w:left="735" w:hanging="0"/>
        <w:contextualSpacing/>
        <w:jc w:val="center"/>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w:t>Зоны охраны водных объектов</w:t>
      </w:r>
    </w:p>
    <w:p>
      <w:pPr>
        <w:pStyle w:val="ListParagraph"/>
        <w:numPr>
          <w:ilvl w:val="0"/>
          <w:numId w:val="23"/>
        </w:numPr>
        <w:spacing w:lineRule="auto" w:line="240" w:before="0" w:afterAutospacing="1"/>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Распоряжение Кабинета Министров Республики Татарстан от 18 июля 2018 г. № 1772-р «О принятии во внимание информации, содержащейся в Едином государственном реестре недвижимости, относительно земельных участков, расположенных в границах 50-метровой береговой полосы Куйбышевского и Нижнекамского водохранилищ» (с изменениями и дополнениями)</w:t>
      </w:r>
    </w:p>
    <w:p>
      <w:pPr>
        <w:pStyle w:val="ListParagraph"/>
        <w:spacing w:lineRule="auto" w:line="240" w:before="0" w:afterAutospacing="1"/>
        <w:ind w:left="1211" w:hanging="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ListParagraph"/>
        <w:spacing w:lineRule="auto" w:line="240" w:before="0" w:after="20"/>
        <w:ind w:left="735" w:hanging="0"/>
        <w:contextualSpacing/>
        <w:jc w:val="center"/>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w:t>Зоны затопления</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cs="Times New Roman" w:ascii="Times New Roman" w:hAnsi="Times New Roman"/>
          <w:sz w:val="28"/>
          <w:szCs w:val="28"/>
          <w:lang w:eastAsia="ru-RU"/>
        </w:rPr>
        <w:t>Перечень населенных пунктов Республики Татарстан, попадающих в зоны возможного затопления (подтопления) в паводковый период, утвержденный распоряжением Кабинета Министров Республики Татарстан от 29.08.2013 №1625-р</w:t>
      </w:r>
      <w:r>
        <w:rPr>
          <w:rFonts w:eastAsia="Times New Roman" w:cs="Times New Roman" w:ascii="Times New Roman" w:hAnsi="Times New Roman"/>
          <w:sz w:val="28"/>
          <w:szCs w:val="28"/>
          <w:lang w:eastAsia="ru-RU"/>
        </w:rPr>
        <w:t xml:space="preserve"> (с изменениями и дополнениями)</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cs="Times New Roman" w:ascii="Times New Roman" w:hAnsi="Times New Roman"/>
          <w:sz w:val="28"/>
          <w:szCs w:val="28"/>
          <w:lang w:eastAsia="ru-RU"/>
        </w:rPr>
        <w:t xml:space="preserve">Постановление Правительства РФ от 18.04.2014 № 360 «О зонах затопления, подтопления» </w:t>
      </w:r>
      <w:r>
        <w:rPr>
          <w:rFonts w:eastAsia="Times New Roman" w:cs="Times New Roman" w:ascii="Times New Roman" w:hAnsi="Times New Roman"/>
          <w:sz w:val="28"/>
          <w:szCs w:val="28"/>
          <w:lang w:eastAsia="ru-RU"/>
        </w:rPr>
        <w:t>(с изменениями и дополнениями)</w:t>
      </w:r>
      <w:r>
        <w:rPr>
          <w:rFonts w:cs="Times New Roman" w:ascii="Times New Roman" w:hAnsi="Times New Roman"/>
          <w:sz w:val="28"/>
          <w:szCs w:val="28"/>
          <w:lang w:eastAsia="ru-RU"/>
        </w:rPr>
        <w:t xml:space="preserve"> </w:t>
      </w:r>
    </w:p>
    <w:p>
      <w:pPr>
        <w:pStyle w:val="ListParagraph"/>
        <w:numPr>
          <w:ilvl w:val="0"/>
          <w:numId w:val="23"/>
        </w:numPr>
        <w:spacing w:lineRule="auto" w:line="240" w:before="0" w:afterAutospacing="1"/>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Правила установления границ водоохранных зон и границ прибрежных защитных полос водных объектов, утв. постановлением Правительства РФ от 10.01.2009 № 17 (с изменениями и дополнениями)</w:t>
      </w:r>
    </w:p>
    <w:p>
      <w:pPr>
        <w:pStyle w:val="ListParagraph"/>
        <w:spacing w:lineRule="auto" w:line="240" w:before="0" w:after="20"/>
        <w:ind w:left="735" w:hanging="0"/>
        <w:contextualSpacing/>
        <w:jc w:val="center"/>
        <w:rPr>
          <w:rFonts w:ascii="Times New Roman" w:hAnsi="Times New Roman" w:cs="Times New Roman"/>
          <w:i/>
          <w:i/>
          <w:sz w:val="28"/>
          <w:szCs w:val="28"/>
          <w:lang w:eastAsia="ru-RU"/>
        </w:rPr>
      </w:pPr>
      <w:r>
        <w:rPr>
          <w:rFonts w:cs="Times New Roman" w:ascii="Times New Roman" w:hAnsi="Times New Roman"/>
          <w:i/>
          <w:sz w:val="28"/>
          <w:szCs w:val="28"/>
          <w:lang w:eastAsia="ru-RU"/>
        </w:rPr>
      </w:r>
    </w:p>
    <w:p>
      <w:pPr>
        <w:pStyle w:val="ListParagraph"/>
        <w:spacing w:lineRule="auto" w:line="240" w:before="0" w:after="20"/>
        <w:ind w:left="735" w:hanging="0"/>
        <w:contextualSpacing/>
        <w:jc w:val="center"/>
        <w:rPr>
          <w:rFonts w:ascii="Times New Roman" w:hAnsi="Times New Roman" w:cs="Times New Roman"/>
          <w:i/>
          <w:i/>
          <w:sz w:val="28"/>
          <w:szCs w:val="28"/>
          <w:lang w:eastAsia="ru-RU"/>
        </w:rPr>
      </w:pPr>
      <w:r>
        <w:rPr>
          <w:rFonts w:cs="Times New Roman" w:ascii="Times New Roman" w:hAnsi="Times New Roman"/>
          <w:i/>
          <w:sz w:val="28"/>
          <w:szCs w:val="28"/>
          <w:lang w:eastAsia="ru-RU"/>
        </w:rPr>
        <w:t>Зоны санитарной охраны источников питьевого и хозяйственно-бытового водоснабжения</w:t>
      </w:r>
    </w:p>
    <w:p>
      <w:pPr>
        <w:pStyle w:val="ListParagraph"/>
        <w:numPr>
          <w:ilvl w:val="0"/>
          <w:numId w:val="23"/>
        </w:numPr>
        <w:spacing w:lineRule="auto" w:line="240" w:before="0" w:afterAutospacing="1"/>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 (с изменениями и дополнениями)</w:t>
      </w:r>
    </w:p>
    <w:p>
      <w:pPr>
        <w:pStyle w:val="Normal"/>
        <w:spacing w:lineRule="auto" w:line="240" w:before="0" w:afterAutospacing="1"/>
        <w:ind w:left="360" w:hanging="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20"/>
        <w:ind w:left="360" w:hanging="0"/>
        <w:jc w:val="center"/>
        <w:rPr>
          <w:rFonts w:ascii="Times New Roman" w:hAnsi="Times New Roman" w:cs="Times New Roman"/>
          <w:i/>
          <w:i/>
          <w:sz w:val="28"/>
          <w:szCs w:val="28"/>
          <w:lang w:eastAsia="ru-RU"/>
        </w:rPr>
      </w:pPr>
      <w:r>
        <w:rPr>
          <w:rFonts w:cs="Times New Roman" w:ascii="Times New Roman" w:hAnsi="Times New Roman"/>
          <w:i/>
          <w:sz w:val="28"/>
          <w:szCs w:val="28"/>
          <w:lang w:eastAsia="ru-RU"/>
        </w:rPr>
        <w:t>Мероприятия по гражданской обороне, мероприятия по предупреждению чрезвычайных ситуаций природного и техногенного характера</w:t>
      </w:r>
    </w:p>
    <w:p>
      <w:pPr>
        <w:pStyle w:val="Normal"/>
        <w:spacing w:lineRule="auto" w:line="240" w:before="0" w:after="20"/>
        <w:ind w:left="360" w:hanging="0"/>
        <w:jc w:val="center"/>
        <w:rPr>
          <w:rFonts w:ascii="Times New Roman" w:hAnsi="Times New Roman" w:cs="Times New Roman"/>
          <w:i/>
          <w:i/>
          <w:sz w:val="28"/>
          <w:szCs w:val="28"/>
          <w:lang w:eastAsia="ru-RU"/>
        </w:rPr>
      </w:pPr>
      <w:r>
        <w:rPr>
          <w:rFonts w:cs="Times New Roman" w:ascii="Times New Roman" w:hAnsi="Times New Roman"/>
          <w:i/>
          <w:sz w:val="28"/>
          <w:szCs w:val="28"/>
          <w:lang w:eastAsia="ru-RU"/>
        </w:rPr>
      </w:r>
    </w:p>
    <w:p>
      <w:pPr>
        <w:pStyle w:val="ListParagraph"/>
        <w:numPr>
          <w:ilvl w:val="0"/>
          <w:numId w:val="23"/>
        </w:numPr>
        <w:spacing w:lineRule="auto" w:line="240" w:before="0" w:after="0"/>
        <w:contextualSpacing/>
        <w:jc w:val="both"/>
        <w:rPr>
          <w:rFonts w:ascii="Times New Roman" w:hAnsi="Times New Roman" w:eastAsia="Times New Roman" w:cs="Times New Roman"/>
          <w:spacing w:val="2"/>
          <w:sz w:val="28"/>
          <w:szCs w:val="28"/>
          <w:shd w:fill="FFFFFF" w:val="clear"/>
          <w:lang w:eastAsia="ru-RU"/>
        </w:rPr>
      </w:pPr>
      <w:r>
        <w:rPr>
          <w:rFonts w:eastAsia="Times New Roman" w:cs="Times New Roman" w:ascii="Times New Roman" w:hAnsi="Times New Roman"/>
          <w:spacing w:val="2"/>
          <w:sz w:val="28"/>
          <w:szCs w:val="28"/>
          <w:shd w:fill="FFFFFF" w:val="clear"/>
          <w:lang w:eastAsia="ru-RU"/>
        </w:rPr>
        <w:t>СП 115.13330.2016 Свод правил. Геофизика опасных природных воздействий. Актуализированная редакция СНиП 22-01-95», утв. Приказом Минстроя России от 16.12.2016 № 956/пр (с изменениями и дополнениями)</w:t>
      </w:r>
    </w:p>
    <w:p>
      <w:pPr>
        <w:pStyle w:val="ListParagraph"/>
        <w:numPr>
          <w:ilvl w:val="0"/>
          <w:numId w:val="23"/>
        </w:numPr>
        <w:spacing w:lineRule="auto" w:line="240" w:before="0" w:after="0"/>
        <w:contextualSpacing/>
        <w:jc w:val="both"/>
        <w:rPr>
          <w:rFonts w:ascii="Times New Roman" w:hAnsi="Times New Roman" w:eastAsia="Times New Roman" w:cs="Times New Roman"/>
          <w:spacing w:val="2"/>
          <w:sz w:val="28"/>
          <w:szCs w:val="28"/>
          <w:shd w:fill="FFFFFF" w:val="clear"/>
          <w:lang w:eastAsia="ru-RU"/>
        </w:rPr>
      </w:pPr>
      <w:r>
        <w:rPr>
          <w:rFonts w:eastAsia="Times New Roman" w:cs="Times New Roman" w:ascii="Times New Roman" w:hAnsi="Times New Roman"/>
          <w:spacing w:val="2"/>
          <w:sz w:val="28"/>
          <w:szCs w:val="28"/>
          <w:shd w:fill="FFFFFF" w:val="clear"/>
          <w:lang w:eastAsia="ru-RU"/>
        </w:rPr>
        <w:t xml:space="preserve">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 утв. приказом Министерства регионального развития РФ от 30 июня 2012 № 274 </w:t>
      </w:r>
      <w:r>
        <w:rPr>
          <w:rFonts w:eastAsia="Times New Roman" w:cs="Times New Roman" w:ascii="Times New Roman" w:hAnsi="Times New Roman"/>
          <w:sz w:val="28"/>
          <w:szCs w:val="28"/>
          <w:lang w:eastAsia="ru-RU"/>
        </w:rPr>
        <w:t xml:space="preserve">(с </w:t>
      </w:r>
      <w:r>
        <w:rPr>
          <w:rFonts w:eastAsia="Times New Roman" w:cs="Times New Roman" w:ascii="Times New Roman" w:hAnsi="Times New Roman"/>
          <w:spacing w:val="2"/>
          <w:sz w:val="28"/>
          <w:szCs w:val="28"/>
          <w:shd w:fill="FFFFFF" w:val="clear"/>
          <w:lang w:eastAsia="ru-RU"/>
        </w:rPr>
        <w:t>изменениями и дополнениями)</w:t>
      </w:r>
    </w:p>
    <w:p>
      <w:pPr>
        <w:pStyle w:val="ListParagraph"/>
        <w:numPr>
          <w:ilvl w:val="0"/>
          <w:numId w:val="23"/>
        </w:numPr>
        <w:spacing w:lineRule="auto" w:line="240" w:before="0" w:after="0"/>
        <w:contextualSpacing/>
        <w:jc w:val="both"/>
        <w:rPr>
          <w:rFonts w:ascii="Times New Roman" w:hAnsi="Times New Roman" w:eastAsia="Times New Roman" w:cs="Times New Roman"/>
          <w:spacing w:val="2"/>
          <w:sz w:val="28"/>
          <w:szCs w:val="28"/>
          <w:shd w:fill="FFFFFF" w:val="clear"/>
          <w:lang w:eastAsia="ru-RU"/>
        </w:rPr>
      </w:pPr>
      <w:r>
        <w:rPr>
          <w:rFonts w:eastAsia="Times New Roman" w:cs="Times New Roman" w:ascii="Times New Roman" w:hAnsi="Times New Roman"/>
          <w:spacing w:val="2"/>
          <w:sz w:val="28"/>
          <w:szCs w:val="28"/>
          <w:shd w:fill="FFFFFF" w:val="clear"/>
          <w:lang w:eastAsia="ru-RU"/>
        </w:rPr>
        <w:t>СП 32.13330.2018. Свод правил. Канализация. Наружные сети и сооружения. СНиП 2.04.03-85», утв. Приказом Минстроя России от 25.12.2018 № 860/пр (с изменениями и дополнениями)</w:t>
      </w:r>
    </w:p>
    <w:p>
      <w:pPr>
        <w:pStyle w:val="ListParagraph"/>
        <w:numPr>
          <w:ilvl w:val="0"/>
          <w:numId w:val="23"/>
        </w:numPr>
        <w:spacing w:lineRule="auto" w:line="240" w:before="0" w:after="0"/>
        <w:contextualSpacing/>
        <w:jc w:val="both"/>
        <w:rPr>
          <w:rFonts w:ascii="Times New Roman" w:hAnsi="Times New Roman" w:eastAsia="Times New Roman" w:cs="Times New Roman"/>
          <w:spacing w:val="2"/>
          <w:sz w:val="28"/>
          <w:szCs w:val="28"/>
          <w:shd w:fill="FFFFFF" w:val="clear"/>
          <w:lang w:eastAsia="ru-RU"/>
        </w:rPr>
      </w:pPr>
      <w:r>
        <w:rPr>
          <w:rFonts w:eastAsia="Times New Roman" w:cs="Times New Roman" w:ascii="Times New Roman" w:hAnsi="Times New Roman"/>
          <w:spacing w:val="2"/>
          <w:sz w:val="28"/>
          <w:szCs w:val="28"/>
          <w:shd w:fill="FFFFFF" w:val="clear"/>
          <w:lang w:eastAsia="ru-RU"/>
        </w:rPr>
        <w:t>ГОСТ Р 22.2.10-2016 «Безопасность в чрезвычайных ситуациях. Порядок обоснования и учета мероприятий по гражданской обороне, мероприятий по предупреждению чрезвычайных ситуаций природного и техногенного характера при разработке документов территориального планирования», утв. Приказом Росстандарта от 29.06.2016 № 727-ст (с изменениями и дополнениями)</w:t>
      </w:r>
    </w:p>
    <w:p>
      <w:pPr>
        <w:pStyle w:val="ListParagraph"/>
        <w:numPr>
          <w:ilvl w:val="0"/>
          <w:numId w:val="23"/>
        </w:numPr>
        <w:spacing w:lineRule="auto" w:line="240" w:before="0" w:after="0"/>
        <w:contextualSpacing/>
        <w:jc w:val="both"/>
        <w:rPr>
          <w:rFonts w:ascii="Times New Roman" w:hAnsi="Times New Roman" w:eastAsia="Times New Roman" w:cs="Times New Roman"/>
          <w:spacing w:val="2"/>
          <w:sz w:val="28"/>
          <w:szCs w:val="28"/>
          <w:shd w:fill="FFFFFF" w:val="clear"/>
          <w:lang w:eastAsia="ru-RU"/>
        </w:rPr>
      </w:pPr>
      <w:r>
        <w:rPr>
          <w:rFonts w:eastAsia="Times New Roman" w:cs="Times New Roman" w:ascii="Times New Roman" w:hAnsi="Times New Roman"/>
          <w:spacing w:val="2"/>
          <w:sz w:val="28"/>
          <w:szCs w:val="28"/>
          <w:shd w:fill="FFFFFF" w:val="clear"/>
          <w:lang w:eastAsia="ru-RU"/>
        </w:rPr>
        <w:t>СП 165.1325800.2014 Свод правил. Инженерно-технические мероприятия по гражданской обороне. Актуализированная редакция СНиП 2.01.51-90», утв. Приказом Минстроя России от 12.11.2014 №705/пр (с изменениями и дополнениями)</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СП 20.13330.2016. Свод правил. Нагрузки и воздействия. Актуализированная редакция СНиП 2.01.07-85», утв. приказом Минстроя России от 03.12.2016 №891/пр» (с изменениями и дополнениями)</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cs="Times New Roman" w:ascii="Times New Roman" w:hAnsi="Times New Roman"/>
          <w:sz w:val="28"/>
          <w:szCs w:val="28"/>
        </w:rPr>
        <w:t>Федеральный закон от 10.12.1995 № 196-ФЗ "О безопасности дорожного движения"</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СП 4.13130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 Приказом МЧС РФ от 24.04.2013 №288 (с изменениями и дополнениями)</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СП 8.13130 «Системы противопожарной защиты. Наружное противопожарное водоснабжение. Требования пожарной безопасности» (утв. Приказом МЧС России от 30.03.2020 №225)</w:t>
      </w:r>
    </w:p>
    <w:p>
      <w:pPr>
        <w:pStyle w:val="ListParagraph"/>
        <w:numPr>
          <w:ilvl w:val="0"/>
          <w:numId w:val="23"/>
        </w:numPr>
        <w:spacing w:lineRule="auto" w:line="240" w:before="0" w:afterAutospacing="1"/>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Правила противопожарного режима в Российской Федерации, утв. Постановлением Правительства РФ от 16.09.2020 №1479 (с изменениями и дополнениями)</w:t>
      </w:r>
    </w:p>
    <w:p>
      <w:pPr>
        <w:pStyle w:val="ListParagraph"/>
        <w:spacing w:lineRule="auto" w:line="240" w:before="0" w:afterAutospacing="1"/>
        <w:ind w:left="735" w:hanging="0"/>
        <w:contextualSpacing/>
        <w:jc w:val="center"/>
        <w:rPr>
          <w:rFonts w:ascii="Times New Roman" w:hAnsi="Times New Roman" w:cs="Times New Roman"/>
          <w:b/>
          <w:sz w:val="28"/>
          <w:szCs w:val="28"/>
        </w:rPr>
      </w:pPr>
      <w:r>
        <w:rPr>
          <w:rFonts w:cs="Times New Roman" w:ascii="Times New Roman" w:hAnsi="Times New Roman"/>
          <w:b/>
          <w:sz w:val="28"/>
          <w:szCs w:val="28"/>
        </w:rPr>
      </w:r>
    </w:p>
    <w:p>
      <w:pPr>
        <w:pStyle w:val="ListParagraph"/>
        <w:spacing w:lineRule="auto" w:line="240" w:before="0" w:afterAutospacing="1"/>
        <w:ind w:left="735" w:hanging="0"/>
        <w:contextualSpacing/>
        <w:jc w:val="center"/>
        <w:rPr>
          <w:rFonts w:ascii="Times New Roman" w:hAnsi="Times New Roman" w:cs="Times New Roman"/>
          <w:b/>
          <w:sz w:val="28"/>
          <w:szCs w:val="28"/>
        </w:rPr>
      </w:pPr>
      <w:r>
        <w:rPr>
          <w:rFonts w:cs="Times New Roman" w:ascii="Times New Roman" w:hAnsi="Times New Roman"/>
          <w:b/>
          <w:sz w:val="28"/>
          <w:szCs w:val="28"/>
        </w:rPr>
        <w:t>Интернет-ресурсы</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cs="Times New Roman" w:ascii="Times New Roman" w:hAnsi="Times New Roman"/>
          <w:sz w:val="28"/>
          <w:szCs w:val="28"/>
        </w:rPr>
        <w:t>Публичная кадастровая карта</w:t>
      </w:r>
      <w:r>
        <w:rPr>
          <w:rFonts w:eastAsia="Times New Roman" w:cs="Times New Roman" w:ascii="Times New Roman" w:hAnsi="Times New Roman"/>
          <w:sz w:val="28"/>
          <w:szCs w:val="28"/>
          <w:lang w:eastAsia="ru-RU"/>
        </w:rPr>
        <w:t>, опубликованная на сайте</w:t>
      </w:r>
      <w:r>
        <w:rPr>
          <w:rFonts w:cs="Times New Roman" w:ascii="Times New Roman" w:hAnsi="Times New Roman"/>
          <w:sz w:val="28"/>
          <w:szCs w:val="28"/>
        </w:rPr>
        <w:t xml:space="preserve">: </w:t>
      </w:r>
      <w:r>
        <w:rPr>
          <w:rFonts w:cs="Times New Roman" w:ascii="Times New Roman" w:hAnsi="Times New Roman"/>
          <w:sz w:val="28"/>
          <w:szCs w:val="28"/>
          <w:u w:val="single"/>
        </w:rPr>
        <w:t>https://pkk.rosreestr.ru</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Карта оцифрованных границ площадей залегания полезных ископаемых ФГБУ «Российский федеральный геологический фонд» </w:t>
      </w:r>
      <w:r>
        <w:rPr>
          <w:rFonts w:eastAsia="Times New Roman" w:cs="Times New Roman" w:ascii="Times New Roman" w:hAnsi="Times New Roman"/>
          <w:sz w:val="28"/>
          <w:szCs w:val="28"/>
          <w:u w:val="single"/>
          <w:lang w:eastAsia="ru-RU"/>
        </w:rPr>
        <w:t>https://rfgf.ru/info-resursy/karta-otsifrovannyh-granits</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Экологическая карта Республики Татарстан Министерства экологии и природных ресурсов Республики Татарстан, опубликованная на сайте </w:t>
      </w:r>
      <w:r>
        <w:rPr>
          <w:rFonts w:eastAsia="Times New Roman" w:cs="Times New Roman" w:ascii="Times New Roman" w:hAnsi="Times New Roman"/>
          <w:sz w:val="28"/>
          <w:szCs w:val="28"/>
          <w:u w:val="single"/>
          <w:lang w:eastAsia="ru-RU"/>
        </w:rPr>
        <w:t>https://</w:t>
      </w:r>
      <w:r>
        <w:rPr>
          <w:rFonts w:eastAsia="Times New Roman" w:cs="Times New Roman" w:ascii="Times New Roman" w:hAnsi="Times New Roman"/>
          <w:sz w:val="28"/>
          <w:szCs w:val="28"/>
          <w:u w:val="single"/>
          <w:lang w:val="en-US" w:eastAsia="ru-RU"/>
        </w:rPr>
        <w:t>ecokarta</w:t>
      </w:r>
      <w:r>
        <w:rPr>
          <w:rFonts w:eastAsia="Times New Roman" w:cs="Times New Roman" w:ascii="Times New Roman" w:hAnsi="Times New Roman"/>
          <w:sz w:val="28"/>
          <w:szCs w:val="28"/>
          <w:u w:val="single"/>
          <w:lang w:eastAsia="ru-RU"/>
        </w:rPr>
        <w:t>.</w:t>
      </w:r>
      <w:r>
        <w:rPr>
          <w:rFonts w:eastAsia="Times New Roman" w:cs="Times New Roman" w:ascii="Times New Roman" w:hAnsi="Times New Roman"/>
          <w:sz w:val="28"/>
          <w:szCs w:val="28"/>
          <w:u w:val="single"/>
          <w:lang w:val="en-US" w:eastAsia="ru-RU"/>
        </w:rPr>
        <w:t>tatar</w:t>
      </w:r>
      <w:r>
        <w:rPr>
          <w:rFonts w:eastAsia="Times New Roman" w:cs="Times New Roman" w:ascii="Times New Roman" w:hAnsi="Times New Roman"/>
          <w:sz w:val="28"/>
          <w:szCs w:val="28"/>
          <w:u w:val="single"/>
          <w:lang w:eastAsia="ru-RU"/>
        </w:rPr>
        <w:t>.</w:t>
      </w:r>
      <w:r>
        <w:rPr>
          <w:rFonts w:eastAsia="Times New Roman" w:cs="Times New Roman" w:ascii="Times New Roman" w:hAnsi="Times New Roman"/>
          <w:sz w:val="28"/>
          <w:szCs w:val="28"/>
          <w:u w:val="single"/>
          <w:lang w:val="en-US" w:eastAsia="ru-RU"/>
        </w:rPr>
        <w:t>ru</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Государственный водный реестр https://textual.ru/gvr</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Информация о предоставлении водных объектов в пользование https://voda.gov.ru/activities/informatsiya-o-predostavlenii-vodnykh-obektov-v-polzovanie</w:t>
      </w:r>
    </w:p>
    <w:p>
      <w:pPr>
        <w:pStyle w:val="ListParagraph"/>
        <w:numPr>
          <w:ilvl w:val="0"/>
          <w:numId w:val="23"/>
        </w:numPr>
        <w:spacing w:lineRule="auto" w:line="240" w:before="0" w:after="0"/>
        <w:contextualSpacing/>
        <w:jc w:val="both"/>
        <w:rPr>
          <w:rFonts w:ascii="Times New Roman" w:hAnsi="Times New Roman" w:cs="Times New Roman"/>
          <w:sz w:val="28"/>
          <w:szCs w:val="28"/>
          <w:shd w:fill="FFFFFF" w:val="clear"/>
        </w:rPr>
      </w:pPr>
      <w:r>
        <w:rPr>
          <w:rFonts w:cs="Times New Roman" w:ascii="Times New Roman" w:hAnsi="Times New Roman"/>
          <w:sz w:val="28"/>
          <w:szCs w:val="28"/>
          <w:shd w:fill="FFFFFF" w:val="clear"/>
        </w:rPr>
        <w:t>Топографическая карта</w:t>
      </w:r>
      <w:r>
        <w:rPr>
          <w:rFonts w:eastAsia="Times New Roman" w:cs="Times New Roman" w:ascii="Times New Roman" w:hAnsi="Times New Roman"/>
          <w:sz w:val="28"/>
          <w:szCs w:val="28"/>
          <w:lang w:eastAsia="ru-RU"/>
        </w:rPr>
        <w:t>, опубликованная на сайте</w:t>
      </w:r>
      <w:r>
        <w:rPr>
          <w:rFonts w:cs="Times New Roman" w:ascii="Times New Roman" w:hAnsi="Times New Roman"/>
          <w:sz w:val="28"/>
          <w:szCs w:val="28"/>
        </w:rPr>
        <w:t xml:space="preserve">: </w:t>
      </w:r>
      <w:r>
        <w:rPr>
          <w:rFonts w:cs="Times New Roman" w:ascii="Times New Roman" w:hAnsi="Times New Roman"/>
          <w:sz w:val="28"/>
          <w:szCs w:val="28"/>
          <w:u w:val="single"/>
        </w:rPr>
        <w:t>https://geobridge.ru/maps</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bCs/>
          <w:sz w:val="28"/>
          <w:szCs w:val="28"/>
          <w:shd w:fill="FFFFFF" w:val="clear"/>
          <w:lang w:eastAsia="ru-RU"/>
        </w:rPr>
        <w:t>Сеть гидрологических наблюдений</w:t>
      </w:r>
      <w:r>
        <w:rPr>
          <w:rFonts w:eastAsia="Times New Roman" w:cs="Times New Roman" w:ascii="Times New Roman" w:hAnsi="Times New Roman"/>
          <w:sz w:val="28"/>
          <w:szCs w:val="28"/>
          <w:lang w:eastAsia="ru-RU"/>
        </w:rPr>
        <w:t xml:space="preserve">, опубликованная на сайте: </w:t>
      </w:r>
      <w:r>
        <w:rPr>
          <w:rFonts w:eastAsia="Times New Roman" w:cs="Times New Roman" w:ascii="Times New Roman" w:hAnsi="Times New Roman"/>
          <w:sz w:val="28"/>
          <w:szCs w:val="28"/>
          <w:u w:val="single"/>
          <w:lang w:eastAsia="ru-RU"/>
        </w:rPr>
        <w:t>http://www.tatarmeteo.ru</w:t>
      </w:r>
    </w:p>
    <w:p>
      <w:pPr>
        <w:pStyle w:val="ListParagraph"/>
        <w:numPr>
          <w:ilvl w:val="0"/>
          <w:numId w:val="23"/>
        </w:numPr>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Реестр санитарно-эпидемиологических заключений на проектную документацию, опубликованный на сайте: http://fp.crc.ru/doc</w:t>
      </w:r>
    </w:p>
    <w:p>
      <w:pPr>
        <w:pStyle w:val="ListParagraph"/>
        <w:numPr>
          <w:ilvl w:val="0"/>
          <w:numId w:val="23"/>
        </w:numPr>
        <w:spacing w:lineRule="auto" w:line="240" w:before="0" w:afterAutospacing="1"/>
        <w:contextualSpacing/>
        <w:jc w:val="both"/>
        <w:rPr>
          <w:rFonts w:ascii="Times New Roman" w:hAnsi="Times New Roman" w:cs="Times New Roman"/>
          <w:sz w:val="28"/>
          <w:szCs w:val="28"/>
          <w:lang w:eastAsia="ru-RU"/>
        </w:rPr>
      </w:pPr>
      <w:r>
        <w:rPr>
          <w:rFonts w:eastAsia="Times New Roman" w:cs="Times New Roman" w:ascii="Times New Roman" w:hAnsi="Times New Roman"/>
          <w:b/>
          <w:bCs/>
          <w:sz w:val="28"/>
          <w:szCs w:val="28"/>
          <w:lang w:eastAsia="ru-RU"/>
        </w:rPr>
        <w:t xml:space="preserve">Официальный сайт Управления Федеральной службы по надзору в сфере потребителей и благополучия человека по Республике Татарстан </w:t>
      </w:r>
      <w:r>
        <w:rPr>
          <w:rFonts w:eastAsia="Times New Roman" w:cs="Times New Roman" w:ascii="Times New Roman" w:hAnsi="Times New Roman"/>
          <w:b/>
          <w:bCs/>
          <w:sz w:val="28"/>
          <w:szCs w:val="28"/>
          <w:u w:val="single"/>
          <w:lang w:eastAsia="ru-RU"/>
        </w:rPr>
        <w:t>http://16.rospotrebnadzor.ru</w:t>
      </w:r>
    </w:p>
    <w:p>
      <w:pPr>
        <w:pStyle w:val="Style72"/>
        <w:tabs>
          <w:tab w:val="clear" w:pos="709"/>
          <w:tab w:val="left" w:pos="600" w:leader="none"/>
        </w:tabs>
        <w:ind w:hanging="0"/>
        <w:rPr>
          <w:rFonts w:ascii="Liberation Sans" w:hAnsi="Liberation Sans" w:eastAsia="Times New Roman" w:cs="Arial"/>
          <w:b/>
          <w:bCs/>
          <w:sz w:val="24"/>
          <w:szCs w:val="24"/>
          <w:lang w:eastAsia="ru-RU"/>
        </w:rPr>
      </w:pPr>
      <w:r>
        <w:rPr/>
      </w:r>
    </w:p>
    <w:p>
      <w:pPr>
        <w:pStyle w:val="Style72"/>
        <w:tabs>
          <w:tab w:val="clear" w:pos="709"/>
          <w:tab w:val="left" w:pos="600" w:leader="none"/>
        </w:tabs>
        <w:ind w:hanging="0"/>
        <w:rPr>
          <w:rFonts w:ascii="Liberation Sans" w:hAnsi="Liberation Sans" w:eastAsia="Times New Roman" w:cs="Arial"/>
          <w:b/>
          <w:bCs/>
          <w:sz w:val="24"/>
          <w:szCs w:val="24"/>
          <w:lang w:eastAsia="ru-RU"/>
        </w:rPr>
      </w:pPr>
      <w:r>
        <w:rPr/>
      </w:r>
    </w:p>
    <w:p>
      <w:pPr>
        <w:pStyle w:val="Style72"/>
        <w:tabs>
          <w:tab w:val="clear" w:pos="709"/>
          <w:tab w:val="left" w:pos="600" w:leader="none"/>
        </w:tabs>
        <w:ind w:hanging="0"/>
        <w:rPr>
          <w:rFonts w:ascii="Liberation Sans" w:hAnsi="Liberation Sans" w:eastAsia="Times New Roman" w:cs="Arial"/>
          <w:b/>
          <w:bCs/>
          <w:sz w:val="24"/>
          <w:szCs w:val="24"/>
          <w:lang w:eastAsia="ru-RU"/>
        </w:rPr>
      </w:pPr>
      <w:r>
        <w:rPr/>
      </w:r>
    </w:p>
    <w:p>
      <w:pPr>
        <w:pStyle w:val="Style72"/>
        <w:tabs>
          <w:tab w:val="clear" w:pos="709"/>
          <w:tab w:val="left" w:pos="600" w:leader="none"/>
        </w:tabs>
        <w:ind w:hanging="0"/>
        <w:rPr>
          <w:rFonts w:ascii="Liberation Sans" w:hAnsi="Liberation Sans" w:eastAsia="Times New Roman" w:cs="Arial"/>
          <w:b/>
          <w:bCs/>
          <w:sz w:val="24"/>
          <w:szCs w:val="24"/>
          <w:lang w:eastAsia="ru-RU"/>
        </w:rPr>
      </w:pPr>
      <w:r>
        <w:rPr/>
      </w:r>
    </w:p>
    <w:p>
      <w:pPr>
        <w:pStyle w:val="Style72"/>
        <w:tabs>
          <w:tab w:val="clear" w:pos="709"/>
          <w:tab w:val="left" w:pos="600" w:leader="none"/>
        </w:tabs>
        <w:ind w:hanging="0"/>
        <w:rPr>
          <w:rFonts w:ascii="Liberation Sans" w:hAnsi="Liberation Sans" w:eastAsia="Times New Roman" w:cs="Arial"/>
          <w:b/>
          <w:bCs/>
          <w:sz w:val="24"/>
          <w:szCs w:val="24"/>
          <w:lang w:eastAsia="ru-RU"/>
        </w:rPr>
      </w:pPr>
      <w:r>
        <w:rPr/>
      </w:r>
    </w:p>
    <w:p>
      <w:pPr>
        <w:pStyle w:val="Style72"/>
        <w:tabs>
          <w:tab w:val="clear" w:pos="709"/>
          <w:tab w:val="left" w:pos="600" w:leader="none"/>
        </w:tabs>
        <w:ind w:hanging="0"/>
        <w:rPr>
          <w:rFonts w:ascii="Liberation Sans" w:hAnsi="Liberation Sans" w:eastAsia="Times New Roman" w:cs="Arial"/>
          <w:b/>
          <w:bCs/>
          <w:sz w:val="24"/>
          <w:szCs w:val="24"/>
          <w:lang w:eastAsia="ru-RU"/>
        </w:rPr>
      </w:pPr>
      <w:r>
        <w:rPr/>
      </w:r>
    </w:p>
    <w:p>
      <w:pPr>
        <w:pStyle w:val="Style72"/>
        <w:tabs>
          <w:tab w:val="clear" w:pos="709"/>
          <w:tab w:val="left" w:pos="600" w:leader="none"/>
        </w:tabs>
        <w:ind w:hanging="0"/>
        <w:rPr>
          <w:rFonts w:ascii="Liberation Sans" w:hAnsi="Liberation Sans" w:eastAsia="Times New Roman" w:cs="Arial"/>
          <w:b/>
          <w:bCs/>
          <w:sz w:val="24"/>
          <w:szCs w:val="24"/>
          <w:lang w:eastAsia="ru-RU"/>
        </w:rPr>
      </w:pPr>
      <w:r>
        <w:rPr/>
      </w:r>
    </w:p>
    <w:p>
      <w:pPr>
        <w:pStyle w:val="Style72"/>
        <w:tabs>
          <w:tab w:val="clear" w:pos="709"/>
          <w:tab w:val="left" w:pos="600" w:leader="none"/>
        </w:tabs>
        <w:ind w:hanging="0"/>
        <w:rPr>
          <w:rFonts w:ascii="Liberation Sans" w:hAnsi="Liberation Sans" w:eastAsia="Times New Roman" w:cs="Arial"/>
          <w:b/>
          <w:bCs/>
          <w:sz w:val="24"/>
          <w:szCs w:val="24"/>
          <w:lang w:eastAsia="ru-RU"/>
        </w:rPr>
      </w:pPr>
      <w:r>
        <w:rPr/>
      </w:r>
    </w:p>
    <w:p>
      <w:pPr>
        <w:pStyle w:val="Style72"/>
        <w:tabs>
          <w:tab w:val="clear" w:pos="709"/>
          <w:tab w:val="left" w:pos="600" w:leader="none"/>
        </w:tabs>
        <w:ind w:hanging="0"/>
        <w:rPr>
          <w:rFonts w:ascii="Liberation Sans" w:hAnsi="Liberation Sans" w:eastAsia="Times New Roman" w:cs="Arial"/>
          <w:b/>
          <w:bCs/>
          <w:sz w:val="24"/>
          <w:szCs w:val="24"/>
          <w:lang w:eastAsia="ru-RU"/>
        </w:rPr>
      </w:pPr>
      <w:r>
        <w:rPr/>
      </w:r>
    </w:p>
    <w:p>
      <w:pPr>
        <w:pStyle w:val="Style72"/>
        <w:tabs>
          <w:tab w:val="clear" w:pos="709"/>
          <w:tab w:val="left" w:pos="600" w:leader="none"/>
        </w:tabs>
        <w:ind w:hanging="0"/>
        <w:rPr>
          <w:rFonts w:ascii="Liberation Sans" w:hAnsi="Liberation Sans" w:eastAsia="Times New Roman" w:cs="Arial"/>
          <w:b/>
          <w:bCs/>
          <w:sz w:val="24"/>
          <w:szCs w:val="24"/>
          <w:lang w:eastAsia="ru-RU"/>
        </w:rPr>
      </w:pPr>
      <w:r>
        <w:rPr/>
      </w:r>
    </w:p>
    <w:p>
      <w:pPr>
        <w:pStyle w:val="Style72"/>
        <w:tabs>
          <w:tab w:val="clear" w:pos="709"/>
          <w:tab w:val="left" w:pos="600" w:leader="none"/>
        </w:tabs>
        <w:ind w:hanging="0"/>
        <w:rPr>
          <w:rFonts w:ascii="Liberation Sans" w:hAnsi="Liberation Sans" w:eastAsia="Times New Roman" w:cs="Arial"/>
          <w:b/>
          <w:bCs/>
          <w:sz w:val="24"/>
          <w:szCs w:val="24"/>
          <w:lang w:eastAsia="ru-RU"/>
        </w:rPr>
      </w:pPr>
      <w:r>
        <w:rPr/>
      </w:r>
    </w:p>
    <w:p>
      <w:pPr>
        <w:pStyle w:val="Style72"/>
        <w:tabs>
          <w:tab w:val="clear" w:pos="709"/>
          <w:tab w:val="left" w:pos="600" w:leader="none"/>
        </w:tabs>
        <w:ind w:hanging="0"/>
        <w:rPr>
          <w:rFonts w:ascii="Liberation Sans" w:hAnsi="Liberation Sans" w:eastAsia="Times New Roman" w:cs="Arial"/>
          <w:b/>
          <w:bCs/>
          <w:sz w:val="24"/>
          <w:szCs w:val="24"/>
          <w:lang w:eastAsia="ru-RU"/>
        </w:rPr>
      </w:pPr>
      <w:r>
        <w:rPr/>
      </w:r>
    </w:p>
    <w:p>
      <w:pPr>
        <w:pStyle w:val="Style72"/>
        <w:tabs>
          <w:tab w:val="clear" w:pos="709"/>
          <w:tab w:val="left" w:pos="600" w:leader="none"/>
        </w:tabs>
        <w:ind w:hanging="0"/>
        <w:rPr>
          <w:rFonts w:ascii="Liberation Sans" w:hAnsi="Liberation Sans" w:eastAsia="Times New Roman" w:cs="Arial"/>
          <w:b/>
          <w:bCs/>
          <w:sz w:val="24"/>
          <w:szCs w:val="24"/>
          <w:lang w:eastAsia="ru-RU"/>
        </w:rPr>
      </w:pPr>
      <w:r>
        <w:rPr/>
      </w:r>
    </w:p>
    <w:p>
      <w:pPr>
        <w:pStyle w:val="Style72"/>
        <w:tabs>
          <w:tab w:val="clear" w:pos="709"/>
          <w:tab w:val="left" w:pos="600" w:leader="none"/>
        </w:tabs>
        <w:ind w:hanging="0"/>
        <w:rPr>
          <w:rFonts w:ascii="Liberation Sans" w:hAnsi="Liberation Sans" w:eastAsia="Times New Roman" w:cs="Arial"/>
          <w:b/>
          <w:bCs/>
          <w:sz w:val="24"/>
          <w:szCs w:val="24"/>
          <w:lang w:eastAsia="ru-RU"/>
        </w:rPr>
      </w:pPr>
      <w:r>
        <w:rPr/>
      </w:r>
    </w:p>
    <w:p>
      <w:pPr>
        <w:pStyle w:val="Style72"/>
        <w:tabs>
          <w:tab w:val="clear" w:pos="709"/>
          <w:tab w:val="left" w:pos="600" w:leader="none"/>
        </w:tabs>
        <w:ind w:hanging="0"/>
        <w:rPr>
          <w:rFonts w:ascii="Liberation Sans" w:hAnsi="Liberation Sans" w:eastAsia="Times New Roman" w:cs="Arial"/>
          <w:b/>
          <w:bCs/>
          <w:sz w:val="24"/>
          <w:szCs w:val="24"/>
          <w:lang w:eastAsia="ru-RU"/>
        </w:rPr>
      </w:pPr>
      <w:r>
        <w:rPr/>
      </w:r>
    </w:p>
    <w:p>
      <w:pPr>
        <w:pStyle w:val="Style72"/>
        <w:tabs>
          <w:tab w:val="clear" w:pos="709"/>
          <w:tab w:val="left" w:pos="600" w:leader="none"/>
        </w:tabs>
        <w:ind w:hanging="0"/>
        <w:rPr>
          <w:rFonts w:ascii="Liberation Sans" w:hAnsi="Liberation Sans" w:eastAsia="Times New Roman" w:cs="Arial"/>
          <w:b/>
          <w:bCs/>
          <w:sz w:val="24"/>
          <w:szCs w:val="24"/>
          <w:lang w:eastAsia="ru-RU"/>
        </w:rPr>
      </w:pPr>
      <w:r>
        <w:rPr/>
      </w:r>
    </w:p>
    <w:p>
      <w:pPr>
        <w:pStyle w:val="Style72"/>
        <w:tabs>
          <w:tab w:val="clear" w:pos="709"/>
          <w:tab w:val="left" w:pos="600" w:leader="none"/>
        </w:tabs>
        <w:ind w:hanging="0"/>
        <w:rPr>
          <w:rFonts w:ascii="Liberation Sans" w:hAnsi="Liberation Sans" w:eastAsia="Times New Roman" w:cs="Arial"/>
          <w:b/>
          <w:bCs/>
          <w:sz w:val="24"/>
          <w:szCs w:val="24"/>
          <w:lang w:eastAsia="ru-RU"/>
        </w:rPr>
      </w:pPr>
      <w:r>
        <w:rPr/>
      </w:r>
    </w:p>
    <w:p>
      <w:pPr>
        <w:pStyle w:val="Style72"/>
        <w:tabs>
          <w:tab w:val="clear" w:pos="709"/>
          <w:tab w:val="left" w:pos="600" w:leader="none"/>
        </w:tabs>
        <w:ind w:hanging="0"/>
        <w:rPr>
          <w:rFonts w:ascii="Liberation Sans" w:hAnsi="Liberation Sans" w:eastAsia="Times New Roman" w:cs="Arial"/>
          <w:b/>
          <w:bCs/>
          <w:sz w:val="24"/>
          <w:szCs w:val="24"/>
          <w:lang w:eastAsia="ru-RU"/>
        </w:rPr>
      </w:pPr>
      <w:r>
        <w:rPr/>
      </w:r>
    </w:p>
    <w:p>
      <w:pPr>
        <w:pStyle w:val="Style72"/>
        <w:tabs>
          <w:tab w:val="clear" w:pos="709"/>
          <w:tab w:val="left" w:pos="600" w:leader="none"/>
        </w:tabs>
        <w:ind w:hanging="0"/>
        <w:rPr>
          <w:rFonts w:ascii="Liberation Sans" w:hAnsi="Liberation Sans" w:eastAsia="Times New Roman" w:cs="Arial"/>
          <w:b/>
          <w:bCs/>
          <w:sz w:val="24"/>
          <w:szCs w:val="24"/>
          <w:lang w:eastAsia="ru-RU"/>
        </w:rPr>
      </w:pPr>
      <w:r>
        <w:rPr/>
      </w:r>
    </w:p>
    <w:p>
      <w:pPr>
        <w:pStyle w:val="Style72"/>
        <w:tabs>
          <w:tab w:val="clear" w:pos="709"/>
          <w:tab w:val="left" w:pos="600" w:leader="none"/>
        </w:tabs>
        <w:ind w:hanging="0"/>
        <w:rPr>
          <w:rFonts w:ascii="Liberation Sans" w:hAnsi="Liberation Sans" w:eastAsia="Times New Roman" w:cs="Arial"/>
          <w:b/>
          <w:bCs/>
          <w:sz w:val="24"/>
          <w:szCs w:val="24"/>
          <w:lang w:eastAsia="ru-RU"/>
        </w:rPr>
      </w:pPr>
      <w:r>
        <w:rPr/>
      </w:r>
    </w:p>
    <w:p>
      <w:pPr>
        <w:pStyle w:val="Style72"/>
        <w:tabs>
          <w:tab w:val="clear" w:pos="709"/>
          <w:tab w:val="left" w:pos="600" w:leader="none"/>
        </w:tabs>
        <w:ind w:hanging="0"/>
        <w:rPr>
          <w:rFonts w:ascii="Liberation Sans" w:hAnsi="Liberation Sans" w:eastAsia="Times New Roman" w:cs="Arial"/>
          <w:b/>
          <w:bCs/>
          <w:sz w:val="24"/>
          <w:szCs w:val="24"/>
          <w:lang w:eastAsia="ru-RU"/>
        </w:rPr>
      </w:pPr>
      <w:r>
        <w:rPr/>
      </w:r>
    </w:p>
    <w:p>
      <w:pPr>
        <w:pStyle w:val="Style72"/>
        <w:tabs>
          <w:tab w:val="clear" w:pos="709"/>
          <w:tab w:val="left" w:pos="600" w:leader="none"/>
        </w:tabs>
        <w:ind w:hanging="0"/>
        <w:rPr>
          <w:rFonts w:ascii="Liberation Sans" w:hAnsi="Liberation Sans" w:eastAsia="Times New Roman" w:cs="Arial"/>
          <w:b/>
          <w:bCs/>
          <w:sz w:val="24"/>
          <w:szCs w:val="24"/>
          <w:lang w:eastAsia="ru-RU"/>
        </w:rPr>
      </w:pPr>
      <w:r>
        <w:rPr/>
      </w:r>
    </w:p>
    <w:p>
      <w:pPr>
        <w:pStyle w:val="Style72"/>
        <w:tabs>
          <w:tab w:val="clear" w:pos="709"/>
          <w:tab w:val="left" w:pos="600" w:leader="none"/>
        </w:tabs>
        <w:ind w:hanging="0"/>
        <w:rPr>
          <w:rFonts w:ascii="Liberation Sans" w:hAnsi="Liberation Sans" w:eastAsia="Times New Roman" w:cs="Arial"/>
          <w:b/>
          <w:bCs/>
          <w:sz w:val="24"/>
          <w:szCs w:val="24"/>
          <w:lang w:eastAsia="ru-RU"/>
        </w:rPr>
      </w:pPr>
      <w:r>
        <w:rPr/>
      </w:r>
    </w:p>
    <w:p>
      <w:pPr>
        <w:pStyle w:val="Style72"/>
        <w:tabs>
          <w:tab w:val="clear" w:pos="709"/>
          <w:tab w:val="left" w:pos="600" w:leader="none"/>
        </w:tabs>
        <w:ind w:hanging="0"/>
        <w:rPr>
          <w:rFonts w:ascii="Liberation Sans" w:hAnsi="Liberation Sans" w:eastAsia="Times New Roman" w:cs="Arial"/>
          <w:b/>
          <w:bCs/>
          <w:sz w:val="24"/>
          <w:szCs w:val="24"/>
          <w:lang w:eastAsia="ru-RU"/>
        </w:rPr>
      </w:pPr>
      <w:r>
        <w:rPr/>
      </w:r>
    </w:p>
    <w:p>
      <w:pPr>
        <w:pStyle w:val="Style72"/>
        <w:tabs>
          <w:tab w:val="clear" w:pos="709"/>
          <w:tab w:val="left" w:pos="600" w:leader="none"/>
        </w:tabs>
        <w:ind w:hanging="0"/>
        <w:rPr>
          <w:rFonts w:ascii="Liberation Sans" w:hAnsi="Liberation Sans" w:eastAsia="Times New Roman" w:cs="Arial"/>
          <w:b/>
          <w:bCs/>
          <w:sz w:val="24"/>
          <w:szCs w:val="24"/>
          <w:lang w:eastAsia="ru-RU"/>
        </w:rPr>
      </w:pPr>
      <w:r>
        <w:rPr/>
      </w:r>
    </w:p>
    <w:p>
      <w:pPr>
        <w:pStyle w:val="Style72"/>
        <w:tabs>
          <w:tab w:val="clear" w:pos="709"/>
          <w:tab w:val="left" w:pos="600" w:leader="none"/>
        </w:tabs>
        <w:ind w:hanging="0"/>
        <w:rPr>
          <w:rFonts w:ascii="Liberation Sans" w:hAnsi="Liberation Sans" w:eastAsia="Times New Roman" w:cs="Arial"/>
          <w:b/>
          <w:bCs/>
          <w:sz w:val="24"/>
          <w:szCs w:val="24"/>
          <w:lang w:eastAsia="ru-RU"/>
        </w:rPr>
      </w:pPr>
      <w:r>
        <w:rPr/>
      </w:r>
    </w:p>
    <w:p>
      <w:pPr>
        <w:pStyle w:val="Style73"/>
        <w:rPr/>
      </w:pPr>
      <w:r>
        <w:rPr/>
        <w:t>Государственное бюджетное учреждение</w:t>
      </w:r>
    </w:p>
    <w:p>
      <w:pPr>
        <w:pStyle w:val="Style73"/>
        <w:ind w:left="-426" w:hanging="0"/>
        <w:rPr/>
      </w:pPr>
      <w:r>
        <w:rPr/>
        <w:t>«Фонд пространственных данных Республики Татарстан»</w:t>
      </w:r>
    </w:p>
    <w:p>
      <w:pPr>
        <w:pStyle w:val="Style73"/>
        <w:rPr/>
      </w:pPr>
      <w:r>
        <w:rPr/>
      </w:r>
    </w:p>
    <w:p>
      <w:pPr>
        <w:pStyle w:val="Style73"/>
        <w:rPr/>
      </w:pPr>
      <w:r>
        <w:rPr/>
      </w:r>
    </w:p>
    <w:p>
      <w:pPr>
        <w:pStyle w:val="Style73"/>
        <w:rPr>
          <w:color w:val="FF0066"/>
        </w:rPr>
      </w:pPr>
      <w:r>
        <w:rPr>
          <w:color w:val="FF0066"/>
        </w:rPr>
      </w:r>
    </w:p>
    <w:p>
      <w:pPr>
        <w:pStyle w:val="Style73"/>
        <w:rPr>
          <w:color w:val="FF0066"/>
        </w:rPr>
      </w:pPr>
      <w:r>
        <w:rPr>
          <w:color w:val="FF0066"/>
        </w:rPr>
      </w:r>
    </w:p>
    <w:p>
      <w:pPr>
        <w:pStyle w:val="Style73"/>
        <w:rPr>
          <w:color w:val="FF0066"/>
        </w:rPr>
      </w:pPr>
      <w:r>
        <w:rPr>
          <w:color w:val="FF0066"/>
        </w:rPr>
      </w:r>
    </w:p>
    <w:p>
      <w:pPr>
        <w:pStyle w:val="Style73"/>
        <w:rPr>
          <w:color w:val="FF0066"/>
        </w:rPr>
      </w:pPr>
      <w:r>
        <w:rPr>
          <w:color w:val="FF0066"/>
        </w:rPr>
      </w:r>
    </w:p>
    <w:p>
      <w:pPr>
        <w:pStyle w:val="Style73"/>
        <w:rPr>
          <w:color w:val="FF0066"/>
        </w:rPr>
      </w:pPr>
      <w:r>
        <w:rPr>
          <w:color w:val="FF0066"/>
        </w:rPr>
      </w:r>
    </w:p>
    <w:p>
      <w:pPr>
        <w:pStyle w:val="Style73"/>
        <w:rPr>
          <w:color w:val="FF0066"/>
        </w:rPr>
      </w:pPr>
      <w:r>
        <w:rPr>
          <w:color w:val="FF0066"/>
        </w:rPr>
      </w:r>
    </w:p>
    <w:p>
      <w:pPr>
        <w:pStyle w:val="Style73"/>
        <w:rPr>
          <w:color w:val="FF0066"/>
        </w:rPr>
      </w:pPr>
      <w:r>
        <w:rPr>
          <w:color w:val="FF0066"/>
        </w:rPr>
      </w:r>
    </w:p>
    <w:p>
      <w:pPr>
        <w:pStyle w:val="Style73"/>
        <w:rPr>
          <w:color w:val="FF0066"/>
        </w:rPr>
      </w:pPr>
      <w:r>
        <w:rPr>
          <w:color w:val="FF0066"/>
        </w:rPr>
      </w:r>
    </w:p>
    <w:p>
      <w:pPr>
        <w:pStyle w:val="Style73"/>
        <w:rPr>
          <w:color w:val="FF0066"/>
        </w:rPr>
      </w:pPr>
      <w:r>
        <w:rPr>
          <w:color w:val="FF0066"/>
        </w:rPr>
      </w:r>
    </w:p>
    <w:p>
      <w:pPr>
        <w:pStyle w:val="Style73"/>
        <w:rPr>
          <w:color w:val="FF0066"/>
        </w:rPr>
      </w:pPr>
      <w:r>
        <w:rPr>
          <w:color w:val="FF0066"/>
        </w:rPr>
      </w:r>
    </w:p>
    <w:p>
      <w:pPr>
        <w:pStyle w:val="Style73"/>
        <w:rPr>
          <w:color w:val="FF0066"/>
        </w:rPr>
      </w:pPr>
      <w:r>
        <w:rPr>
          <w:color w:val="FF0066"/>
        </w:rPr>
      </w:r>
    </w:p>
    <w:p>
      <w:pPr>
        <w:pStyle w:val="Style73"/>
        <w:rPr>
          <w:color w:val="FF0066"/>
        </w:rPr>
      </w:pPr>
      <w:r>
        <w:rPr>
          <w:color w:val="FF0066"/>
        </w:rPr>
      </w:r>
    </w:p>
    <w:p>
      <w:pPr>
        <w:pStyle w:val="Style73"/>
        <w:rPr>
          <w:color w:val="FF0066"/>
        </w:rPr>
      </w:pPr>
      <w:r>
        <w:rPr>
          <w:color w:val="FF0066"/>
        </w:rPr>
      </w:r>
    </w:p>
    <w:p>
      <w:pPr>
        <w:pStyle w:val="Style73"/>
        <w:rPr>
          <w:color w:val="FF0066"/>
        </w:rPr>
      </w:pPr>
      <w:r>
        <w:rPr>
          <w:color w:val="FF0066"/>
        </w:rPr>
      </w:r>
    </w:p>
    <w:p>
      <w:pPr>
        <w:pStyle w:val="Style73"/>
        <w:rPr/>
      </w:pPr>
      <w:r>
        <w:rPr/>
        <w:t xml:space="preserve">ГЕНЕРАЛЬНЫЙ ПЛАН </w:t>
      </w:r>
    </w:p>
    <w:p>
      <w:pPr>
        <w:pStyle w:val="Style73"/>
        <w:rPr/>
      </w:pPr>
      <w:r>
        <w:rPr/>
        <w:t>ВАХИТОВСКОГО СЕЛЬСКОГО ПОСЕЛЕНИЯ</w:t>
      </w:r>
    </w:p>
    <w:p>
      <w:pPr>
        <w:pStyle w:val="Style73"/>
        <w:rPr/>
      </w:pPr>
      <w:r>
        <w:rPr/>
        <w:t xml:space="preserve">ВЕРХНЕУСЛОНСКОГО МУНИЦИПАЛЬНОГО РАЙОНА </w:t>
      </w:r>
    </w:p>
    <w:p>
      <w:pPr>
        <w:pStyle w:val="Style73"/>
        <w:rPr/>
      </w:pPr>
      <w:r>
        <w:rPr/>
        <w:t>РЕСПУБЛИКИ ТАТАРСТАН</w:t>
      </w:r>
    </w:p>
    <w:p>
      <w:pPr>
        <w:pStyle w:val="Style38"/>
        <w:rPr>
          <w:b/>
          <w:sz w:val="32"/>
        </w:rPr>
      </w:pPr>
      <w:r>
        <w:rPr>
          <w:b/>
          <w:sz w:val="32"/>
        </w:rPr>
        <w:t xml:space="preserve">                              </w:t>
      </w:r>
      <w:r>
        <w:rPr>
          <w:b/>
          <w:sz w:val="32"/>
        </w:rPr>
        <w:t>(внесение изменений)</w:t>
      </w:r>
    </w:p>
    <w:p>
      <w:pPr>
        <w:pStyle w:val="Style73"/>
        <w:rPr>
          <w:b w:val="false"/>
          <w:color w:val="FF0066"/>
          <w:sz w:val="32"/>
        </w:rPr>
      </w:pPr>
      <w:r>
        <w:rPr>
          <w:b w:val="false"/>
          <w:color w:val="FF0066"/>
          <w:sz w:val="32"/>
        </w:rPr>
      </w:r>
    </w:p>
    <w:p>
      <w:pPr>
        <w:pStyle w:val="Style80"/>
        <w:spacing w:before="0" w:after="0"/>
        <w:jc w:val="center"/>
        <w:rPr>
          <w:rFonts w:ascii="Times New Roman" w:hAnsi="Times New Roman" w:cs="Times New Roman"/>
          <w:b/>
          <w:sz w:val="28"/>
          <w:szCs w:val="28"/>
        </w:rPr>
      </w:pPr>
      <w:r>
        <w:rPr>
          <w:rFonts w:cs="Times New Roman" w:ascii="Times New Roman" w:hAnsi="Times New Roman"/>
          <w:b/>
          <w:sz w:val="28"/>
          <w:szCs w:val="28"/>
        </w:rPr>
        <w:t>Материалы по обоснованию проекта генерального плана</w:t>
      </w:r>
    </w:p>
    <w:p>
      <w:pPr>
        <w:pStyle w:val="Style73"/>
        <w:rPr>
          <w:rFonts w:eastAsia="Calibri"/>
          <w:bCs w:val="false"/>
          <w:szCs w:val="28"/>
        </w:rPr>
      </w:pPr>
      <w:r>
        <w:rPr>
          <w:rFonts w:eastAsia="Calibri"/>
          <w:bCs w:val="false"/>
          <w:szCs w:val="28"/>
        </w:rPr>
        <w:t>Пояснительная записка</w:t>
      </w:r>
    </w:p>
    <w:p>
      <w:pPr>
        <w:pStyle w:val="Style73"/>
        <w:rPr>
          <w:rFonts w:eastAsia="Calibri"/>
          <w:bCs w:val="false"/>
          <w:sz w:val="32"/>
          <w:szCs w:val="28"/>
        </w:rPr>
      </w:pPr>
      <w:r>
        <w:rPr>
          <w:rFonts w:eastAsia="Calibri"/>
          <w:bCs w:val="false"/>
          <w:sz w:val="32"/>
          <w:szCs w:val="28"/>
        </w:rPr>
      </w:r>
    </w:p>
    <w:p>
      <w:pPr>
        <w:pStyle w:val="Style73"/>
        <w:rPr>
          <w:sz w:val="32"/>
        </w:rPr>
      </w:pPr>
      <w:r>
        <w:rPr>
          <w:sz w:val="32"/>
        </w:rPr>
      </w:r>
    </w:p>
    <w:p>
      <w:pPr>
        <w:pStyle w:val="Style73"/>
        <w:rPr>
          <w:sz w:val="32"/>
        </w:rPr>
      </w:pPr>
      <w:r>
        <w:rPr>
          <w:sz w:val="32"/>
        </w:rPr>
      </w:r>
    </w:p>
    <w:p>
      <w:pPr>
        <w:pStyle w:val="Style73"/>
        <w:rPr>
          <w:sz w:val="32"/>
        </w:rPr>
      </w:pPr>
      <w:r>
        <w:rPr>
          <w:sz w:val="32"/>
        </w:rPr>
      </w:r>
    </w:p>
    <w:p>
      <w:pPr>
        <w:pStyle w:val="Style73"/>
        <w:rPr>
          <w:sz w:val="32"/>
        </w:rPr>
      </w:pPr>
      <w:r>
        <w:rPr>
          <w:sz w:val="32"/>
        </w:rPr>
      </w:r>
    </w:p>
    <w:p>
      <w:pPr>
        <w:pStyle w:val="Style73"/>
        <w:rPr>
          <w:sz w:val="32"/>
        </w:rPr>
      </w:pPr>
      <w:r>
        <w:rPr>
          <w:sz w:val="32"/>
        </w:rPr>
      </w:r>
    </w:p>
    <w:p>
      <w:pPr>
        <w:pStyle w:val="Style73"/>
        <w:rPr>
          <w:sz w:val="32"/>
        </w:rPr>
      </w:pPr>
      <w:r>
        <w:rPr>
          <w:sz w:val="32"/>
        </w:rPr>
      </w:r>
    </w:p>
    <w:p>
      <w:pPr>
        <w:pStyle w:val="Style73"/>
        <w:rPr>
          <w:sz w:val="32"/>
        </w:rPr>
      </w:pPr>
      <w:r>
        <w:rPr>
          <w:sz w:val="32"/>
        </w:rPr>
      </w:r>
    </w:p>
    <w:p>
      <w:pPr>
        <w:pStyle w:val="Style73"/>
        <w:rPr>
          <w:sz w:val="32"/>
        </w:rPr>
      </w:pPr>
      <w:r>
        <w:rPr>
          <w:sz w:val="32"/>
        </w:rPr>
      </w:r>
    </w:p>
    <w:p>
      <w:pPr>
        <w:pStyle w:val="Style73"/>
        <w:rPr>
          <w:sz w:val="32"/>
        </w:rPr>
      </w:pPr>
      <w:r>
        <w:rPr>
          <w:sz w:val="32"/>
        </w:rPr>
      </w:r>
    </w:p>
    <w:p>
      <w:pPr>
        <w:pStyle w:val="Style73"/>
        <w:rPr>
          <w:sz w:val="32"/>
        </w:rPr>
      </w:pPr>
      <w:r>
        <w:rPr>
          <w:sz w:val="32"/>
        </w:rPr>
      </w:r>
    </w:p>
    <w:p>
      <w:pPr>
        <w:pStyle w:val="Style73"/>
        <w:rPr>
          <w:sz w:val="32"/>
        </w:rPr>
      </w:pPr>
      <w:r>
        <w:rPr>
          <w:sz w:val="32"/>
        </w:rPr>
      </w:r>
    </w:p>
    <w:p>
      <w:pPr>
        <w:pStyle w:val="Style73"/>
        <w:rPr>
          <w:sz w:val="32"/>
        </w:rPr>
      </w:pPr>
      <w:r>
        <w:rPr>
          <w:sz w:val="32"/>
        </w:rPr>
      </w:r>
    </w:p>
    <w:p>
      <w:pPr>
        <w:pStyle w:val="Style73"/>
        <w:rPr>
          <w:sz w:val="32"/>
        </w:rPr>
      </w:pPr>
      <w:r>
        <w:rPr>
          <w:sz w:val="32"/>
        </w:rPr>
      </w:r>
    </w:p>
    <w:p>
      <w:pPr>
        <w:pStyle w:val="Style73"/>
        <w:rPr>
          <w:sz w:val="32"/>
        </w:rPr>
      </w:pPr>
      <w:r>
        <w:rPr>
          <w:sz w:val="32"/>
        </w:rPr>
      </w:r>
    </w:p>
    <w:p>
      <w:pPr>
        <w:pStyle w:val="Style73"/>
        <w:rPr>
          <w:sz w:val="32"/>
        </w:rPr>
      </w:pPr>
      <w:r>
        <w:rPr>
          <w:sz w:val="32"/>
        </w:rPr>
      </w:r>
    </w:p>
    <w:p>
      <w:pPr>
        <w:pStyle w:val="Style73"/>
        <w:rPr/>
      </w:pPr>
      <w:r>
        <w:rPr/>
        <w:t xml:space="preserve">Казань 2024  </w:t>
      </w:r>
      <w:r>
        <w:br w:type="page"/>
      </w:r>
    </w:p>
    <w:p>
      <w:pPr>
        <w:pStyle w:val="Style73"/>
        <w:rPr>
          <w:color w:val="000000"/>
        </w:rPr>
      </w:pPr>
      <w:r>
        <w:rPr>
          <w:color w:val="000000"/>
        </w:rPr>
      </w:r>
    </w:p>
    <w:tbl>
      <w:tblPr>
        <w:tblW w:w="9911" w:type="dxa"/>
        <w:jc w:val="left"/>
        <w:tblInd w:w="-108" w:type="dxa"/>
        <w:tblLayout w:type="fixed"/>
        <w:tblCellMar>
          <w:top w:w="0" w:type="dxa"/>
          <w:left w:w="108" w:type="dxa"/>
          <w:bottom w:w="0" w:type="dxa"/>
          <w:right w:w="108" w:type="dxa"/>
        </w:tblCellMar>
      </w:tblPr>
      <w:tblGrid>
        <w:gridCol w:w="988"/>
        <w:gridCol w:w="6804"/>
        <w:gridCol w:w="2119"/>
      </w:tblGrid>
      <w:tr>
        <w:trPr/>
        <w:tc>
          <w:tcPr>
            <w:tcW w:w="9911" w:type="dxa"/>
            <w:gridSpan w:val="3"/>
            <w:tcBorders/>
          </w:tcPr>
          <w:p>
            <w:pPr>
              <w:pStyle w:val="Normal"/>
              <w:spacing w:lineRule="auto" w:line="228"/>
              <w:jc w:val="center"/>
              <w:rPr>
                <w:b/>
                <w:color w:val="000000"/>
                <w:szCs w:val="28"/>
              </w:rPr>
            </w:pPr>
            <w:r>
              <w:rPr>
                <w:b/>
                <w:color w:val="000000"/>
                <w:szCs w:val="28"/>
              </w:rPr>
              <w:t>СОСТАВ ПРОЕКТА</w:t>
            </w:r>
          </w:p>
        </w:tc>
      </w:tr>
      <w:tr>
        <w:trPr/>
        <w:tc>
          <w:tcPr>
            <w:tcW w:w="9911" w:type="dxa"/>
            <w:gridSpan w:val="3"/>
            <w:tcBorders/>
          </w:tcPr>
          <w:p>
            <w:pPr>
              <w:pStyle w:val="Style73"/>
              <w:rPr>
                <w:b w:val="false"/>
                <w:bCs w:val="false"/>
                <w:szCs w:val="28"/>
              </w:rPr>
            </w:pPr>
            <w:r>
              <w:rPr>
                <w:b w:val="false"/>
                <w:bCs w:val="false"/>
                <w:szCs w:val="28"/>
              </w:rPr>
              <w:t>Генерального плана Вахитовского сельского поселения</w:t>
            </w:r>
          </w:p>
          <w:p>
            <w:pPr>
              <w:pStyle w:val="Style73"/>
              <w:rPr>
                <w:b w:val="false"/>
                <w:bCs w:val="false"/>
                <w:szCs w:val="28"/>
              </w:rPr>
            </w:pPr>
            <w:r>
              <w:rPr>
                <w:b w:val="false"/>
                <w:bCs w:val="false"/>
                <w:szCs w:val="28"/>
              </w:rPr>
              <w:t xml:space="preserve">Верхнеуслонского муниципального района Республики Татарстан </w:t>
            </w:r>
          </w:p>
          <w:p>
            <w:pPr>
              <w:pStyle w:val="Style73"/>
              <w:rPr/>
            </w:pPr>
            <w:r>
              <w:rPr>
                <w:b w:val="false"/>
                <w:bCs w:val="false"/>
                <w:szCs w:val="28"/>
              </w:rPr>
              <w:t>(внесение изменений</w:t>
            </w:r>
            <w:r>
              <w:rPr>
                <w:b w:val="false"/>
              </w:rPr>
              <w:t>)</w:t>
            </w:r>
          </w:p>
        </w:tc>
      </w:tr>
      <w:tr>
        <w:trPr/>
        <w:tc>
          <w:tcPr>
            <w:tcW w:w="9911" w:type="dxa"/>
            <w:gridSpan w:val="3"/>
            <w:tcBorders>
              <w:bottom w:val="single" w:sz="4" w:space="0" w:color="000000"/>
            </w:tcBorders>
          </w:tcPr>
          <w:p>
            <w:pPr>
              <w:pStyle w:val="Normal"/>
              <w:snapToGrid w:val="false"/>
              <w:spacing w:lineRule="auto" w:line="228"/>
              <w:ind w:hanging="0"/>
              <w:jc w:val="center"/>
              <w:rPr>
                <w:b w:val="false"/>
                <w:color w:val="000000"/>
                <w:szCs w:val="28"/>
              </w:rPr>
            </w:pPr>
            <w:r>
              <w:rPr>
                <w:b w:val="false"/>
                <w:color w:val="000000"/>
                <w:szCs w:val="28"/>
              </w:rPr>
            </w:r>
          </w:p>
        </w:tc>
      </w:tr>
      <w:tr>
        <w:trPr/>
        <w:tc>
          <w:tcPr>
            <w:tcW w:w="988" w:type="dxa"/>
            <w:tcBorders>
              <w:top w:val="single" w:sz="4" w:space="0" w:color="000000"/>
              <w:left w:val="single" w:sz="4" w:space="0" w:color="000000"/>
              <w:bottom w:val="single" w:sz="4" w:space="0" w:color="000000"/>
              <w:right w:val="single" w:sz="4" w:space="0" w:color="000000"/>
            </w:tcBorders>
          </w:tcPr>
          <w:p>
            <w:pPr>
              <w:pStyle w:val="Normal"/>
              <w:spacing w:lineRule="auto" w:line="228"/>
              <w:ind w:hanging="0"/>
              <w:jc w:val="center"/>
              <w:rPr>
                <w:color w:val="000000"/>
                <w:szCs w:val="28"/>
              </w:rPr>
            </w:pPr>
            <w:r>
              <w:rPr>
                <w:color w:val="000000"/>
                <w:szCs w:val="28"/>
              </w:rPr>
              <w:t xml:space="preserve">№ </w:t>
            </w:r>
            <w:r>
              <w:rPr>
                <w:color w:val="000000"/>
                <w:szCs w:val="28"/>
              </w:rPr>
              <w:t>п/п</w:t>
            </w:r>
          </w:p>
        </w:tc>
        <w:tc>
          <w:tcPr>
            <w:tcW w:w="6804" w:type="dxa"/>
            <w:tcBorders>
              <w:top w:val="single" w:sz="4" w:space="0" w:color="000000"/>
              <w:left w:val="single" w:sz="4" w:space="0" w:color="000000"/>
              <w:bottom w:val="single" w:sz="4" w:space="0" w:color="000000"/>
              <w:right w:val="single" w:sz="4" w:space="0" w:color="000000"/>
            </w:tcBorders>
          </w:tcPr>
          <w:p>
            <w:pPr>
              <w:pStyle w:val="Normal"/>
              <w:spacing w:lineRule="auto" w:line="228"/>
              <w:ind w:hanging="0"/>
              <w:jc w:val="center"/>
              <w:rPr>
                <w:color w:val="000000"/>
                <w:szCs w:val="28"/>
              </w:rPr>
            </w:pPr>
            <w:r>
              <w:rPr>
                <w:color w:val="000000"/>
                <w:szCs w:val="28"/>
              </w:rPr>
              <w:t>Наименование</w:t>
            </w:r>
          </w:p>
        </w:tc>
        <w:tc>
          <w:tcPr>
            <w:tcW w:w="2119" w:type="dxa"/>
            <w:tcBorders>
              <w:top w:val="single" w:sz="4" w:space="0" w:color="000000"/>
              <w:left w:val="single" w:sz="4" w:space="0" w:color="000000"/>
              <w:bottom w:val="single" w:sz="4" w:space="0" w:color="000000"/>
              <w:right w:val="single" w:sz="4" w:space="0" w:color="000000"/>
            </w:tcBorders>
          </w:tcPr>
          <w:p>
            <w:pPr>
              <w:pStyle w:val="Normal"/>
              <w:spacing w:lineRule="auto" w:line="228"/>
              <w:ind w:hanging="0"/>
              <w:jc w:val="center"/>
              <w:rPr>
                <w:color w:val="000000"/>
                <w:szCs w:val="28"/>
              </w:rPr>
            </w:pPr>
            <w:r>
              <w:rPr>
                <w:color w:val="000000"/>
                <w:szCs w:val="28"/>
              </w:rPr>
              <w:t xml:space="preserve">№ </w:t>
            </w:r>
            <w:r>
              <w:rPr>
                <w:color w:val="000000"/>
                <w:szCs w:val="28"/>
              </w:rPr>
              <w:t>листа/листов</w:t>
            </w:r>
          </w:p>
        </w:tc>
      </w:tr>
      <w:tr>
        <w:trPr/>
        <w:tc>
          <w:tcPr>
            <w:tcW w:w="9911" w:type="dxa"/>
            <w:gridSpan w:val="3"/>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28" w:before="0" w:after="0"/>
              <w:ind w:hanging="0"/>
              <w:contextualSpacing/>
              <w:rPr>
                <w:b/>
                <w:color w:val="000000"/>
                <w:szCs w:val="28"/>
              </w:rPr>
            </w:pPr>
            <w:r>
              <w:rPr>
                <w:b/>
                <w:color w:val="000000"/>
                <w:szCs w:val="28"/>
              </w:rPr>
            </w:r>
          </w:p>
        </w:tc>
      </w:tr>
      <w:tr>
        <w:trPr/>
        <w:tc>
          <w:tcPr>
            <w:tcW w:w="9911" w:type="dxa"/>
            <w:gridSpan w:val="3"/>
            <w:tcBorders>
              <w:top w:val="single" w:sz="4" w:space="0" w:color="000000"/>
              <w:left w:val="single" w:sz="4" w:space="0" w:color="000000"/>
              <w:bottom w:val="single" w:sz="4" w:space="0" w:color="000000"/>
              <w:right w:val="single" w:sz="4" w:space="0" w:color="000000"/>
            </w:tcBorders>
          </w:tcPr>
          <w:p>
            <w:pPr>
              <w:pStyle w:val="Normal"/>
              <w:spacing w:lineRule="auto" w:line="228" w:before="0" w:after="0"/>
              <w:ind w:hanging="0"/>
              <w:contextualSpacing/>
              <w:rPr>
                <w:b/>
                <w:color w:val="000000"/>
                <w:szCs w:val="28"/>
              </w:rPr>
            </w:pPr>
            <w:r>
              <w:rPr>
                <w:b/>
                <w:color w:val="000000"/>
                <w:szCs w:val="28"/>
              </w:rPr>
              <w:t>Том 1 Генеральный план</w:t>
            </w:r>
          </w:p>
        </w:tc>
      </w:tr>
      <w:tr>
        <w:trPr/>
        <w:tc>
          <w:tcPr>
            <w:tcW w:w="9911" w:type="dxa"/>
            <w:gridSpan w:val="3"/>
            <w:tcBorders>
              <w:top w:val="single" w:sz="4" w:space="0" w:color="000000"/>
              <w:left w:val="single" w:sz="4" w:space="0" w:color="000000"/>
              <w:bottom w:val="single" w:sz="4" w:space="0" w:color="000000"/>
              <w:right w:val="single" w:sz="4" w:space="0" w:color="000000"/>
            </w:tcBorders>
          </w:tcPr>
          <w:p>
            <w:pPr>
              <w:pStyle w:val="Normal"/>
              <w:spacing w:lineRule="auto" w:line="228"/>
              <w:ind w:hanging="0"/>
              <w:jc w:val="left"/>
              <w:rPr>
                <w:color w:val="000000"/>
                <w:szCs w:val="28"/>
              </w:rPr>
            </w:pPr>
            <w:r>
              <w:rPr>
                <w:color w:val="000000"/>
                <w:szCs w:val="28"/>
              </w:rPr>
              <w:t xml:space="preserve">              </w:t>
            </w:r>
            <w:r>
              <w:rPr>
                <w:color w:val="000000"/>
                <w:szCs w:val="28"/>
              </w:rPr>
              <w:t>Текстовые материалы</w:t>
            </w:r>
          </w:p>
        </w:tc>
      </w:tr>
      <w:tr>
        <w:trPr/>
        <w:tc>
          <w:tcPr>
            <w:tcW w:w="988" w:type="dxa"/>
            <w:tcBorders>
              <w:top w:val="single" w:sz="4" w:space="0" w:color="000000"/>
              <w:left w:val="single" w:sz="4" w:space="0" w:color="000000"/>
              <w:bottom w:val="single" w:sz="4" w:space="0" w:color="000000"/>
              <w:right w:val="single" w:sz="4" w:space="0" w:color="000000"/>
            </w:tcBorders>
          </w:tcPr>
          <w:p>
            <w:pPr>
              <w:pStyle w:val="Normal"/>
              <w:ind w:hanging="0"/>
              <w:jc w:val="center"/>
              <w:rPr>
                <w:color w:val="000000"/>
                <w:szCs w:val="28"/>
              </w:rPr>
            </w:pPr>
            <w:r>
              <w:rPr>
                <w:color w:val="000000"/>
                <w:szCs w:val="28"/>
              </w:rPr>
              <w:t>1</w:t>
            </w:r>
          </w:p>
        </w:tc>
        <w:tc>
          <w:tcPr>
            <w:tcW w:w="6804" w:type="dxa"/>
            <w:tcBorders>
              <w:top w:val="single" w:sz="4" w:space="0" w:color="000000"/>
              <w:left w:val="single" w:sz="4" w:space="0" w:color="000000"/>
              <w:bottom w:val="single" w:sz="4" w:space="0" w:color="000000"/>
              <w:right w:val="single" w:sz="4" w:space="0" w:color="000000"/>
            </w:tcBorders>
          </w:tcPr>
          <w:p>
            <w:pPr>
              <w:pStyle w:val="Normal"/>
              <w:ind w:hanging="0"/>
              <w:jc w:val="left"/>
              <w:rPr>
                <w:color w:val="000000"/>
                <w:szCs w:val="28"/>
              </w:rPr>
            </w:pPr>
            <w:r>
              <w:rPr>
                <w:color w:val="000000"/>
                <w:szCs w:val="28"/>
              </w:rPr>
              <w:t>Положение о территориальном планировании</w:t>
            </w:r>
          </w:p>
        </w:tc>
        <w:tc>
          <w:tcPr>
            <w:tcW w:w="2119" w:type="dxa"/>
            <w:tcBorders>
              <w:top w:val="single" w:sz="4" w:space="0" w:color="000000"/>
              <w:left w:val="single" w:sz="4" w:space="0" w:color="000000"/>
              <w:bottom w:val="single" w:sz="4" w:space="0" w:color="000000"/>
              <w:right w:val="single" w:sz="4" w:space="0" w:color="000000"/>
            </w:tcBorders>
          </w:tcPr>
          <w:p>
            <w:pPr>
              <w:pStyle w:val="Normal"/>
              <w:ind w:hanging="0"/>
              <w:jc w:val="center"/>
              <w:rPr/>
            </w:pPr>
            <w:r>
              <w:rPr>
                <w:color w:val="000000"/>
                <w:szCs w:val="28"/>
              </w:rPr>
              <w:t>42</w:t>
            </w:r>
          </w:p>
        </w:tc>
      </w:tr>
      <w:tr>
        <w:trPr/>
        <w:tc>
          <w:tcPr>
            <w:tcW w:w="9911" w:type="dxa"/>
            <w:gridSpan w:val="3"/>
            <w:tcBorders>
              <w:top w:val="single" w:sz="4" w:space="0" w:color="000000"/>
              <w:left w:val="single" w:sz="4" w:space="0" w:color="000000"/>
              <w:bottom w:val="single" w:sz="4" w:space="0" w:color="000000"/>
              <w:right w:val="single" w:sz="4" w:space="0" w:color="000000"/>
            </w:tcBorders>
          </w:tcPr>
          <w:p>
            <w:pPr>
              <w:pStyle w:val="Normal"/>
              <w:ind w:hanging="0"/>
              <w:jc w:val="left"/>
              <w:rPr>
                <w:color w:val="000000"/>
                <w:szCs w:val="28"/>
              </w:rPr>
            </w:pPr>
            <w:r>
              <w:rPr>
                <w:color w:val="000000"/>
                <w:szCs w:val="28"/>
              </w:rPr>
              <w:t xml:space="preserve">              </w:t>
            </w:r>
            <w:r>
              <w:rPr>
                <w:color w:val="000000"/>
                <w:szCs w:val="28"/>
              </w:rPr>
              <w:t>Графические материалы</w:t>
            </w:r>
          </w:p>
        </w:tc>
      </w:tr>
      <w:tr>
        <w:trPr/>
        <w:tc>
          <w:tcPr>
            <w:tcW w:w="988" w:type="dxa"/>
            <w:tcBorders>
              <w:top w:val="single" w:sz="4" w:space="0" w:color="000000"/>
              <w:left w:val="single" w:sz="4" w:space="0" w:color="000000"/>
              <w:bottom w:val="single" w:sz="4" w:space="0" w:color="000000"/>
              <w:right w:val="single" w:sz="4" w:space="0" w:color="000000"/>
            </w:tcBorders>
          </w:tcPr>
          <w:p>
            <w:pPr>
              <w:pStyle w:val="Normal"/>
              <w:ind w:hanging="0"/>
              <w:jc w:val="center"/>
              <w:rPr>
                <w:color w:val="000000"/>
                <w:szCs w:val="28"/>
              </w:rPr>
            </w:pPr>
            <w:r>
              <w:rPr>
                <w:color w:val="000000"/>
                <w:szCs w:val="28"/>
              </w:rPr>
              <w:t>2</w:t>
            </w:r>
          </w:p>
        </w:tc>
        <w:tc>
          <w:tcPr>
            <w:tcW w:w="6804" w:type="dxa"/>
            <w:tcBorders>
              <w:top w:val="single" w:sz="4" w:space="0" w:color="000000"/>
              <w:left w:val="single" w:sz="4" w:space="0" w:color="000000"/>
              <w:bottom w:val="single" w:sz="4" w:space="0" w:color="000000"/>
              <w:right w:val="single" w:sz="4" w:space="0" w:color="000000"/>
            </w:tcBorders>
          </w:tcPr>
          <w:p>
            <w:pPr>
              <w:pStyle w:val="Normal"/>
              <w:ind w:hanging="0"/>
              <w:jc w:val="left"/>
              <w:rPr/>
            </w:pPr>
            <w:r>
              <w:rPr>
                <w:color w:val="000000"/>
                <w:szCs w:val="28"/>
              </w:rPr>
              <w:t>Карта планируемого размещения объектов местного значения М1:10000</w:t>
            </w:r>
          </w:p>
        </w:tc>
        <w:tc>
          <w:tcPr>
            <w:tcW w:w="2119" w:type="dxa"/>
            <w:tcBorders>
              <w:top w:val="single" w:sz="4" w:space="0" w:color="000000"/>
              <w:left w:val="single" w:sz="4" w:space="0" w:color="000000"/>
              <w:bottom w:val="single" w:sz="4" w:space="0" w:color="000000"/>
              <w:right w:val="single" w:sz="4" w:space="0" w:color="000000"/>
            </w:tcBorders>
          </w:tcPr>
          <w:p>
            <w:pPr>
              <w:pStyle w:val="Normal"/>
              <w:ind w:hanging="0"/>
              <w:jc w:val="center"/>
              <w:rPr>
                <w:color w:val="000000"/>
                <w:szCs w:val="28"/>
              </w:rPr>
            </w:pPr>
            <w:r>
              <w:rPr>
                <w:color w:val="000000"/>
                <w:szCs w:val="28"/>
              </w:rPr>
              <w:t>1/1</w:t>
            </w:r>
          </w:p>
        </w:tc>
      </w:tr>
      <w:tr>
        <w:trPr/>
        <w:tc>
          <w:tcPr>
            <w:tcW w:w="988" w:type="dxa"/>
            <w:tcBorders>
              <w:top w:val="single" w:sz="4" w:space="0" w:color="000000"/>
              <w:left w:val="single" w:sz="4" w:space="0" w:color="000000"/>
              <w:bottom w:val="single" w:sz="4" w:space="0" w:color="000000"/>
              <w:right w:val="single" w:sz="4" w:space="0" w:color="000000"/>
            </w:tcBorders>
          </w:tcPr>
          <w:p>
            <w:pPr>
              <w:pStyle w:val="Normal"/>
              <w:ind w:hanging="0"/>
              <w:jc w:val="center"/>
              <w:rPr>
                <w:color w:val="000000"/>
                <w:szCs w:val="28"/>
              </w:rPr>
            </w:pPr>
            <w:r>
              <w:rPr>
                <w:color w:val="000000"/>
                <w:szCs w:val="28"/>
              </w:rPr>
              <w:t>3</w:t>
            </w:r>
          </w:p>
        </w:tc>
        <w:tc>
          <w:tcPr>
            <w:tcW w:w="6804" w:type="dxa"/>
            <w:tcBorders>
              <w:top w:val="single" w:sz="4" w:space="0" w:color="000000"/>
              <w:left w:val="single" w:sz="4" w:space="0" w:color="000000"/>
              <w:bottom w:val="single" w:sz="4" w:space="0" w:color="000000"/>
              <w:right w:val="single" w:sz="4" w:space="0" w:color="000000"/>
            </w:tcBorders>
          </w:tcPr>
          <w:p>
            <w:pPr>
              <w:pStyle w:val="Normal"/>
              <w:ind w:hanging="0"/>
              <w:jc w:val="left"/>
              <w:rPr>
                <w:color w:val="000000"/>
                <w:szCs w:val="28"/>
              </w:rPr>
            </w:pPr>
            <w:r>
              <w:rPr>
                <w:color w:val="000000"/>
                <w:szCs w:val="28"/>
              </w:rPr>
              <w:t>Карта границ населенных пунктов (в том числе границ образуемых населенных пунктов) М1:10000</w:t>
            </w:r>
          </w:p>
        </w:tc>
        <w:tc>
          <w:tcPr>
            <w:tcW w:w="2119" w:type="dxa"/>
            <w:tcBorders>
              <w:top w:val="single" w:sz="4" w:space="0" w:color="000000"/>
              <w:left w:val="single" w:sz="4" w:space="0" w:color="000000"/>
              <w:bottom w:val="single" w:sz="4" w:space="0" w:color="000000"/>
              <w:right w:val="single" w:sz="4" w:space="0" w:color="000000"/>
            </w:tcBorders>
          </w:tcPr>
          <w:p>
            <w:pPr>
              <w:pStyle w:val="Normal"/>
              <w:ind w:hanging="0"/>
              <w:jc w:val="center"/>
              <w:rPr>
                <w:color w:val="000000"/>
                <w:szCs w:val="28"/>
              </w:rPr>
            </w:pPr>
            <w:r>
              <w:rPr>
                <w:color w:val="000000"/>
                <w:szCs w:val="28"/>
              </w:rPr>
              <w:t>2/1</w:t>
            </w:r>
          </w:p>
        </w:tc>
      </w:tr>
      <w:tr>
        <w:trPr/>
        <w:tc>
          <w:tcPr>
            <w:tcW w:w="988" w:type="dxa"/>
            <w:tcBorders>
              <w:top w:val="single" w:sz="4" w:space="0" w:color="000000"/>
              <w:left w:val="single" w:sz="4" w:space="0" w:color="000000"/>
              <w:bottom w:val="single" w:sz="4" w:space="0" w:color="000000"/>
              <w:right w:val="single" w:sz="4" w:space="0" w:color="000000"/>
            </w:tcBorders>
          </w:tcPr>
          <w:p>
            <w:pPr>
              <w:pStyle w:val="Normal"/>
              <w:ind w:hanging="0"/>
              <w:jc w:val="center"/>
              <w:rPr>
                <w:color w:val="000000"/>
                <w:szCs w:val="28"/>
              </w:rPr>
            </w:pPr>
            <w:r>
              <w:rPr>
                <w:color w:val="000000"/>
                <w:szCs w:val="28"/>
              </w:rPr>
              <w:t>4</w:t>
            </w:r>
          </w:p>
        </w:tc>
        <w:tc>
          <w:tcPr>
            <w:tcW w:w="6804" w:type="dxa"/>
            <w:tcBorders>
              <w:top w:val="single" w:sz="4" w:space="0" w:color="000000"/>
              <w:left w:val="single" w:sz="4" w:space="0" w:color="000000"/>
              <w:bottom w:val="single" w:sz="4" w:space="0" w:color="000000"/>
              <w:right w:val="single" w:sz="4" w:space="0" w:color="000000"/>
            </w:tcBorders>
          </w:tcPr>
          <w:p>
            <w:pPr>
              <w:pStyle w:val="Normal"/>
              <w:ind w:hanging="0"/>
              <w:jc w:val="left"/>
              <w:rPr>
                <w:color w:val="000000"/>
                <w:szCs w:val="28"/>
              </w:rPr>
            </w:pPr>
            <w:r>
              <w:rPr>
                <w:color w:val="000000"/>
                <w:szCs w:val="28"/>
              </w:rPr>
              <w:t>Карта функциональных зон М1:10000</w:t>
            </w:r>
          </w:p>
        </w:tc>
        <w:tc>
          <w:tcPr>
            <w:tcW w:w="2119" w:type="dxa"/>
            <w:tcBorders>
              <w:top w:val="single" w:sz="4" w:space="0" w:color="000000"/>
              <w:left w:val="single" w:sz="4" w:space="0" w:color="000000"/>
              <w:bottom w:val="single" w:sz="4" w:space="0" w:color="000000"/>
              <w:right w:val="single" w:sz="4" w:space="0" w:color="000000"/>
            </w:tcBorders>
          </w:tcPr>
          <w:p>
            <w:pPr>
              <w:pStyle w:val="Normal"/>
              <w:ind w:hanging="0"/>
              <w:jc w:val="center"/>
              <w:rPr>
                <w:color w:val="000000"/>
                <w:szCs w:val="28"/>
              </w:rPr>
            </w:pPr>
            <w:r>
              <w:rPr>
                <w:color w:val="000000"/>
                <w:szCs w:val="28"/>
              </w:rPr>
              <w:t>3/1</w:t>
            </w:r>
          </w:p>
        </w:tc>
      </w:tr>
      <w:tr>
        <w:trPr/>
        <w:tc>
          <w:tcPr>
            <w:tcW w:w="9911" w:type="dxa"/>
            <w:gridSpan w:val="3"/>
            <w:tcBorders>
              <w:top w:val="single" w:sz="4" w:space="0" w:color="000000"/>
              <w:left w:val="single" w:sz="4" w:space="0" w:color="000000"/>
              <w:bottom w:val="single" w:sz="4" w:space="0" w:color="000000"/>
              <w:right w:val="single" w:sz="4" w:space="0" w:color="000000"/>
            </w:tcBorders>
          </w:tcPr>
          <w:p>
            <w:pPr>
              <w:pStyle w:val="Normal"/>
              <w:ind w:hanging="0"/>
              <w:jc w:val="left"/>
              <w:rPr>
                <w:color w:val="000000"/>
                <w:szCs w:val="28"/>
              </w:rPr>
            </w:pPr>
            <w:r>
              <w:rPr>
                <w:color w:val="000000"/>
                <w:szCs w:val="28"/>
              </w:rPr>
              <w:t xml:space="preserve">              </w:t>
            </w:r>
            <w:r>
              <w:rPr>
                <w:color w:val="000000"/>
                <w:szCs w:val="28"/>
              </w:rPr>
              <w:t>Приложение</w:t>
            </w:r>
          </w:p>
        </w:tc>
      </w:tr>
      <w:tr>
        <w:trPr/>
        <w:tc>
          <w:tcPr>
            <w:tcW w:w="988" w:type="dxa"/>
            <w:tcBorders>
              <w:top w:val="single" w:sz="4" w:space="0" w:color="000000"/>
              <w:left w:val="single" w:sz="4" w:space="0" w:color="000000"/>
              <w:bottom w:val="single" w:sz="4" w:space="0" w:color="000000"/>
              <w:right w:val="single" w:sz="4" w:space="0" w:color="000000"/>
            </w:tcBorders>
          </w:tcPr>
          <w:p>
            <w:pPr>
              <w:pStyle w:val="Normal"/>
              <w:ind w:hanging="0"/>
              <w:jc w:val="center"/>
              <w:rPr>
                <w:color w:val="000000"/>
                <w:szCs w:val="28"/>
              </w:rPr>
            </w:pPr>
            <w:r>
              <w:rPr>
                <w:color w:val="000000"/>
                <w:szCs w:val="28"/>
              </w:rPr>
              <w:t>5</w:t>
            </w:r>
          </w:p>
        </w:tc>
        <w:tc>
          <w:tcPr>
            <w:tcW w:w="6804" w:type="dxa"/>
            <w:tcBorders>
              <w:top w:val="single" w:sz="4" w:space="0" w:color="000000"/>
              <w:left w:val="single" w:sz="4" w:space="0" w:color="000000"/>
              <w:bottom w:val="single" w:sz="4" w:space="0" w:color="000000"/>
              <w:right w:val="single" w:sz="4" w:space="0" w:color="000000"/>
            </w:tcBorders>
          </w:tcPr>
          <w:p>
            <w:pPr>
              <w:pStyle w:val="Normal"/>
              <w:ind w:hanging="0"/>
              <w:jc w:val="left"/>
              <w:rPr>
                <w:color w:val="000000"/>
                <w:szCs w:val="28"/>
              </w:rPr>
            </w:pPr>
            <w:r>
              <w:rPr>
                <w:color w:val="000000"/>
                <w:szCs w:val="28"/>
              </w:rPr>
              <w:t>Сведения о границах населенных пунктов</w:t>
            </w:r>
          </w:p>
        </w:tc>
        <w:tc>
          <w:tcPr>
            <w:tcW w:w="2119" w:type="dxa"/>
            <w:tcBorders>
              <w:top w:val="single" w:sz="4" w:space="0" w:color="000000"/>
              <w:left w:val="single" w:sz="4" w:space="0" w:color="000000"/>
              <w:bottom w:val="single" w:sz="4" w:space="0" w:color="000000"/>
              <w:right w:val="single" w:sz="4" w:space="0" w:color="000000"/>
            </w:tcBorders>
          </w:tcPr>
          <w:p>
            <w:pPr>
              <w:pStyle w:val="Normal"/>
              <w:ind w:hanging="0"/>
              <w:jc w:val="center"/>
              <w:rPr>
                <w:color w:val="000000"/>
                <w:szCs w:val="28"/>
              </w:rPr>
            </w:pPr>
            <w:r>
              <w:rPr>
                <w:color w:val="000000"/>
                <w:szCs w:val="28"/>
              </w:rPr>
              <w:t>55</w:t>
            </w:r>
          </w:p>
        </w:tc>
      </w:tr>
      <w:tr>
        <w:trPr/>
        <w:tc>
          <w:tcPr>
            <w:tcW w:w="9911" w:type="dxa"/>
            <w:gridSpan w:val="3"/>
            <w:tcBorders>
              <w:top w:val="single" w:sz="4" w:space="0" w:color="000000"/>
              <w:left w:val="single" w:sz="4" w:space="0" w:color="000000"/>
              <w:bottom w:val="single" w:sz="4" w:space="0" w:color="000000"/>
              <w:right w:val="single" w:sz="4" w:space="0" w:color="000000"/>
            </w:tcBorders>
          </w:tcPr>
          <w:p>
            <w:pPr>
              <w:pStyle w:val="Normal"/>
              <w:snapToGrid w:val="false"/>
              <w:spacing w:before="0" w:after="0"/>
              <w:ind w:hanging="0"/>
              <w:contextualSpacing/>
              <w:rPr>
                <w:b/>
                <w:color w:val="000000"/>
                <w:szCs w:val="28"/>
              </w:rPr>
            </w:pPr>
            <w:r>
              <w:rPr>
                <w:b/>
                <w:color w:val="000000"/>
                <w:szCs w:val="28"/>
              </w:rPr>
            </w:r>
          </w:p>
        </w:tc>
      </w:tr>
      <w:tr>
        <w:trPr/>
        <w:tc>
          <w:tcPr>
            <w:tcW w:w="9911" w:type="dxa"/>
            <w:gridSpan w:val="3"/>
            <w:tcBorders>
              <w:top w:val="single" w:sz="4" w:space="0" w:color="000000"/>
              <w:left w:val="single" w:sz="4" w:space="0" w:color="000000"/>
              <w:bottom w:val="single" w:sz="4" w:space="0" w:color="000000"/>
              <w:right w:val="single" w:sz="4" w:space="0" w:color="000000"/>
            </w:tcBorders>
          </w:tcPr>
          <w:p>
            <w:pPr>
              <w:pStyle w:val="Normal"/>
              <w:spacing w:before="0" w:after="0"/>
              <w:ind w:hanging="0"/>
              <w:contextualSpacing/>
              <w:rPr>
                <w:b/>
                <w:color w:val="000000"/>
                <w:szCs w:val="28"/>
              </w:rPr>
            </w:pPr>
            <w:r>
              <w:rPr>
                <w:b/>
                <w:color w:val="000000"/>
                <w:szCs w:val="28"/>
              </w:rPr>
              <w:t>Том 2 Материалы по обоснованию генерального плана</w:t>
            </w:r>
          </w:p>
        </w:tc>
      </w:tr>
      <w:tr>
        <w:trPr/>
        <w:tc>
          <w:tcPr>
            <w:tcW w:w="9911" w:type="dxa"/>
            <w:gridSpan w:val="3"/>
            <w:tcBorders>
              <w:top w:val="single" w:sz="4" w:space="0" w:color="000000"/>
              <w:left w:val="single" w:sz="4" w:space="0" w:color="000000"/>
              <w:bottom w:val="single" w:sz="4" w:space="0" w:color="000000"/>
              <w:right w:val="single" w:sz="4" w:space="0" w:color="000000"/>
            </w:tcBorders>
          </w:tcPr>
          <w:p>
            <w:pPr>
              <w:pStyle w:val="Normal"/>
              <w:ind w:hanging="0"/>
              <w:jc w:val="left"/>
              <w:rPr>
                <w:color w:val="000000"/>
                <w:szCs w:val="28"/>
              </w:rPr>
            </w:pPr>
            <w:r>
              <w:rPr>
                <w:color w:val="000000"/>
                <w:szCs w:val="28"/>
              </w:rPr>
              <w:t xml:space="preserve">              </w:t>
            </w:r>
            <w:r>
              <w:rPr>
                <w:color w:val="000000"/>
                <w:szCs w:val="28"/>
              </w:rPr>
              <w:t>Текстовые материалы</w:t>
            </w:r>
          </w:p>
        </w:tc>
      </w:tr>
      <w:tr>
        <w:trPr/>
        <w:tc>
          <w:tcPr>
            <w:tcW w:w="988" w:type="dxa"/>
            <w:tcBorders>
              <w:top w:val="single" w:sz="4" w:space="0" w:color="000000"/>
              <w:left w:val="single" w:sz="4" w:space="0" w:color="000000"/>
              <w:bottom w:val="single" w:sz="4" w:space="0" w:color="000000"/>
              <w:right w:val="single" w:sz="4" w:space="0" w:color="000000"/>
            </w:tcBorders>
          </w:tcPr>
          <w:p>
            <w:pPr>
              <w:pStyle w:val="Normal"/>
              <w:ind w:hanging="0"/>
              <w:jc w:val="center"/>
              <w:rPr>
                <w:color w:val="000000"/>
                <w:szCs w:val="28"/>
              </w:rPr>
            </w:pPr>
            <w:r>
              <w:rPr>
                <w:color w:val="000000"/>
                <w:szCs w:val="28"/>
              </w:rPr>
              <w:t>1</w:t>
            </w:r>
          </w:p>
        </w:tc>
        <w:tc>
          <w:tcPr>
            <w:tcW w:w="6804" w:type="dxa"/>
            <w:tcBorders>
              <w:top w:val="single" w:sz="4" w:space="0" w:color="000000"/>
              <w:left w:val="single" w:sz="4" w:space="0" w:color="000000"/>
              <w:bottom w:val="single" w:sz="4" w:space="0" w:color="000000"/>
              <w:right w:val="single" w:sz="4" w:space="0" w:color="000000"/>
            </w:tcBorders>
          </w:tcPr>
          <w:p>
            <w:pPr>
              <w:pStyle w:val="Normal"/>
              <w:ind w:hanging="0"/>
              <w:jc w:val="left"/>
              <w:rPr>
                <w:color w:val="000000"/>
                <w:szCs w:val="28"/>
              </w:rPr>
            </w:pPr>
            <w:r>
              <w:rPr>
                <w:color w:val="000000"/>
                <w:szCs w:val="28"/>
              </w:rPr>
              <w:t>Пояснительная записка</w:t>
            </w:r>
          </w:p>
        </w:tc>
        <w:tc>
          <w:tcPr>
            <w:tcW w:w="2119" w:type="dxa"/>
            <w:tcBorders>
              <w:top w:val="single" w:sz="4" w:space="0" w:color="000000"/>
              <w:left w:val="single" w:sz="4" w:space="0" w:color="000000"/>
              <w:bottom w:val="single" w:sz="4" w:space="0" w:color="000000"/>
              <w:right w:val="single" w:sz="4" w:space="0" w:color="000000"/>
            </w:tcBorders>
          </w:tcPr>
          <w:p>
            <w:pPr>
              <w:pStyle w:val="Normal"/>
              <w:ind w:hanging="0"/>
              <w:jc w:val="center"/>
              <w:rPr/>
            </w:pPr>
            <w:r>
              <w:rPr>
                <w:color w:val="000000"/>
                <w:szCs w:val="28"/>
              </w:rPr>
              <w:t>91</w:t>
            </w:r>
          </w:p>
        </w:tc>
      </w:tr>
      <w:tr>
        <w:trPr/>
        <w:tc>
          <w:tcPr>
            <w:tcW w:w="988" w:type="dxa"/>
            <w:tcBorders>
              <w:top w:val="single" w:sz="4" w:space="0" w:color="000000"/>
              <w:left w:val="single" w:sz="4" w:space="0" w:color="000000"/>
              <w:bottom w:val="single" w:sz="4" w:space="0" w:color="000000"/>
              <w:right w:val="single" w:sz="4" w:space="0" w:color="000000"/>
            </w:tcBorders>
          </w:tcPr>
          <w:p>
            <w:pPr>
              <w:pStyle w:val="Normal"/>
              <w:ind w:hanging="0"/>
              <w:jc w:val="center"/>
              <w:rPr>
                <w:color w:val="000000"/>
                <w:szCs w:val="28"/>
              </w:rPr>
            </w:pPr>
            <w:r>
              <w:rPr>
                <w:color w:val="000000"/>
                <w:szCs w:val="28"/>
              </w:rPr>
              <w:t>2</w:t>
            </w:r>
          </w:p>
        </w:tc>
        <w:tc>
          <w:tcPr>
            <w:tcW w:w="6804" w:type="dxa"/>
            <w:tcBorders>
              <w:top w:val="single" w:sz="4" w:space="0" w:color="000000"/>
              <w:left w:val="single" w:sz="4" w:space="0" w:color="000000"/>
              <w:bottom w:val="single" w:sz="4" w:space="0" w:color="000000"/>
              <w:right w:val="single" w:sz="4" w:space="0" w:color="000000"/>
            </w:tcBorders>
          </w:tcPr>
          <w:p>
            <w:pPr>
              <w:pStyle w:val="Normal"/>
              <w:ind w:hanging="0"/>
              <w:jc w:val="left"/>
              <w:rPr>
                <w:color w:val="000000"/>
                <w:szCs w:val="28"/>
              </w:rPr>
            </w:pPr>
            <w:r>
              <w:rPr>
                <w:color w:val="000000"/>
                <w:szCs w:val="28"/>
              </w:rPr>
              <w:t>Охрана окружающей среды. Пояснительная записка</w:t>
            </w:r>
          </w:p>
        </w:tc>
        <w:tc>
          <w:tcPr>
            <w:tcW w:w="2119" w:type="dxa"/>
            <w:tcBorders>
              <w:top w:val="single" w:sz="4" w:space="0" w:color="000000"/>
              <w:left w:val="single" w:sz="4" w:space="0" w:color="000000"/>
              <w:bottom w:val="single" w:sz="4" w:space="0" w:color="000000"/>
              <w:right w:val="single" w:sz="4" w:space="0" w:color="000000"/>
            </w:tcBorders>
          </w:tcPr>
          <w:p>
            <w:pPr>
              <w:pStyle w:val="Normal"/>
              <w:ind w:hanging="0"/>
              <w:jc w:val="center"/>
              <w:rPr/>
            </w:pPr>
            <w:r>
              <w:rPr>
                <w:color w:val="000000"/>
                <w:szCs w:val="28"/>
              </w:rPr>
              <w:t>153</w:t>
            </w:r>
          </w:p>
        </w:tc>
      </w:tr>
      <w:tr>
        <w:trPr/>
        <w:tc>
          <w:tcPr>
            <w:tcW w:w="9911" w:type="dxa"/>
            <w:gridSpan w:val="3"/>
            <w:tcBorders>
              <w:top w:val="single" w:sz="4" w:space="0" w:color="000000"/>
              <w:left w:val="single" w:sz="4" w:space="0" w:color="000000"/>
              <w:bottom w:val="single" w:sz="4" w:space="0" w:color="000000"/>
              <w:right w:val="single" w:sz="4" w:space="0" w:color="000000"/>
            </w:tcBorders>
          </w:tcPr>
          <w:p>
            <w:pPr>
              <w:pStyle w:val="Normal"/>
              <w:ind w:hanging="0"/>
              <w:jc w:val="left"/>
              <w:rPr>
                <w:color w:val="000000"/>
                <w:szCs w:val="28"/>
              </w:rPr>
            </w:pPr>
            <w:r>
              <w:rPr>
                <w:color w:val="000000"/>
                <w:szCs w:val="28"/>
              </w:rPr>
              <w:t xml:space="preserve">              </w:t>
            </w:r>
            <w:r>
              <w:rPr>
                <w:color w:val="000000"/>
                <w:szCs w:val="28"/>
              </w:rPr>
              <w:t>Графические материалы</w:t>
            </w:r>
          </w:p>
        </w:tc>
      </w:tr>
      <w:tr>
        <w:trPr/>
        <w:tc>
          <w:tcPr>
            <w:tcW w:w="988" w:type="dxa"/>
            <w:tcBorders>
              <w:top w:val="single" w:sz="4" w:space="0" w:color="000000"/>
              <w:left w:val="single" w:sz="4" w:space="0" w:color="000000"/>
              <w:bottom w:val="single" w:sz="4" w:space="0" w:color="000000"/>
              <w:right w:val="single" w:sz="4" w:space="0" w:color="000000"/>
            </w:tcBorders>
          </w:tcPr>
          <w:p>
            <w:pPr>
              <w:pStyle w:val="Normal"/>
              <w:ind w:hanging="0"/>
              <w:jc w:val="center"/>
              <w:rPr>
                <w:color w:val="000000"/>
                <w:szCs w:val="28"/>
              </w:rPr>
            </w:pPr>
            <w:r>
              <w:rPr>
                <w:color w:val="000000"/>
                <w:szCs w:val="28"/>
              </w:rPr>
              <w:t>3</w:t>
            </w:r>
          </w:p>
        </w:tc>
        <w:tc>
          <w:tcPr>
            <w:tcW w:w="6804" w:type="dxa"/>
            <w:tcBorders>
              <w:top w:val="single" w:sz="4" w:space="0" w:color="000000"/>
              <w:left w:val="single" w:sz="4" w:space="0" w:color="000000"/>
              <w:bottom w:val="single" w:sz="4" w:space="0" w:color="000000"/>
              <w:right w:val="single" w:sz="4" w:space="0" w:color="000000"/>
            </w:tcBorders>
          </w:tcPr>
          <w:p>
            <w:pPr>
              <w:pStyle w:val="Normal"/>
              <w:ind w:hanging="0"/>
              <w:jc w:val="left"/>
              <w:rPr>
                <w:color w:val="000000"/>
                <w:szCs w:val="28"/>
              </w:rPr>
            </w:pPr>
            <w:r>
              <w:rPr>
                <w:color w:val="000000"/>
                <w:szCs w:val="28"/>
              </w:rPr>
              <w:t>Карта современного использования территории М1:10000</w:t>
            </w:r>
          </w:p>
        </w:tc>
        <w:tc>
          <w:tcPr>
            <w:tcW w:w="2119" w:type="dxa"/>
            <w:tcBorders>
              <w:top w:val="single" w:sz="4" w:space="0" w:color="000000"/>
              <w:left w:val="single" w:sz="4" w:space="0" w:color="000000"/>
              <w:bottom w:val="single" w:sz="4" w:space="0" w:color="000000"/>
              <w:right w:val="single" w:sz="4" w:space="0" w:color="000000"/>
            </w:tcBorders>
          </w:tcPr>
          <w:p>
            <w:pPr>
              <w:pStyle w:val="Normal"/>
              <w:ind w:hanging="0"/>
              <w:jc w:val="center"/>
              <w:rPr>
                <w:color w:val="000000"/>
                <w:szCs w:val="28"/>
              </w:rPr>
            </w:pPr>
            <w:r>
              <w:rPr>
                <w:color w:val="000000"/>
                <w:szCs w:val="28"/>
              </w:rPr>
              <w:t>1/1</w:t>
            </w:r>
          </w:p>
        </w:tc>
      </w:tr>
      <w:tr>
        <w:trPr/>
        <w:tc>
          <w:tcPr>
            <w:tcW w:w="988" w:type="dxa"/>
            <w:tcBorders>
              <w:top w:val="single" w:sz="4" w:space="0" w:color="000000"/>
              <w:left w:val="single" w:sz="4" w:space="0" w:color="000000"/>
              <w:bottom w:val="single" w:sz="4" w:space="0" w:color="000000"/>
              <w:right w:val="single" w:sz="4" w:space="0" w:color="000000"/>
            </w:tcBorders>
          </w:tcPr>
          <w:p>
            <w:pPr>
              <w:pStyle w:val="Normal"/>
              <w:ind w:hanging="0"/>
              <w:jc w:val="center"/>
              <w:rPr>
                <w:color w:val="000000"/>
                <w:szCs w:val="28"/>
              </w:rPr>
            </w:pPr>
            <w:r>
              <w:rPr>
                <w:color w:val="000000"/>
                <w:szCs w:val="28"/>
              </w:rPr>
              <w:t>4</w:t>
            </w:r>
          </w:p>
        </w:tc>
        <w:tc>
          <w:tcPr>
            <w:tcW w:w="6804" w:type="dxa"/>
            <w:tcBorders>
              <w:top w:val="single" w:sz="4" w:space="0" w:color="000000"/>
              <w:left w:val="single" w:sz="4" w:space="0" w:color="000000"/>
              <w:bottom w:val="single" w:sz="4" w:space="0" w:color="000000"/>
              <w:right w:val="single" w:sz="4" w:space="0" w:color="000000"/>
            </w:tcBorders>
          </w:tcPr>
          <w:p>
            <w:pPr>
              <w:pStyle w:val="Normal"/>
              <w:ind w:hanging="0"/>
              <w:jc w:val="left"/>
              <w:rPr>
                <w:color w:val="000000"/>
                <w:szCs w:val="28"/>
              </w:rPr>
            </w:pPr>
            <w:r>
              <w:rPr>
                <w:color w:val="000000"/>
                <w:szCs w:val="28"/>
              </w:rPr>
              <w:t>Карта территорий, подверженных риску возникновения чрезвычайных ситуаций природного и техногенного характера, мероприятий по гражданской обороне М1:10000</w:t>
            </w:r>
          </w:p>
        </w:tc>
        <w:tc>
          <w:tcPr>
            <w:tcW w:w="2119" w:type="dxa"/>
            <w:tcBorders>
              <w:top w:val="single" w:sz="4" w:space="0" w:color="000000"/>
              <w:left w:val="single" w:sz="4" w:space="0" w:color="000000"/>
              <w:bottom w:val="single" w:sz="4" w:space="0" w:color="000000"/>
              <w:right w:val="single" w:sz="4" w:space="0" w:color="000000"/>
            </w:tcBorders>
          </w:tcPr>
          <w:p>
            <w:pPr>
              <w:pStyle w:val="Normal"/>
              <w:ind w:hanging="0"/>
              <w:jc w:val="center"/>
              <w:rPr>
                <w:color w:val="000000"/>
                <w:szCs w:val="28"/>
              </w:rPr>
            </w:pPr>
            <w:r>
              <w:rPr>
                <w:color w:val="000000"/>
                <w:szCs w:val="28"/>
              </w:rPr>
              <w:t>2/1</w:t>
            </w:r>
          </w:p>
        </w:tc>
      </w:tr>
      <w:tr>
        <w:trPr/>
        <w:tc>
          <w:tcPr>
            <w:tcW w:w="988" w:type="dxa"/>
            <w:tcBorders>
              <w:top w:val="single" w:sz="4" w:space="0" w:color="000000"/>
              <w:left w:val="single" w:sz="4" w:space="0" w:color="000000"/>
              <w:bottom w:val="single" w:sz="4" w:space="0" w:color="000000"/>
              <w:right w:val="single" w:sz="4" w:space="0" w:color="000000"/>
            </w:tcBorders>
          </w:tcPr>
          <w:p>
            <w:pPr>
              <w:pStyle w:val="Normal"/>
              <w:ind w:hanging="0"/>
              <w:jc w:val="center"/>
              <w:rPr>
                <w:color w:val="000000"/>
                <w:szCs w:val="28"/>
              </w:rPr>
            </w:pPr>
            <w:r>
              <w:rPr>
                <w:color w:val="000000"/>
                <w:szCs w:val="28"/>
              </w:rPr>
              <w:t>5</w:t>
            </w:r>
          </w:p>
        </w:tc>
        <w:tc>
          <w:tcPr>
            <w:tcW w:w="6804" w:type="dxa"/>
            <w:tcBorders>
              <w:top w:val="single" w:sz="4" w:space="0" w:color="000000"/>
              <w:left w:val="single" w:sz="4" w:space="0" w:color="000000"/>
              <w:bottom w:val="single" w:sz="4" w:space="0" w:color="000000"/>
              <w:right w:val="single" w:sz="4" w:space="0" w:color="000000"/>
            </w:tcBorders>
          </w:tcPr>
          <w:p>
            <w:pPr>
              <w:pStyle w:val="Normal"/>
              <w:ind w:hanging="0"/>
              <w:jc w:val="left"/>
              <w:rPr>
                <w:color w:val="000000"/>
                <w:szCs w:val="28"/>
              </w:rPr>
            </w:pPr>
            <w:r>
              <w:rPr>
                <w:color w:val="000000"/>
                <w:szCs w:val="28"/>
              </w:rPr>
              <w:t>Карта инженерной инфраструктуры М1:10000</w:t>
            </w:r>
          </w:p>
        </w:tc>
        <w:tc>
          <w:tcPr>
            <w:tcW w:w="2119" w:type="dxa"/>
            <w:tcBorders>
              <w:top w:val="single" w:sz="4" w:space="0" w:color="000000"/>
              <w:left w:val="single" w:sz="4" w:space="0" w:color="000000"/>
              <w:bottom w:val="single" w:sz="4" w:space="0" w:color="000000"/>
              <w:right w:val="single" w:sz="4" w:space="0" w:color="000000"/>
            </w:tcBorders>
          </w:tcPr>
          <w:p>
            <w:pPr>
              <w:pStyle w:val="Normal"/>
              <w:ind w:hanging="0"/>
              <w:jc w:val="center"/>
              <w:rPr>
                <w:color w:val="000000"/>
                <w:szCs w:val="28"/>
              </w:rPr>
            </w:pPr>
            <w:r>
              <w:rPr>
                <w:color w:val="000000"/>
                <w:szCs w:val="28"/>
              </w:rPr>
              <w:t>3/1</w:t>
            </w:r>
          </w:p>
        </w:tc>
      </w:tr>
      <w:tr>
        <w:trPr/>
        <w:tc>
          <w:tcPr>
            <w:tcW w:w="988" w:type="dxa"/>
            <w:tcBorders>
              <w:top w:val="single" w:sz="4" w:space="0" w:color="000000"/>
              <w:left w:val="single" w:sz="4" w:space="0" w:color="000000"/>
              <w:bottom w:val="single" w:sz="4" w:space="0" w:color="000000"/>
              <w:right w:val="single" w:sz="4" w:space="0" w:color="000000"/>
            </w:tcBorders>
          </w:tcPr>
          <w:p>
            <w:pPr>
              <w:pStyle w:val="Normal"/>
              <w:ind w:hanging="0"/>
              <w:jc w:val="center"/>
              <w:rPr>
                <w:color w:val="000000"/>
                <w:szCs w:val="28"/>
              </w:rPr>
            </w:pPr>
            <w:r>
              <w:rPr>
                <w:color w:val="000000"/>
                <w:szCs w:val="28"/>
              </w:rPr>
              <w:t>6</w:t>
            </w:r>
          </w:p>
        </w:tc>
        <w:tc>
          <w:tcPr>
            <w:tcW w:w="6804" w:type="dxa"/>
            <w:tcBorders>
              <w:top w:val="single" w:sz="4" w:space="0" w:color="000000"/>
              <w:left w:val="single" w:sz="4" w:space="0" w:color="000000"/>
              <w:bottom w:val="single" w:sz="4" w:space="0" w:color="000000"/>
              <w:right w:val="single" w:sz="4" w:space="0" w:color="000000"/>
            </w:tcBorders>
          </w:tcPr>
          <w:p>
            <w:pPr>
              <w:pStyle w:val="Normal"/>
              <w:ind w:hanging="0"/>
              <w:jc w:val="left"/>
              <w:rPr>
                <w:color w:val="000000"/>
                <w:szCs w:val="28"/>
              </w:rPr>
            </w:pPr>
            <w:r>
              <w:rPr>
                <w:color w:val="000000"/>
                <w:szCs w:val="28"/>
              </w:rPr>
              <w:t>Карта зон с особыми условиями использования территории (существующее положение) М1:10000</w:t>
            </w:r>
          </w:p>
        </w:tc>
        <w:tc>
          <w:tcPr>
            <w:tcW w:w="2119" w:type="dxa"/>
            <w:tcBorders>
              <w:top w:val="single" w:sz="4" w:space="0" w:color="000000"/>
              <w:left w:val="single" w:sz="4" w:space="0" w:color="000000"/>
              <w:bottom w:val="single" w:sz="4" w:space="0" w:color="000000"/>
              <w:right w:val="single" w:sz="4" w:space="0" w:color="000000"/>
            </w:tcBorders>
          </w:tcPr>
          <w:p>
            <w:pPr>
              <w:pStyle w:val="Normal"/>
              <w:ind w:hanging="0"/>
              <w:jc w:val="center"/>
              <w:rPr>
                <w:color w:val="000000"/>
                <w:szCs w:val="28"/>
              </w:rPr>
            </w:pPr>
            <w:r>
              <w:rPr>
                <w:color w:val="000000"/>
                <w:szCs w:val="28"/>
              </w:rPr>
              <w:t>4/1</w:t>
            </w:r>
          </w:p>
        </w:tc>
      </w:tr>
      <w:tr>
        <w:trPr/>
        <w:tc>
          <w:tcPr>
            <w:tcW w:w="988" w:type="dxa"/>
            <w:tcBorders>
              <w:top w:val="single" w:sz="4" w:space="0" w:color="000000"/>
              <w:left w:val="single" w:sz="4" w:space="0" w:color="000000"/>
              <w:bottom w:val="single" w:sz="4" w:space="0" w:color="000000"/>
              <w:right w:val="single" w:sz="4" w:space="0" w:color="000000"/>
            </w:tcBorders>
          </w:tcPr>
          <w:p>
            <w:pPr>
              <w:pStyle w:val="Normal"/>
              <w:ind w:hanging="0"/>
              <w:jc w:val="center"/>
              <w:rPr>
                <w:color w:val="000000"/>
                <w:szCs w:val="28"/>
              </w:rPr>
            </w:pPr>
            <w:r>
              <w:rPr>
                <w:color w:val="000000"/>
                <w:szCs w:val="28"/>
              </w:rPr>
              <w:t>7</w:t>
            </w:r>
          </w:p>
        </w:tc>
        <w:tc>
          <w:tcPr>
            <w:tcW w:w="6804" w:type="dxa"/>
            <w:tcBorders>
              <w:top w:val="single" w:sz="4" w:space="0" w:color="000000"/>
              <w:left w:val="single" w:sz="4" w:space="0" w:color="000000"/>
              <w:bottom w:val="single" w:sz="4" w:space="0" w:color="000000"/>
              <w:right w:val="single" w:sz="4" w:space="0" w:color="000000"/>
            </w:tcBorders>
          </w:tcPr>
          <w:p>
            <w:pPr>
              <w:pStyle w:val="Normal"/>
              <w:ind w:hanging="0"/>
              <w:jc w:val="left"/>
              <w:rPr>
                <w:color w:val="000000"/>
                <w:szCs w:val="28"/>
              </w:rPr>
            </w:pPr>
            <w:r>
              <w:rPr>
                <w:color w:val="000000"/>
                <w:szCs w:val="28"/>
              </w:rPr>
              <w:t>Карта зон с особыми условиями использования территории (проектное предложение) М1:10000</w:t>
            </w:r>
          </w:p>
        </w:tc>
        <w:tc>
          <w:tcPr>
            <w:tcW w:w="2119" w:type="dxa"/>
            <w:tcBorders>
              <w:top w:val="single" w:sz="4" w:space="0" w:color="000000"/>
              <w:left w:val="single" w:sz="4" w:space="0" w:color="000000"/>
              <w:bottom w:val="single" w:sz="4" w:space="0" w:color="000000"/>
              <w:right w:val="single" w:sz="4" w:space="0" w:color="000000"/>
            </w:tcBorders>
          </w:tcPr>
          <w:p>
            <w:pPr>
              <w:pStyle w:val="Normal"/>
              <w:ind w:hanging="0"/>
              <w:jc w:val="center"/>
              <w:rPr>
                <w:color w:val="000000"/>
                <w:szCs w:val="28"/>
              </w:rPr>
            </w:pPr>
            <w:r>
              <w:rPr>
                <w:color w:val="000000"/>
                <w:szCs w:val="28"/>
              </w:rPr>
              <w:t>5/1</w:t>
            </w:r>
          </w:p>
        </w:tc>
      </w:tr>
    </w:tbl>
    <w:p>
      <w:pPr>
        <w:pStyle w:val="Normal"/>
        <w:ind w:hanging="0"/>
        <w:rPr>
          <w:bCs/>
          <w:caps/>
          <w:color w:val="FF0066"/>
          <w:sz w:val="24"/>
        </w:rPr>
      </w:pPr>
      <w:r>
        <w:rPr>
          <w:bCs/>
          <w:caps/>
          <w:color w:val="FF0066"/>
          <w:sz w:val="24"/>
        </w:rPr>
      </w:r>
    </w:p>
    <w:p>
      <w:pPr>
        <w:pStyle w:val="Normal"/>
        <w:rPr>
          <w:bCs/>
          <w:caps/>
          <w:color w:val="FF0066"/>
          <w:sz w:val="24"/>
          <w:lang w:val="ru-RU"/>
        </w:rPr>
      </w:pPr>
      <w:r>
        <w:rPr>
          <w:bCs/>
          <w:caps/>
          <w:color w:val="FF0066"/>
          <w:sz w:val="24"/>
          <w:lang w:val="ru-RU"/>
        </w:rPr>
      </w:r>
    </w:p>
    <w:p>
      <w:pPr>
        <w:pStyle w:val="Normal"/>
        <w:rPr>
          <w:color w:val="FF0066"/>
          <w:lang w:val="ru-RU"/>
        </w:rPr>
      </w:pPr>
      <w:r>
        <w:rPr>
          <w:color w:val="FF0066"/>
          <w:lang w:val="ru-RU"/>
        </w:rPr>
      </w:r>
    </w:p>
    <w:p>
      <w:pPr>
        <w:pStyle w:val="Normal"/>
        <w:rPr>
          <w:color w:val="FF0066"/>
          <w:lang w:val="ru-RU"/>
        </w:rPr>
      </w:pPr>
      <w:r>
        <w:rPr>
          <w:color w:val="FF0066"/>
          <w:lang w:val="ru-RU"/>
        </w:rPr>
      </w:r>
    </w:p>
    <w:p>
      <w:pPr>
        <w:pStyle w:val="Normal"/>
        <w:rPr>
          <w:color w:val="FF0066"/>
          <w:lang w:val="ru-RU"/>
        </w:rPr>
      </w:pPr>
      <w:r>
        <w:rPr>
          <w:color w:val="FF0066"/>
          <w:lang w:val="ru-RU"/>
        </w:rPr>
      </w:r>
    </w:p>
    <w:p>
      <w:pPr>
        <w:pStyle w:val="Normal"/>
        <w:rPr>
          <w:color w:val="FF0066"/>
          <w:lang w:val="ru-RU"/>
        </w:rPr>
      </w:pPr>
      <w:r>
        <w:rPr>
          <w:color w:val="FF0066"/>
          <w:lang w:val="ru-RU"/>
        </w:rPr>
      </w:r>
    </w:p>
    <w:p>
      <w:pPr>
        <w:pStyle w:val="Normal"/>
        <w:rPr>
          <w:color w:val="FF0066"/>
          <w:lang w:val="ru-RU"/>
        </w:rPr>
      </w:pPr>
      <w:r>
        <w:rPr>
          <w:color w:val="FF0066"/>
          <w:lang w:val="ru-RU"/>
        </w:rPr>
      </w:r>
    </w:p>
    <w:p>
      <w:pPr>
        <w:pStyle w:val="Normal"/>
        <w:rPr>
          <w:color w:val="FF0066"/>
          <w:lang w:val="ru-RU"/>
        </w:rPr>
      </w:pPr>
      <w:r>
        <w:rPr>
          <w:color w:val="FF0066"/>
          <w:lang w:val="ru-RU"/>
        </w:rPr>
      </w:r>
    </w:p>
    <w:p>
      <w:pPr>
        <w:pStyle w:val="Normal"/>
        <w:rPr>
          <w:color w:val="FF0066"/>
          <w:lang w:val="ru-RU"/>
        </w:rPr>
      </w:pPr>
      <w:r>
        <w:rPr>
          <w:color w:val="FF0066"/>
          <w:lang w:val="ru-RU"/>
        </w:rPr>
      </w:r>
    </w:p>
    <w:p>
      <w:pPr>
        <w:pStyle w:val="Normal"/>
        <w:rPr>
          <w:color w:val="FF0066"/>
          <w:lang w:val="ru-RU"/>
        </w:rPr>
      </w:pPr>
      <w:r>
        <w:rPr>
          <w:color w:val="FF0066"/>
          <w:lang w:val="ru-RU"/>
        </w:rPr>
      </w:r>
    </w:p>
    <w:p>
      <w:pPr>
        <w:pStyle w:val="Style73"/>
        <w:rPr>
          <w:color w:val="000000"/>
          <w:sz w:val="24"/>
          <w:szCs w:val="24"/>
        </w:rPr>
      </w:pPr>
      <w:r>
        <w:rPr>
          <w:color w:val="000000"/>
          <w:sz w:val="24"/>
          <w:szCs w:val="24"/>
        </w:rPr>
        <w:t>СОДЕРЖАНИЕ</w:t>
      </w:r>
    </w:p>
    <w:sdt>
      <w:sdtPr>
        <w:docPartObj>
          <w:docPartGallery w:val="Table of Contents"/>
          <w:docPartUnique w:val="true"/>
        </w:docPartObj>
      </w:sdtPr>
      <w:sdtContent>
        <w:p>
          <w:pPr>
            <w:pStyle w:val="17"/>
            <w:rPr/>
          </w:pPr>
          <w:r>
            <w:fldChar w:fldCharType="begin"/>
          </w:r>
          <w:r>
            <w:rPr>
              <w:sz w:val="24"/>
              <w:lang w:val="ru-RU" w:eastAsia="ru-RU"/>
            </w:rPr>
            <w:instrText xml:space="preserve"> TOC \o "2-3" \h \z \t "Заголовок 1;1;введение;1" </w:instrText>
          </w:r>
          <w:r>
            <w:rPr>
              <w:sz w:val="24"/>
              <w:lang w:val="ru-RU" w:eastAsia="ru-RU"/>
            </w:rPr>
            <w:fldChar w:fldCharType="separate"/>
          </w:r>
          <w:hyperlink w:anchor="__RefHeading___Toc156489411">
            <w:r>
              <w:rPr>
                <w:sz w:val="24"/>
                <w:lang w:val="ru-RU" w:eastAsia="ru-RU"/>
              </w:rPr>
              <w:t>1.</w:t>
            </w:r>
            <w:r>
              <w:rPr>
                <w:rFonts w:cs="Calibri" w:ascii="Calibri" w:hAnsi="Calibri"/>
                <w:b w:val="false"/>
                <w:sz w:val="24"/>
                <w:lang w:val="ru-RU" w:eastAsia="ru-RU"/>
              </w:rPr>
              <w:tab/>
            </w:r>
            <w:r>
              <w:rPr>
                <w:sz w:val="24"/>
                <w:lang w:val="ru-RU" w:eastAsia="ru-RU"/>
              </w:rPr>
              <w:t>ВВЕДЕНИ</w:t>
            </w:r>
            <w:r>
              <w:rPr>
                <w:sz w:val="24"/>
                <w:lang w:val="ru-RU" w:eastAsia="ru-RU"/>
              </w:rPr>
              <w:t>Е</w:t>
            </w:r>
            <w:r>
              <w:rPr>
                <w:sz w:val="24"/>
                <w:lang w:val="ru-RU" w:eastAsia="ru-RU"/>
              </w:rPr>
              <w:tab/>
              <w:t>5</w:t>
            </w:r>
          </w:hyperlink>
        </w:p>
        <w:p>
          <w:pPr>
            <w:pStyle w:val="17"/>
            <w:rPr/>
          </w:pPr>
          <w:hyperlink w:anchor="__RefHeading___Toc156489412">
            <w:r>
              <w:rPr>
                <w:sz w:val="24"/>
                <w:lang w:val="ru-RU" w:eastAsia="ru-RU"/>
              </w:rPr>
              <w:t>2.</w:t>
            </w:r>
            <w:r>
              <w:rPr>
                <w:rFonts w:cs="Calibri" w:ascii="Calibri" w:hAnsi="Calibri"/>
                <w:b w:val="false"/>
                <w:sz w:val="24"/>
                <w:lang w:val="ru-RU" w:eastAsia="ru-RU"/>
              </w:rPr>
              <w:tab/>
            </w:r>
            <w:r>
              <w:rPr>
                <w:sz w:val="24"/>
                <w:lang w:val="ru-RU" w:eastAsia="ru-RU"/>
              </w:rPr>
              <w:t>ЦЕЛИ И ЗАДАЧИ ГЕНЕРАЛЬНОГО ПЛАНА ВАХИТОВСКОГО СЕЛЬСКОГО ПОСЕЛЕНИЯ</w:t>
              <w:tab/>
              <w:t>8</w:t>
            </w:r>
          </w:hyperlink>
        </w:p>
        <w:p>
          <w:pPr>
            <w:pStyle w:val="17"/>
            <w:rPr/>
          </w:pPr>
          <w:hyperlink w:anchor="__RefHeading___Toc156489413">
            <w:r>
              <w:rPr>
                <w:sz w:val="24"/>
                <w:lang w:val="ru-RU" w:eastAsia="ru-RU"/>
              </w:rPr>
              <w:t>3.</w:t>
            </w:r>
            <w:r>
              <w:rPr>
                <w:rFonts w:cs="Calibri" w:ascii="Calibri" w:hAnsi="Calibri"/>
                <w:b w:val="false"/>
                <w:sz w:val="24"/>
                <w:lang w:val="ru-RU" w:eastAsia="ru-RU"/>
              </w:rPr>
              <w:tab/>
            </w:r>
            <w:r>
              <w:rPr>
                <w:sz w:val="24"/>
                <w:lang w:val="ru-RU" w:eastAsia="ru-RU"/>
              </w:rPr>
              <w:t>СОВРЕМЕННОЕ СОСТОЯНИЕ ВАХИТОВСКОГО СЕЛЬСКОГО ПОСЕЛЕНИЯ</w:t>
              <w:tab/>
              <w:t>10</w:t>
            </w:r>
          </w:hyperlink>
        </w:p>
        <w:p>
          <w:pPr>
            <w:pStyle w:val="28"/>
            <w:rPr/>
          </w:pPr>
          <w:hyperlink w:anchor="__RefHeading___Toc156489414">
            <w:r>
              <w:rPr>
                <w:sz w:val="24"/>
                <w:lang w:val="ru-RU" w:eastAsia="ru-RU"/>
              </w:rPr>
              <w:t>3.1.</w:t>
            </w:r>
            <w:r>
              <w:rPr>
                <w:rFonts w:cs="Calibri" w:ascii="Calibri" w:hAnsi="Calibri"/>
                <w:sz w:val="24"/>
                <w:lang w:val="ru-RU" w:eastAsia="ru-RU"/>
              </w:rPr>
              <w:tab/>
            </w:r>
            <w:r>
              <w:rPr>
                <w:sz w:val="24"/>
                <w:lang w:val="ru-RU" w:eastAsia="ru-RU"/>
              </w:rPr>
              <w:t>Экономико-географическое положение. Место Вахитовского сельского поселения в системе расселения Верхнеуслонского муниципального района</w:t>
            </w:r>
            <w:r>
              <w:rPr>
                <w:sz w:val="24"/>
                <w:lang w:val="ru-RU" w:eastAsia="ru-RU"/>
              </w:rPr>
              <w:t xml:space="preserve"> Республики Татарстан</w:t>
            </w:r>
            <w:r>
              <w:rPr>
                <w:sz w:val="24"/>
                <w:lang w:val="ru-RU" w:eastAsia="ru-RU"/>
              </w:rPr>
              <w:tab/>
              <w:t>10</w:t>
            </w:r>
          </w:hyperlink>
        </w:p>
        <w:p>
          <w:pPr>
            <w:pStyle w:val="28"/>
            <w:rPr/>
          </w:pPr>
          <w:hyperlink w:anchor="__RefHeading___Toc156489415">
            <w:r>
              <w:rPr>
                <w:sz w:val="24"/>
                <w:lang w:val="ru-RU" w:eastAsia="ru-RU"/>
              </w:rPr>
              <w:t>3.2.</w:t>
            </w:r>
            <w:r>
              <w:rPr>
                <w:rFonts w:cs="Calibri" w:ascii="Calibri" w:hAnsi="Calibri"/>
                <w:sz w:val="24"/>
                <w:lang w:val="ru-RU" w:eastAsia="ru-RU"/>
              </w:rPr>
              <w:tab/>
            </w:r>
            <w:r>
              <w:rPr>
                <w:sz w:val="24"/>
                <w:lang w:val="ru-RU" w:eastAsia="ru-RU"/>
              </w:rPr>
              <w:t>Характеристика земельного фонда</w:t>
              <w:tab/>
              <w:t>11</w:t>
            </w:r>
          </w:hyperlink>
        </w:p>
        <w:p>
          <w:pPr>
            <w:pStyle w:val="28"/>
            <w:rPr/>
          </w:pPr>
          <w:hyperlink w:anchor="__RefHeading___Toc156489416">
            <w:r>
              <w:rPr>
                <w:sz w:val="24"/>
                <w:lang w:val="ru-RU" w:eastAsia="ru-RU"/>
              </w:rPr>
              <w:t>3.3.</w:t>
            </w:r>
            <w:r>
              <w:rPr>
                <w:rFonts w:cs="Calibri" w:ascii="Calibri" w:hAnsi="Calibri"/>
                <w:sz w:val="24"/>
                <w:lang w:val="ru-RU" w:eastAsia="ru-RU"/>
              </w:rPr>
              <w:tab/>
            </w:r>
            <w:r>
              <w:rPr>
                <w:sz w:val="24"/>
                <w:lang w:val="ru-RU" w:eastAsia="ru-RU"/>
              </w:rPr>
              <w:t>Демографический потенциал</w:t>
              <w:tab/>
              <w:t>12</w:t>
            </w:r>
          </w:hyperlink>
        </w:p>
        <w:p>
          <w:pPr>
            <w:pStyle w:val="28"/>
            <w:rPr/>
          </w:pPr>
          <w:hyperlink w:anchor="__RefHeading___Toc156489417">
            <w:r>
              <w:rPr>
                <w:sz w:val="24"/>
                <w:lang w:val="ru-RU" w:eastAsia="ru-RU"/>
              </w:rPr>
              <w:t>3.4.</w:t>
            </w:r>
            <w:r>
              <w:rPr>
                <w:rFonts w:cs="Calibri" w:ascii="Calibri" w:hAnsi="Calibri"/>
                <w:sz w:val="24"/>
                <w:lang w:val="ru-RU" w:eastAsia="ru-RU"/>
              </w:rPr>
              <w:tab/>
            </w:r>
            <w:r>
              <w:rPr>
                <w:sz w:val="24"/>
                <w:lang w:val="ru-RU" w:eastAsia="ru-RU"/>
              </w:rPr>
              <w:t>Производственные территории</w:t>
              <w:tab/>
              <w:t>14</w:t>
            </w:r>
          </w:hyperlink>
        </w:p>
        <w:p>
          <w:pPr>
            <w:pStyle w:val="28"/>
            <w:rPr/>
          </w:pPr>
          <w:hyperlink w:anchor="__RefHeading___Toc156489418">
            <w:r>
              <w:rPr>
                <w:sz w:val="24"/>
                <w:lang w:val="ru-RU" w:eastAsia="ru-RU"/>
              </w:rPr>
              <w:t>3.5.</w:t>
            </w:r>
            <w:r>
              <w:rPr>
                <w:rFonts w:cs="Calibri" w:ascii="Calibri" w:hAnsi="Calibri"/>
                <w:sz w:val="24"/>
                <w:lang w:val="ru-RU" w:eastAsia="ru-RU"/>
              </w:rPr>
              <w:tab/>
            </w:r>
            <w:r>
              <w:rPr>
                <w:sz w:val="24"/>
                <w:lang w:val="ru-RU" w:eastAsia="ru-RU"/>
              </w:rPr>
              <w:t>Агропромышленный комплекс</w:t>
              <w:tab/>
              <w:t>14</w:t>
            </w:r>
          </w:hyperlink>
        </w:p>
        <w:p>
          <w:pPr>
            <w:pStyle w:val="28"/>
            <w:rPr/>
          </w:pPr>
          <w:hyperlink w:anchor="__RefHeading___Toc156489419">
            <w:r>
              <w:rPr>
                <w:sz w:val="24"/>
                <w:lang w:val="ru-RU" w:eastAsia="ru-RU"/>
              </w:rPr>
              <w:t>3.6.</w:t>
            </w:r>
            <w:r>
              <w:rPr>
                <w:rFonts w:cs="Calibri" w:ascii="Calibri" w:hAnsi="Calibri"/>
                <w:sz w:val="24"/>
                <w:lang w:val="ru-RU" w:eastAsia="ru-RU"/>
              </w:rPr>
              <w:tab/>
            </w:r>
            <w:r>
              <w:rPr>
                <w:sz w:val="24"/>
                <w:lang w:val="ru-RU" w:eastAsia="ru-RU"/>
              </w:rPr>
              <w:t>Лесной комплекс</w:t>
              <w:tab/>
              <w:t>14</w:t>
            </w:r>
          </w:hyperlink>
        </w:p>
        <w:p>
          <w:pPr>
            <w:pStyle w:val="28"/>
            <w:rPr/>
          </w:pPr>
          <w:hyperlink w:anchor="__RefHeading___Toc156489420">
            <w:r>
              <w:rPr>
                <w:sz w:val="24"/>
                <w:lang w:val="ru-RU" w:eastAsia="ru-RU"/>
              </w:rPr>
              <w:t>3.7.</w:t>
            </w:r>
            <w:r>
              <w:rPr>
                <w:rFonts w:cs="Calibri" w:ascii="Calibri" w:hAnsi="Calibri"/>
                <w:sz w:val="24"/>
                <w:lang w:val="ru-RU" w:eastAsia="ru-RU"/>
              </w:rPr>
              <w:tab/>
            </w:r>
            <w:r>
              <w:rPr>
                <w:sz w:val="24"/>
                <w:lang w:val="ru-RU" w:eastAsia="ru-RU"/>
              </w:rPr>
              <w:t>Жилищный фонд</w:t>
              <w:tab/>
              <w:t>15</w:t>
            </w:r>
          </w:hyperlink>
        </w:p>
        <w:p>
          <w:pPr>
            <w:pStyle w:val="28"/>
            <w:rPr/>
          </w:pPr>
          <w:hyperlink w:anchor="__RefHeading___Toc156489421">
            <w:r>
              <w:rPr>
                <w:sz w:val="24"/>
                <w:lang w:val="ru-RU" w:eastAsia="ru-RU"/>
              </w:rPr>
              <w:t>3.8.</w:t>
            </w:r>
            <w:r>
              <w:rPr>
                <w:rFonts w:cs="Calibri" w:ascii="Calibri" w:hAnsi="Calibri"/>
                <w:sz w:val="24"/>
                <w:lang w:val="ru-RU" w:eastAsia="ru-RU"/>
              </w:rPr>
              <w:tab/>
            </w:r>
            <w:r>
              <w:rPr>
                <w:sz w:val="24"/>
                <w:lang w:val="ru-RU" w:eastAsia="ru-RU"/>
              </w:rPr>
              <w:t>Объекты социального и культурно-бытового обслуживания населения</w:t>
              <w:tab/>
              <w:t>16</w:t>
            </w:r>
          </w:hyperlink>
        </w:p>
        <w:p>
          <w:pPr>
            <w:pStyle w:val="28"/>
            <w:rPr/>
          </w:pPr>
          <w:hyperlink w:anchor="__RefHeading___Toc156489422">
            <w:r>
              <w:rPr>
                <w:sz w:val="24"/>
                <w:lang w:val="ru-RU" w:eastAsia="ru-RU"/>
              </w:rPr>
              <w:t>3.9.</w:t>
            </w:r>
            <w:r>
              <w:rPr>
                <w:rFonts w:cs="Calibri" w:ascii="Calibri" w:hAnsi="Calibri"/>
                <w:sz w:val="24"/>
                <w:lang w:val="ru-RU" w:eastAsia="ru-RU"/>
              </w:rPr>
              <w:tab/>
            </w:r>
            <w:r>
              <w:rPr>
                <w:sz w:val="24"/>
                <w:lang w:val="ru-RU" w:eastAsia="ru-RU"/>
              </w:rPr>
              <w:t>Кладбища</w:t>
              <w:tab/>
              <w:t>19</w:t>
            </w:r>
          </w:hyperlink>
        </w:p>
        <w:p>
          <w:pPr>
            <w:pStyle w:val="28"/>
            <w:rPr/>
          </w:pPr>
          <w:hyperlink w:anchor="__RefHeading___Toc156489423">
            <w:r>
              <w:rPr>
                <w:sz w:val="24"/>
                <w:lang w:val="ru-RU" w:eastAsia="ru-RU"/>
              </w:rPr>
              <w:t>3.10.</w:t>
            </w:r>
            <w:r>
              <w:rPr>
                <w:rFonts w:cs="Calibri" w:ascii="Calibri" w:hAnsi="Calibri"/>
                <w:sz w:val="24"/>
                <w:lang w:val="ru-RU" w:eastAsia="ru-RU"/>
              </w:rPr>
              <w:tab/>
            </w:r>
            <w:r>
              <w:rPr>
                <w:sz w:val="24"/>
                <w:lang w:val="ru-RU" w:eastAsia="ru-RU"/>
              </w:rPr>
              <w:t>Туристско-рекреационный потенциал</w:t>
              <w:tab/>
              <w:t>19</w:t>
            </w:r>
          </w:hyperlink>
        </w:p>
        <w:p>
          <w:pPr>
            <w:pStyle w:val="28"/>
            <w:rPr/>
          </w:pPr>
          <w:hyperlink w:anchor="__RefHeading___Toc156489424">
            <w:r>
              <w:rPr>
                <w:sz w:val="24"/>
                <w:lang w:val="ru-RU" w:eastAsia="ru-RU"/>
              </w:rPr>
              <w:t>3.11.</w:t>
            </w:r>
            <w:r>
              <w:rPr>
                <w:rFonts w:cs="Calibri" w:ascii="Calibri" w:hAnsi="Calibri"/>
                <w:sz w:val="24"/>
                <w:lang w:val="ru-RU" w:eastAsia="ru-RU"/>
              </w:rPr>
              <w:tab/>
            </w:r>
            <w:r>
              <w:rPr>
                <w:sz w:val="24"/>
                <w:lang w:val="ru-RU" w:eastAsia="ru-RU"/>
              </w:rPr>
              <w:t>Объекты культурного наследия</w:t>
            </w:r>
            <w:r>
              <w:rPr>
                <w:sz w:val="24"/>
                <w:lang w:val="ru-RU" w:eastAsia="ru-RU"/>
              </w:rPr>
              <w:tab/>
              <w:t>20</w:t>
            </w:r>
          </w:hyperlink>
        </w:p>
        <w:p>
          <w:pPr>
            <w:pStyle w:val="28"/>
            <w:rPr/>
          </w:pPr>
          <w:hyperlink w:anchor="__RefHeading___Toc156489425">
            <w:r>
              <w:rPr>
                <w:sz w:val="24"/>
                <w:lang w:val="ru-RU" w:eastAsia="ru-RU"/>
              </w:rPr>
              <w:t>3.12.</w:t>
            </w:r>
            <w:r>
              <w:rPr>
                <w:rFonts w:cs="Calibri" w:ascii="Calibri" w:hAnsi="Calibri"/>
                <w:sz w:val="24"/>
                <w:lang w:val="ru-RU" w:eastAsia="ru-RU"/>
              </w:rPr>
              <w:tab/>
            </w:r>
            <w:r>
              <w:rPr>
                <w:sz w:val="24"/>
                <w:lang w:val="ru-RU" w:eastAsia="ru-RU"/>
              </w:rPr>
              <w:t>Транспортно-коммуникационная инфраструктура</w:t>
              <w:tab/>
              <w:t>20</w:t>
            </w:r>
          </w:hyperlink>
        </w:p>
        <w:p>
          <w:pPr>
            <w:pStyle w:val="28"/>
            <w:rPr/>
          </w:pPr>
          <w:hyperlink w:anchor="__RefHeading___Toc156489426">
            <w:r>
              <w:rPr>
                <w:sz w:val="24"/>
                <w:lang w:val="ru-RU" w:eastAsia="ru-RU"/>
              </w:rPr>
              <w:t>3.13.</w:t>
            </w:r>
            <w:r>
              <w:rPr>
                <w:rFonts w:cs="Calibri" w:ascii="Calibri" w:hAnsi="Calibri"/>
                <w:sz w:val="24"/>
                <w:lang w:val="ru-RU" w:eastAsia="ru-RU"/>
              </w:rPr>
              <w:tab/>
            </w:r>
            <w:r>
              <w:rPr>
                <w:sz w:val="24"/>
                <w:lang w:val="ru-RU" w:eastAsia="ru-RU"/>
              </w:rPr>
              <w:t>Инженерная инфраструктура</w:t>
              <w:tab/>
              <w:t>23</w:t>
            </w:r>
          </w:hyperlink>
        </w:p>
        <w:p>
          <w:pPr>
            <w:pStyle w:val="17"/>
            <w:rPr/>
          </w:pPr>
          <w:hyperlink w:anchor="__RefHeading___Toc156489427">
            <w:r>
              <w:rPr>
                <w:sz w:val="24"/>
                <w:lang w:val="ru-RU" w:eastAsia="ru-RU"/>
              </w:rPr>
              <w:t>4.</w:t>
            </w:r>
            <w:r>
              <w:rPr>
                <w:rFonts w:cs="Calibri" w:ascii="Calibri" w:hAnsi="Calibri"/>
                <w:b w:val="false"/>
                <w:sz w:val="24"/>
                <w:lang w:val="ru-RU" w:eastAsia="ru-RU"/>
              </w:rPr>
              <w:tab/>
            </w:r>
            <w:r>
              <w:rPr>
                <w:sz w:val="24"/>
                <w:lang w:val="ru-RU" w:eastAsia="ru-RU"/>
              </w:rPr>
              <w:t>НАПРАВЛЕНИЯ РАЗВИТИЯ ВАХИТОВСКОГО СЕЛЬСКОГО ПОСЕЛЕНИЯ ДО 2047 ГОДА. ОБОСНОВАНИЕ МЕРОПРИЯТИЙ ПО ТЕРРИТОРИАЛЬНОМУ ПЛАНИРОВАНИЮ</w:t>
              <w:tab/>
              <w:t>28</w:t>
            </w:r>
          </w:hyperlink>
        </w:p>
        <w:p>
          <w:pPr>
            <w:pStyle w:val="28"/>
            <w:rPr/>
          </w:pPr>
          <w:hyperlink w:anchor="__RefHeading___Toc156489428">
            <w:r>
              <w:rPr>
                <w:sz w:val="24"/>
                <w:lang w:val="ru-RU" w:eastAsia="ru-RU"/>
              </w:rPr>
              <w:t>4.1.</w:t>
            </w:r>
            <w:r>
              <w:rPr>
                <w:rFonts w:cs="Calibri" w:ascii="Calibri" w:hAnsi="Calibri"/>
                <w:sz w:val="24"/>
                <w:lang w:val="ru-RU" w:eastAsia="ru-RU"/>
              </w:rPr>
              <w:tab/>
            </w:r>
            <w:r>
              <w:rPr>
                <w:sz w:val="24"/>
                <w:lang w:val="ru-RU" w:eastAsia="ru-RU"/>
              </w:rPr>
              <w:t>Прогноз численности населения</w:t>
              <w:tab/>
              <w:t>28</w:t>
            </w:r>
          </w:hyperlink>
        </w:p>
        <w:p>
          <w:pPr>
            <w:pStyle w:val="28"/>
            <w:rPr/>
          </w:pPr>
          <w:hyperlink w:anchor="__RefHeading___Toc156489429">
            <w:r>
              <w:rPr>
                <w:sz w:val="24"/>
                <w:lang w:val="ru-RU" w:eastAsia="ru-RU"/>
              </w:rPr>
              <w:t>4.2.</w:t>
            </w:r>
            <w:r>
              <w:rPr>
                <w:rFonts w:cs="Calibri" w:ascii="Calibri" w:hAnsi="Calibri"/>
                <w:sz w:val="24"/>
                <w:lang w:val="ru-RU" w:eastAsia="ru-RU"/>
              </w:rPr>
              <w:tab/>
            </w:r>
            <w:r>
              <w:rPr>
                <w:sz w:val="24"/>
                <w:lang w:val="ru-RU" w:eastAsia="ru-RU"/>
              </w:rPr>
              <w:t>Экономическое развитие</w:t>
              <w:tab/>
              <w:t>29</w:t>
            </w:r>
          </w:hyperlink>
        </w:p>
        <w:p>
          <w:pPr>
            <w:pStyle w:val="28"/>
            <w:rPr/>
          </w:pPr>
          <w:hyperlink w:anchor="__RefHeading___Toc156489430">
            <w:r>
              <w:rPr>
                <w:sz w:val="24"/>
                <w:lang w:val="ru-RU" w:eastAsia="ru-RU"/>
              </w:rPr>
              <w:t>4.3.</w:t>
            </w:r>
            <w:r>
              <w:rPr>
                <w:rFonts w:cs="Calibri" w:ascii="Calibri" w:hAnsi="Calibri"/>
                <w:sz w:val="24"/>
                <w:lang w:val="ru-RU" w:eastAsia="ru-RU"/>
              </w:rPr>
              <w:tab/>
            </w:r>
            <w:r>
              <w:rPr>
                <w:sz w:val="24"/>
                <w:lang w:val="ru-RU" w:eastAsia="ru-RU"/>
              </w:rPr>
              <w:t>Развитие промышленного производства</w:t>
              <w:tab/>
              <w:t>29</w:t>
            </w:r>
          </w:hyperlink>
        </w:p>
        <w:p>
          <w:pPr>
            <w:pStyle w:val="28"/>
            <w:rPr/>
          </w:pPr>
          <w:hyperlink w:anchor="__RefHeading___Toc156489431">
            <w:r>
              <w:rPr>
                <w:sz w:val="24"/>
                <w:lang w:val="ru-RU" w:eastAsia="ru-RU"/>
              </w:rPr>
              <w:t>4.4.</w:t>
            </w:r>
            <w:r>
              <w:rPr>
                <w:rFonts w:cs="Calibri" w:ascii="Calibri" w:hAnsi="Calibri"/>
                <w:sz w:val="24"/>
                <w:lang w:val="ru-RU" w:eastAsia="ru-RU"/>
              </w:rPr>
              <w:tab/>
            </w:r>
            <w:r>
              <w:rPr>
                <w:sz w:val="24"/>
                <w:lang w:val="ru-RU" w:eastAsia="ru-RU"/>
              </w:rPr>
              <w:t>Развитие агропромышленного комплекса</w:t>
              <w:tab/>
              <w:t>29</w:t>
            </w:r>
          </w:hyperlink>
        </w:p>
        <w:p>
          <w:pPr>
            <w:pStyle w:val="28"/>
            <w:rPr/>
          </w:pPr>
          <w:hyperlink w:anchor="__RefHeading___Toc156489432">
            <w:r>
              <w:rPr>
                <w:sz w:val="24"/>
                <w:lang w:val="ru-RU" w:eastAsia="ru-RU"/>
              </w:rPr>
              <w:t>4.5.</w:t>
            </w:r>
            <w:r>
              <w:rPr>
                <w:rFonts w:cs="Calibri" w:ascii="Calibri" w:hAnsi="Calibri"/>
                <w:sz w:val="24"/>
                <w:lang w:val="ru-RU" w:eastAsia="ru-RU"/>
              </w:rPr>
              <w:tab/>
            </w:r>
            <w:r>
              <w:rPr>
                <w:sz w:val="24"/>
                <w:lang w:val="ru-RU" w:eastAsia="ru-RU"/>
              </w:rPr>
              <w:t>Развитие лесного комплекса</w:t>
              <w:tab/>
              <w:t>31</w:t>
            </w:r>
          </w:hyperlink>
        </w:p>
        <w:p>
          <w:pPr>
            <w:pStyle w:val="28"/>
            <w:rPr/>
          </w:pPr>
          <w:hyperlink w:anchor="__RefHeading___Toc156489433">
            <w:r>
              <w:rPr>
                <w:sz w:val="24"/>
                <w:lang w:val="ru-RU" w:eastAsia="ru-RU"/>
              </w:rPr>
              <w:t>4.6.</w:t>
            </w:r>
            <w:r>
              <w:rPr>
                <w:rFonts w:cs="Calibri" w:ascii="Calibri" w:hAnsi="Calibri"/>
                <w:sz w:val="24"/>
                <w:lang w:val="ru-RU" w:eastAsia="ru-RU"/>
              </w:rPr>
              <w:tab/>
            </w:r>
            <w:r>
              <w:rPr>
                <w:sz w:val="24"/>
                <w:lang w:val="ru-RU" w:eastAsia="ru-RU"/>
              </w:rPr>
              <w:t>Развитие жилищной инфраструктуры</w:t>
              <w:tab/>
              <w:t>31</w:t>
            </w:r>
          </w:hyperlink>
        </w:p>
        <w:p>
          <w:pPr>
            <w:pStyle w:val="28"/>
            <w:rPr/>
          </w:pPr>
          <w:hyperlink w:anchor="__RefHeading___Toc156489434">
            <w:r>
              <w:rPr>
                <w:sz w:val="24"/>
                <w:lang w:val="ru-RU" w:eastAsia="ru-RU"/>
              </w:rPr>
              <w:t>4.7.</w:t>
            </w:r>
            <w:r>
              <w:rPr>
                <w:rFonts w:cs="Calibri" w:ascii="Calibri" w:hAnsi="Calibri"/>
                <w:sz w:val="24"/>
                <w:lang w:val="ru-RU" w:eastAsia="ru-RU"/>
              </w:rPr>
              <w:tab/>
            </w:r>
            <w:r>
              <w:rPr>
                <w:sz w:val="24"/>
                <w:lang w:val="ru-RU" w:eastAsia="ru-RU"/>
              </w:rPr>
              <w:t xml:space="preserve">Развитие </w:t>
            </w:r>
            <w:r>
              <w:rPr>
                <w:sz w:val="24"/>
                <w:lang w:val="ru-RU" w:eastAsia="ru-RU"/>
              </w:rPr>
              <w:t>объектов социального и культурно-бытового</w:t>
            </w:r>
            <w:r>
              <w:rPr>
                <w:sz w:val="24"/>
                <w:lang w:val="ru-RU" w:eastAsia="ru-RU"/>
              </w:rPr>
              <w:t xml:space="preserve"> обслуживания населения</w:t>
              <w:tab/>
              <w:t>35</w:t>
            </w:r>
          </w:hyperlink>
        </w:p>
        <w:p>
          <w:pPr>
            <w:pStyle w:val="28"/>
            <w:rPr/>
          </w:pPr>
          <w:hyperlink w:anchor="__RefHeading___Toc156489435">
            <w:r>
              <w:rPr>
                <w:sz w:val="24"/>
                <w:lang w:val="ru-RU" w:eastAsia="ru-RU"/>
              </w:rPr>
              <w:t>4.8.</w:t>
            </w:r>
            <w:r>
              <w:rPr>
                <w:rFonts w:cs="Calibri" w:ascii="Calibri" w:hAnsi="Calibri"/>
                <w:sz w:val="24"/>
                <w:lang w:val="ru-RU" w:eastAsia="ru-RU"/>
              </w:rPr>
              <w:tab/>
            </w:r>
            <w:r>
              <w:rPr>
                <w:sz w:val="24"/>
                <w:lang w:val="ru-RU" w:eastAsia="ru-RU"/>
              </w:rPr>
              <w:t xml:space="preserve">Развитие </w:t>
            </w:r>
            <w:r>
              <w:rPr>
                <w:sz w:val="24"/>
                <w:lang w:val="ru-RU" w:eastAsia="ru-RU"/>
              </w:rPr>
              <w:t xml:space="preserve">территорий </w:t>
            </w:r>
            <w:r>
              <w:rPr>
                <w:sz w:val="24"/>
                <w:lang w:val="ru-RU" w:eastAsia="ru-RU"/>
              </w:rPr>
              <w:t>кладбищ</w:t>
              <w:tab/>
              <w:t>42</w:t>
            </w:r>
          </w:hyperlink>
        </w:p>
        <w:p>
          <w:pPr>
            <w:pStyle w:val="28"/>
            <w:rPr/>
          </w:pPr>
          <w:hyperlink w:anchor="__RefHeading___Toc156489436">
            <w:r>
              <w:rPr>
                <w:sz w:val="24"/>
                <w:lang w:val="ru-RU" w:eastAsia="ru-RU"/>
              </w:rPr>
              <w:t>4.9.</w:t>
            </w:r>
            <w:r>
              <w:rPr>
                <w:rFonts w:cs="Calibri" w:ascii="Calibri" w:hAnsi="Calibri"/>
                <w:sz w:val="24"/>
                <w:lang w:val="ru-RU" w:eastAsia="ru-RU"/>
              </w:rPr>
              <w:tab/>
            </w:r>
            <w:r>
              <w:rPr>
                <w:sz w:val="24"/>
                <w:lang w:val="ru-RU" w:eastAsia="ru-RU"/>
              </w:rPr>
              <w:t xml:space="preserve">Развитие </w:t>
            </w:r>
            <w:r>
              <w:rPr>
                <w:sz w:val="24"/>
                <w:lang w:val="ru-RU" w:eastAsia="ru-RU"/>
              </w:rPr>
              <w:t>туристско-</w:t>
            </w:r>
            <w:r>
              <w:rPr>
                <w:sz w:val="24"/>
                <w:lang w:val="ru-RU" w:eastAsia="ru-RU"/>
              </w:rPr>
              <w:t>рекреационных территорий</w:t>
              <w:tab/>
              <w:t>42</w:t>
            </w:r>
          </w:hyperlink>
        </w:p>
        <w:p>
          <w:pPr>
            <w:pStyle w:val="28"/>
            <w:rPr/>
          </w:pPr>
          <w:hyperlink w:anchor="__RefHeading___Toc156489437">
            <w:r>
              <w:rPr>
                <w:sz w:val="24"/>
                <w:lang w:val="ru-RU" w:eastAsia="ru-RU"/>
              </w:rPr>
              <w:t>4.10.</w:t>
            </w:r>
            <w:r>
              <w:rPr>
                <w:rFonts w:cs="Calibri" w:ascii="Calibri" w:hAnsi="Calibri"/>
                <w:sz w:val="24"/>
                <w:lang w:val="ru-RU" w:eastAsia="ru-RU"/>
              </w:rPr>
              <w:tab/>
            </w:r>
            <w:r>
              <w:rPr>
                <w:sz w:val="24"/>
                <w:lang w:val="ru-RU" w:eastAsia="ru-RU"/>
              </w:rPr>
              <w:t>Развитие транспортно-коммуникационной инфраструктуры</w:t>
              <w:tab/>
              <w:t>46</w:t>
            </w:r>
          </w:hyperlink>
        </w:p>
        <w:p>
          <w:pPr>
            <w:pStyle w:val="28"/>
            <w:rPr/>
          </w:pPr>
          <w:hyperlink w:anchor="__RefHeading___Toc156489438">
            <w:r>
              <w:rPr>
                <w:sz w:val="24"/>
                <w:lang w:val="ru-RU" w:eastAsia="ru-RU"/>
              </w:rPr>
              <w:t>4.11.</w:t>
            </w:r>
            <w:r>
              <w:rPr>
                <w:rFonts w:cs="Calibri" w:ascii="Calibri" w:hAnsi="Calibri"/>
                <w:sz w:val="24"/>
                <w:lang w:val="ru-RU" w:eastAsia="ru-RU"/>
              </w:rPr>
              <w:tab/>
            </w:r>
            <w:r>
              <w:rPr>
                <w:sz w:val="24"/>
                <w:lang w:val="ru-RU" w:eastAsia="ru-RU"/>
              </w:rPr>
              <w:t xml:space="preserve">Установление границ населенных пунктов </w:t>
            </w:r>
            <w:r>
              <w:rPr>
                <w:sz w:val="24"/>
                <w:lang w:val="ru-RU" w:eastAsia="ru-RU"/>
              </w:rPr>
              <w:t>Вахитовского</w:t>
            </w:r>
            <w:r>
              <w:rPr>
                <w:sz w:val="24"/>
                <w:lang w:val="ru-RU" w:eastAsia="ru-RU"/>
              </w:rPr>
              <w:t xml:space="preserve"> сельского поселения</w:t>
            </w:r>
            <w:r>
              <w:rPr>
                <w:sz w:val="24"/>
                <w:lang w:val="ru-RU" w:eastAsia="ru-RU"/>
              </w:rPr>
              <w:t xml:space="preserve"> Верхнеуслонского муниципального района Республики Татарстан</w:t>
            </w:r>
            <w:r>
              <w:rPr>
                <w:sz w:val="24"/>
                <w:lang w:val="ru-RU" w:eastAsia="ru-RU"/>
              </w:rPr>
              <w:tab/>
              <w:t>50</w:t>
            </w:r>
          </w:hyperlink>
        </w:p>
        <w:p>
          <w:pPr>
            <w:pStyle w:val="28"/>
            <w:rPr/>
          </w:pPr>
          <w:hyperlink w:anchor="__RefHeading___Toc156489439">
            <w:r>
              <w:rPr>
                <w:sz w:val="24"/>
                <w:lang w:val="ru-RU" w:eastAsia="ru-RU"/>
              </w:rPr>
              <w:t>4.12.</w:t>
            </w:r>
            <w:r>
              <w:rPr>
                <w:rFonts w:cs="Calibri" w:ascii="Calibri" w:hAnsi="Calibri"/>
                <w:sz w:val="24"/>
                <w:lang w:val="ru-RU" w:eastAsia="ru-RU"/>
              </w:rPr>
              <w:tab/>
            </w:r>
            <w:r>
              <w:rPr>
                <w:sz w:val="24"/>
                <w:lang w:val="ru-RU" w:eastAsia="ru-RU"/>
              </w:rPr>
              <w:t>Мероприятия по развитию инженерной инфраструктуры</w:t>
              <w:tab/>
              <w:t>55</w:t>
            </w:r>
          </w:hyperlink>
        </w:p>
        <w:p>
          <w:pPr>
            <w:pStyle w:val="17"/>
            <w:rPr/>
          </w:pPr>
          <w:hyperlink w:anchor="__RefHeading___Toc156489440">
            <w:r>
              <w:rPr>
                <w:sz w:val="24"/>
                <w:lang w:val="ru-RU" w:eastAsia="ru-RU"/>
              </w:rPr>
              <w:t>5.</w:t>
            </w:r>
            <w:r>
              <w:rPr>
                <w:rFonts w:cs="Calibri" w:ascii="Calibri" w:hAnsi="Calibri"/>
                <w:b w:val="false"/>
                <w:sz w:val="24"/>
                <w:lang w:val="ru-RU" w:eastAsia="ru-RU"/>
              </w:rPr>
              <w:tab/>
            </w:r>
            <w:r>
              <w:rPr>
                <w:sz w:val="24"/>
                <w:lang w:val="ru-RU" w:eastAsia="ru-RU"/>
              </w:rPr>
              <w:t>ТЕХНИКО-ЭКОНОМИЧЕСКИЕ ПОКАЗАТЕЛИ</w:t>
              <w:tab/>
              <w:t>78</w:t>
            </w:r>
          </w:hyperlink>
        </w:p>
        <w:p>
          <w:pPr>
            <w:pStyle w:val="17"/>
            <w:rPr/>
          </w:pPr>
          <w:hyperlink w:anchor="__RefHeading___Toc156489441">
            <w:r>
              <w:rPr>
                <w:sz w:val="24"/>
                <w:lang w:val="ru-RU" w:eastAsia="ru-RU"/>
              </w:rPr>
              <w:t>6.</w:t>
            </w:r>
            <w:r>
              <w:rPr>
                <w:rFonts w:cs="Calibri" w:ascii="Calibri" w:hAnsi="Calibri"/>
                <w:b w:val="false"/>
                <w:sz w:val="24"/>
                <w:lang w:val="ru-RU" w:eastAsia="ru-RU"/>
              </w:rPr>
              <w:tab/>
            </w:r>
            <w:r>
              <w:rPr>
                <w:sz w:val="24"/>
                <w:lang w:val="ru-RU" w:eastAsia="ru-RU"/>
              </w:rPr>
              <w:t>СПИСОК ИСПОЛЬЗОВАННОЙ  ЛИТЕРАТУРЫ</w:t>
              <w:tab/>
              <w:t>82</w:t>
            </w:r>
          </w:hyperlink>
        </w:p>
        <w:p>
          <w:pPr>
            <w:pStyle w:val="17"/>
            <w:rPr/>
          </w:pPr>
          <w:hyperlink w:anchor="__RefHeading___Toc156489442">
            <w:r>
              <w:rPr>
                <w:sz w:val="24"/>
                <w:lang w:val="ru-RU" w:eastAsia="ru-RU"/>
              </w:rPr>
              <w:t>7.</w:t>
            </w:r>
            <w:r>
              <w:rPr>
                <w:rFonts w:cs="Calibri" w:ascii="Calibri" w:hAnsi="Calibri"/>
                <w:b w:val="false"/>
                <w:sz w:val="24"/>
                <w:lang w:val="ru-RU" w:eastAsia="ru-RU"/>
              </w:rPr>
              <w:tab/>
            </w:r>
            <w:r>
              <w:rPr>
                <w:sz w:val="24"/>
                <w:lang w:val="ru-RU" w:eastAsia="ru-RU"/>
              </w:rPr>
              <w:t>ПРИЛОЖЕНИЯ</w:t>
            </w:r>
            <w:r>
              <w:rPr>
                <w:sz w:val="24"/>
                <w:lang w:val="ru-RU" w:eastAsia="ru-RU"/>
              </w:rPr>
              <w:tab/>
              <w:t>88</w:t>
            </w:r>
          </w:hyperlink>
          <w:r>
            <w:rPr>
              <w:sz w:val="24"/>
              <w:lang w:val="ru-RU" w:eastAsia="ru-RU"/>
            </w:rPr>
            <w:fldChar w:fldCharType="end"/>
          </w:r>
        </w:p>
      </w:sdtContent>
    </w:sdt>
    <w:p>
      <w:pPr>
        <w:pStyle w:val="17"/>
        <w:rPr>
          <w:rFonts w:ascii="Calibri" w:hAnsi="Calibri" w:cs="Calibri"/>
          <w:b w:val="false"/>
          <w:color w:val="FF0066"/>
          <w:sz w:val="24"/>
          <w:lang w:val="ru-RU" w:eastAsia="ru-RU"/>
        </w:rPr>
      </w:pPr>
      <w:r>
        <w:rPr>
          <w:rFonts w:cs="Calibri" w:ascii="Calibri" w:hAnsi="Calibri"/>
          <w:b w:val="false"/>
          <w:color w:val="FF0066"/>
          <w:sz w:val="24"/>
          <w:lang w:val="ru-RU" w:eastAsia="ru-RU"/>
        </w:rPr>
      </w:r>
    </w:p>
    <w:p>
      <w:pPr>
        <w:pStyle w:val="1"/>
        <w:numPr>
          <w:ilvl w:val="0"/>
          <w:numId w:val="7"/>
        </w:numPr>
        <w:rPr>
          <w:lang w:val="ru-RU" w:eastAsia="ru-RU"/>
        </w:rPr>
      </w:pPr>
      <w:bookmarkStart w:id="246" w:name="__RefHeading___Toc156489411"/>
      <w:bookmarkEnd w:id="246"/>
      <w:r>
        <w:rPr/>
        <w:t>ВВЕДЕНИ</w:t>
      </w:r>
      <w:r>
        <w:rPr>
          <w:lang w:val="ru-RU"/>
        </w:rPr>
        <w:t>Е</w:t>
      </w:r>
    </w:p>
    <w:p>
      <w:pPr>
        <w:pStyle w:val="Normal"/>
        <w:ind w:firstLine="700"/>
        <w:jc w:val="both"/>
        <w:rPr/>
      </w:pPr>
      <w:bookmarkStart w:id="247" w:name="_Hlk151559082_Копия_1"/>
      <w:bookmarkEnd w:id="247"/>
      <w:r>
        <w:rPr>
          <w:szCs w:val="28"/>
        </w:rPr>
        <w:t xml:space="preserve">Проект внесения изменений в генеральный план Вахитовского сельского поселения Верхнеуслонского муниципального района Республики Татарстан разработан </w:t>
      </w:r>
      <w:r>
        <w:rPr/>
        <w:t>ГБУ «Фонд пространственных данных РТ»</w:t>
      </w:r>
      <w:r>
        <w:rPr>
          <w:szCs w:val="28"/>
        </w:rPr>
        <w:t xml:space="preserve"> на основании постановления исполнительного комитета Верхнеуслонского муниципального района Республики Татарстан от 05.07.2023 № 842, а также задания на проектирование.</w:t>
      </w:r>
    </w:p>
    <w:p>
      <w:pPr>
        <w:pStyle w:val="112"/>
        <w:spacing w:lineRule="auto" w:line="240"/>
        <w:jc w:val="both"/>
        <w:rPr/>
      </w:pPr>
      <w:r>
        <w:rPr>
          <w:color w:val="000000"/>
          <w:szCs w:val="28"/>
        </w:rPr>
        <w:t xml:space="preserve">Изменения вносятся в генеральный план Вахитовского сельского поселения </w:t>
      </w:r>
      <w:r>
        <w:rPr>
          <w:szCs w:val="28"/>
        </w:rPr>
        <w:t>Верхнеуслонского</w:t>
      </w:r>
      <w:r>
        <w:rPr>
          <w:color w:val="000000"/>
          <w:szCs w:val="28"/>
        </w:rPr>
        <w:t xml:space="preserve"> муниципального района Республики Татарстан, утвержденного Решением Совета </w:t>
      </w:r>
      <w:r>
        <w:rPr>
          <w:szCs w:val="28"/>
        </w:rPr>
        <w:t>Верхнеуслонского</w:t>
      </w:r>
      <w:r>
        <w:rPr>
          <w:color w:val="000000"/>
          <w:szCs w:val="28"/>
        </w:rPr>
        <w:t xml:space="preserve"> муниципального района Республики Татарстан от </w:t>
      </w:r>
      <w:r>
        <w:rPr>
          <w:szCs w:val="28"/>
        </w:rPr>
        <w:t>30.05.2022 №23-304</w:t>
      </w:r>
      <w:r>
        <w:rPr>
          <w:color w:val="000000"/>
          <w:szCs w:val="28"/>
        </w:rPr>
        <w:t>.</w:t>
      </w:r>
    </w:p>
    <w:p>
      <w:pPr>
        <w:pStyle w:val="Normal"/>
        <w:ind w:firstLine="700"/>
        <w:jc w:val="both"/>
        <w:rPr/>
      </w:pPr>
      <w:r>
        <w:rPr>
          <w:szCs w:val="28"/>
        </w:rPr>
        <w:t>Заказчиком на разработку проекта внесения изменений в генеральный план является исполнительный комитет Верхнеуслонского муниципального района Республики Татарстан.</w:t>
      </w:r>
    </w:p>
    <w:p>
      <w:pPr>
        <w:pStyle w:val="112"/>
        <w:spacing w:lineRule="auto" w:line="240"/>
        <w:jc w:val="both"/>
        <w:rPr>
          <w:color w:val="000000"/>
          <w:szCs w:val="28"/>
        </w:rPr>
      </w:pPr>
      <w:r>
        <w:rPr>
          <w:color w:val="000000"/>
          <w:szCs w:val="28"/>
        </w:rPr>
        <w:t>Целью работы является разработка проекта внесения изменений в генеральный план Вахитовского сельского поселения Верхнеуслонского муниципального района Республики Татарстан:</w:t>
      </w:r>
    </w:p>
    <w:p>
      <w:pPr>
        <w:pStyle w:val="112"/>
        <w:spacing w:lineRule="auto" w:line="240"/>
        <w:jc w:val="both"/>
        <w:rPr/>
      </w:pPr>
      <w:bookmarkStart w:id="248" w:name="_Hlk151973203_Копия_1"/>
      <w:bookmarkEnd w:id="248"/>
      <w:r>
        <w:rPr>
          <w:szCs w:val="28"/>
        </w:rPr>
        <w:t>- в части изменения границы населенного пункта село Ташевка, включение в границы населенного пункта земельных участков с кадастровыми номерами 16:15:030601:774 и 16:15:030601:776 на основании письма Руководителя Исполнительного комитета Верхнеуслонского муниципального района Республики Татарстан 22.11.2023 №ИСХ-7447;</w:t>
      </w:r>
    </w:p>
    <w:p>
      <w:pPr>
        <w:pStyle w:val="112"/>
        <w:spacing w:lineRule="auto" w:line="240"/>
        <w:jc w:val="both"/>
        <w:rPr/>
      </w:pPr>
      <w:r>
        <w:rPr>
          <w:szCs w:val="28"/>
        </w:rPr>
        <w:t>- в части изменения категории земельных участков с кадастровыми номерами 16:15:030601:783 и 16:15:000000:2464 из категории земель «земли сельскохозяйственного назначения» в категорию земель «</w:t>
      </w:r>
      <w:r>
        <w:rPr/>
        <w:t>земли особо охраняемых территорий и объектов»</w:t>
      </w:r>
      <w:r>
        <w:rPr>
          <w:szCs w:val="28"/>
        </w:rPr>
        <w:t xml:space="preserve"> на основании письма Руководителя Исполнительного комитета Верхнеуслонского муниципального района Республики Татарстан от 22.11.2023 №ИСХ-7447;</w:t>
      </w:r>
    </w:p>
    <w:p>
      <w:pPr>
        <w:pStyle w:val="112"/>
        <w:spacing w:lineRule="auto" w:line="240"/>
        <w:jc w:val="both"/>
        <w:rPr/>
      </w:pPr>
      <w:bookmarkStart w:id="249" w:name="_Hlk151973203_Копия_1"/>
      <w:bookmarkEnd w:id="249"/>
      <w:r>
        <w:rPr>
          <w:szCs w:val="28"/>
        </w:rPr>
        <w:t>- в части отнесения земельного участка с кадастровым номером 16:15:000000:2717 к функциональной зоне рекреационного назначения, на основании письма Руководителя Исполнительного комитета Верхнеуслонского муниципального района Республики Татарстан от 24.05.2023 № ИСХ-2911;</w:t>
      </w:r>
    </w:p>
    <w:p>
      <w:pPr>
        <w:pStyle w:val="Normal"/>
        <w:ind w:firstLine="700"/>
        <w:jc w:val="both"/>
        <w:rPr/>
      </w:pPr>
      <w:r>
        <w:rPr>
          <w:color w:val="000000"/>
          <w:szCs w:val="28"/>
        </w:rPr>
        <w:t>Проект внесения изменений в генеральный план</w:t>
      </w:r>
      <w:r>
        <w:rPr>
          <w:szCs w:val="28"/>
        </w:rPr>
        <w:t xml:space="preserve"> Вахитовского сельского поселения Верхнеуслонского муниципального района – документ территориального планирования, определяющий градостроительную стратегию, условия формирования среды жизнедеятельности, направления и границы развития территорий поселения, установление и изменение границ населенных пунктов в составе поселения,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pPr>
        <w:pStyle w:val="Normal"/>
        <w:ind w:firstLine="700"/>
        <w:jc w:val="both"/>
        <w:rPr/>
      </w:pPr>
      <w:r>
        <w:rPr>
          <w:color w:val="000000"/>
          <w:szCs w:val="28"/>
        </w:rPr>
        <w:t>Проект внесения изменений в генеральный план разработан на следующие временные сроки его реализации:</w:t>
      </w:r>
    </w:p>
    <w:p>
      <w:pPr>
        <w:pStyle w:val="Normal"/>
        <w:ind w:firstLine="700"/>
        <w:jc w:val="both"/>
        <w:rPr/>
      </w:pPr>
      <w:r>
        <w:rPr>
          <w:color w:val="000000"/>
          <w:szCs w:val="28"/>
          <w:u w:val="single"/>
        </w:rPr>
        <w:t>Первая очередь,</w:t>
      </w:r>
      <w:r>
        <w:rPr>
          <w:color w:val="000000"/>
          <w:szCs w:val="28"/>
        </w:rPr>
        <w:t xml:space="preserve"> на которую определены первоочередные мероприятия по реализации генерального плана – до 2032 года.</w:t>
      </w:r>
    </w:p>
    <w:p>
      <w:pPr>
        <w:pStyle w:val="Normal"/>
        <w:ind w:firstLine="700"/>
        <w:jc w:val="both"/>
        <w:rPr/>
      </w:pPr>
      <w:r>
        <w:rPr>
          <w:color w:val="000000"/>
          <w:szCs w:val="28"/>
          <w:u w:val="single"/>
        </w:rPr>
        <w:t>Расчетный срок</w:t>
      </w:r>
      <w:r>
        <w:rPr>
          <w:color w:val="000000"/>
          <w:szCs w:val="28"/>
        </w:rPr>
        <w:t>, на который запланированы все основные проектные решения генерального плана – до 2047 года.</w:t>
      </w:r>
    </w:p>
    <w:p>
      <w:pPr>
        <w:pStyle w:val="Normal"/>
        <w:ind w:firstLine="700"/>
        <w:jc w:val="both"/>
        <w:rPr/>
      </w:pPr>
      <w:r>
        <w:rPr>
          <w:color w:val="000000"/>
          <w:szCs w:val="28"/>
        </w:rPr>
        <w:t>В соответствии со статьей 23 Градостроительного кодекса Российской Федерации проект внесения изменений в генеральный план Вахитовского сельского поселения включает в себя:</w:t>
      </w:r>
    </w:p>
    <w:p>
      <w:pPr>
        <w:pStyle w:val="Normal"/>
        <w:ind w:firstLine="700"/>
        <w:jc w:val="both"/>
        <w:rPr/>
      </w:pPr>
      <w:r>
        <w:rPr>
          <w:color w:val="000000"/>
          <w:szCs w:val="28"/>
        </w:rPr>
        <w:t>Текстовые материалы - Положение о территориальном планировании, которое включает в себя цели и задачи территориального планирования, перечень мероприятий по территориальному планированию и последовательность их выполнения по этапам реализации генерального плана.</w:t>
      </w:r>
    </w:p>
    <w:p>
      <w:pPr>
        <w:pStyle w:val="Normal"/>
        <w:ind w:firstLine="700"/>
        <w:jc w:val="both"/>
        <w:rPr>
          <w:color w:val="000000"/>
          <w:szCs w:val="28"/>
        </w:rPr>
      </w:pPr>
      <w:r>
        <w:rPr>
          <w:color w:val="000000"/>
          <w:szCs w:val="28"/>
        </w:rPr>
        <w:t>Графические материалы содержат карты (схемы) территориального планирования.</w:t>
      </w:r>
    </w:p>
    <w:p>
      <w:pPr>
        <w:pStyle w:val="Normal"/>
        <w:ind w:firstLine="700"/>
        <w:jc w:val="both"/>
        <w:rPr/>
      </w:pPr>
      <w:r>
        <w:rPr>
          <w:color w:val="000000"/>
          <w:szCs w:val="28"/>
        </w:rPr>
        <w:t>Материалы по обоснованию проекта, которые разрабатываются в целях обоснования и пояснения предложений территориального планирования, для согласования и обеспечения процесса утверждения генерального плана сельского поселения, выполненные в составе текстовых и графических материалов.</w:t>
      </w:r>
    </w:p>
    <w:p>
      <w:pPr>
        <w:pStyle w:val="Normal"/>
        <w:ind w:firstLine="700"/>
        <w:jc w:val="both"/>
        <w:rPr/>
      </w:pPr>
      <w:r>
        <w:rPr>
          <w:color w:val="000000"/>
          <w:szCs w:val="28"/>
        </w:rPr>
        <w:t>Текстовые материалы включают в себя анализ состояния территории поселения, проблем и направлений ее комплексного развития, обоснование территориального и пространственно-планировочного развития, перечень мероприятий по территориальному планированию, этапы их реализации, перечень основных факторов риска возникновения чрезвычайных ситуаций природного и техногенного характера.</w:t>
      </w:r>
    </w:p>
    <w:p>
      <w:pPr>
        <w:pStyle w:val="Normal"/>
        <w:ind w:firstLine="700"/>
        <w:jc w:val="both"/>
        <w:rPr/>
      </w:pPr>
      <w:r>
        <w:rPr>
          <w:color w:val="000000"/>
          <w:szCs w:val="28"/>
        </w:rPr>
        <w:t>Графические материалы содержат схемы по обоснованию проекта внесения изменений в генеральный план поселения.</w:t>
      </w:r>
    </w:p>
    <w:p>
      <w:pPr>
        <w:pStyle w:val="112"/>
        <w:spacing w:lineRule="auto" w:line="240"/>
        <w:jc w:val="both"/>
        <w:rPr/>
      </w:pPr>
      <w:r>
        <w:rPr>
          <w:szCs w:val="28"/>
        </w:rPr>
        <w:t>В соответствии с Градостроительным кодексом Российской Федерации (ФЗ-190), Федеральным законом «Об общих принципах организации местного самоуправления в Российской Федерации» (ФЗ-131) утверждению подлежат мероприятия местного значения поселения.</w:t>
      </w:r>
    </w:p>
    <w:p>
      <w:pPr>
        <w:pStyle w:val="Normal"/>
        <w:ind w:firstLine="700"/>
        <w:jc w:val="both"/>
        <w:rPr/>
      </w:pPr>
      <w:r>
        <w:rPr>
          <w:color w:val="000000"/>
          <w:szCs w:val="28"/>
        </w:rPr>
        <w:t>При разработке проекта внесения изменений в генеральный план Вахитовского сельского поселения Верхнеуслонского муниципального района были использованы материалы:</w:t>
      </w:r>
    </w:p>
    <w:p>
      <w:pPr>
        <w:pStyle w:val="Normal"/>
        <w:ind w:firstLine="700"/>
        <w:jc w:val="both"/>
        <w:rPr/>
      </w:pPr>
      <w:r>
        <w:rPr>
          <w:color w:val="000000"/>
          <w:szCs w:val="28"/>
        </w:rPr>
        <w:t>-</w:t>
        <w:tab/>
        <w:t>Схемы территориального планирования Республики Татарстан, утвержденной постановлением Кабинета Министров Республики Татарстан от 21.02.2011г. №134 (в редакции постановления Кабинета Министров Республики Татарстан от 22.12.2023 №1670);</w:t>
      </w:r>
    </w:p>
    <w:p>
      <w:pPr>
        <w:pStyle w:val="Normal"/>
        <w:ind w:firstLine="700"/>
        <w:jc w:val="both"/>
        <w:rPr/>
      </w:pPr>
      <w:r>
        <w:rPr>
          <w:color w:val="000000"/>
          <w:szCs w:val="28"/>
        </w:rPr>
        <w:t>- Схемы территориального планирования Верхнеуслонского муниципального района Республики Татарстан, утвержденной Решением Совета Верхнеуслонского муниципального района Республики Татарстан от 08.08.2022 г. № 25-341 (с изменениями и дополнениями);</w:t>
      </w:r>
    </w:p>
    <w:p>
      <w:pPr>
        <w:pStyle w:val="Normal"/>
        <w:ind w:firstLine="700"/>
        <w:jc w:val="both"/>
        <w:rPr/>
      </w:pPr>
      <w:r>
        <w:rPr>
          <w:color w:val="000000"/>
          <w:szCs w:val="28"/>
        </w:rPr>
        <w:t>-</w:t>
        <w:tab/>
        <w:t>официальные данные, предоставленные</w:t>
      </w:r>
      <w:r>
        <w:rPr>
          <w:szCs w:val="28"/>
        </w:rPr>
        <w:t xml:space="preserve"> исполнительным комитетом Верхнеуслонского муниципального района и Вахитовского сельского поселения, входящего в его состав;</w:t>
      </w:r>
    </w:p>
    <w:p>
      <w:pPr>
        <w:pStyle w:val="Normal"/>
        <w:ind w:firstLine="700"/>
        <w:jc w:val="both"/>
        <w:rPr/>
      </w:pPr>
      <w:r>
        <w:rPr>
          <w:szCs w:val="28"/>
        </w:rPr>
        <w:t>-</w:t>
        <w:tab/>
        <w:t>действующий проект генерального плана Вахитовского сельского поселения, утвержденный Решением Совета Верхнеуслонского муниципального района Республики Татарстан от 30.05.2022 №23-304.</w:t>
      </w:r>
    </w:p>
    <w:p>
      <w:pPr>
        <w:pStyle w:val="Normal"/>
        <w:ind w:firstLine="700"/>
        <w:jc w:val="both"/>
        <w:rPr>
          <w:color w:val="FF0066"/>
          <w:szCs w:val="28"/>
        </w:rPr>
      </w:pPr>
      <w:r>
        <w:rPr>
          <w:color w:val="FF0066"/>
          <w:szCs w:val="28"/>
        </w:rPr>
      </w:r>
      <w:bookmarkStart w:id="250" w:name="_Hlk151559082_Копия_1"/>
      <w:bookmarkStart w:id="251" w:name="_Hlk151559082_Копия_1"/>
      <w:bookmarkEnd w:id="251"/>
    </w:p>
    <w:p>
      <w:pPr>
        <w:pStyle w:val="Normal"/>
        <w:jc w:val="both"/>
        <w:rPr>
          <w:color w:val="FF0066"/>
          <w:szCs w:val="28"/>
        </w:rPr>
      </w:pPr>
      <w:r>
        <w:rPr>
          <w:color w:val="FF0066"/>
          <w:szCs w:val="28"/>
        </w:rPr>
      </w:r>
    </w:p>
    <w:p>
      <w:pPr>
        <w:pStyle w:val="Normal"/>
        <w:ind w:hanging="0"/>
        <w:jc w:val="both"/>
        <w:rPr>
          <w:color w:val="FF0066"/>
          <w:szCs w:val="28"/>
        </w:rPr>
      </w:pPr>
      <w:r>
        <w:rPr>
          <w:color w:val="FF0066"/>
          <w:szCs w:val="28"/>
        </w:rPr>
      </w:r>
    </w:p>
    <w:p>
      <w:pPr>
        <w:pStyle w:val="1"/>
        <w:numPr>
          <w:ilvl w:val="0"/>
          <w:numId w:val="7"/>
        </w:numPr>
        <w:jc w:val="both"/>
        <w:rPr/>
      </w:pPr>
      <w:bookmarkStart w:id="252" w:name="__RefHeading___Toc156489412"/>
      <w:bookmarkEnd w:id="252"/>
      <w:r>
        <w:rPr>
          <w:color w:val="000000"/>
        </w:rPr>
        <w:t>ЦЕЛИ И ЗАДАЧИ ГЕНЕРАЛЬНОГО ПЛАНА ВАХИТОВСКОГО СЕЛЬСКОГО ПОСЕЛЕНИЯ</w:t>
      </w:r>
    </w:p>
    <w:p>
      <w:pPr>
        <w:pStyle w:val="112"/>
        <w:spacing w:lineRule="auto" w:line="240"/>
        <w:jc w:val="both"/>
        <w:rPr>
          <w:szCs w:val="28"/>
        </w:rPr>
      </w:pPr>
      <w:r>
        <w:rPr>
          <w:szCs w:val="28"/>
        </w:rPr>
        <w:t>Генеральный план поселения – документ территориального планирования, определяющий стратегию градостроительного развития поселения.</w:t>
      </w:r>
    </w:p>
    <w:p>
      <w:pPr>
        <w:pStyle w:val="112"/>
        <w:spacing w:lineRule="auto" w:line="240"/>
        <w:jc w:val="both"/>
        <w:rPr/>
      </w:pPr>
      <w:r>
        <w:rPr>
          <w:szCs w:val="28"/>
        </w:rPr>
        <w:t>Генеральный план является основным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территорий поселений,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pPr>
        <w:pStyle w:val="112"/>
        <w:spacing w:lineRule="auto" w:line="240"/>
        <w:jc w:val="both"/>
        <w:rPr/>
      </w:pPr>
      <w:r>
        <w:rPr>
          <w:szCs w:val="28"/>
        </w:rPr>
        <w:t>Основными целями территориального планирования при разработке генерального плана Вахитовского сельского поселения являются:</w:t>
      </w:r>
    </w:p>
    <w:p>
      <w:pPr>
        <w:pStyle w:val="Style81"/>
        <w:numPr>
          <w:ilvl w:val="0"/>
          <w:numId w:val="8"/>
        </w:numPr>
        <w:ind w:left="0" w:firstLine="709"/>
        <w:jc w:val="both"/>
        <w:rPr/>
      </w:pPr>
      <w:r>
        <w:rPr>
          <w:color w:val="000000"/>
        </w:rPr>
        <w:t xml:space="preserve"> </w:t>
      </w:r>
      <w:r>
        <w:rPr>
          <w:color w:val="000000"/>
        </w:rPr>
        <w:t xml:space="preserve">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w:t>
      </w:r>
    </w:p>
    <w:p>
      <w:pPr>
        <w:pStyle w:val="Style81"/>
        <w:numPr>
          <w:ilvl w:val="0"/>
          <w:numId w:val="8"/>
        </w:numPr>
        <w:ind w:left="0" w:firstLine="709"/>
        <w:jc w:val="both"/>
        <w:rPr/>
      </w:pPr>
      <w:r>
        <w:rPr>
          <w:color w:val="000000"/>
        </w:rPr>
        <w:t xml:space="preserve"> </w:t>
      </w:r>
      <w:r>
        <w:rPr>
          <w:color w:val="000000"/>
        </w:rPr>
        <w:t>обеспечение средствами территориального планирования целостности сельского поселения как муниципального образования;</w:t>
      </w:r>
    </w:p>
    <w:p>
      <w:pPr>
        <w:pStyle w:val="Style81"/>
        <w:numPr>
          <w:ilvl w:val="0"/>
          <w:numId w:val="8"/>
        </w:numPr>
        <w:ind w:left="0" w:firstLine="709"/>
        <w:jc w:val="both"/>
        <w:rPr/>
      </w:pPr>
      <w:r>
        <w:rPr>
          <w:color w:val="000000"/>
        </w:rPr>
        <w:t xml:space="preserve"> </w:t>
      </w:r>
      <w:r>
        <w:rPr>
          <w:color w:val="000000"/>
        </w:rPr>
        <w:t>выработка рациональных решений по планировочной организации, функциональному зонированию территории и созданию условий для проведения градостроительного зонирования, соответствующего максимальному раскрытию рекреационного и социально-экономического потенциала поселения с учетом развития инженерной и транспортной инфраструктуры.</w:t>
      </w:r>
    </w:p>
    <w:p>
      <w:pPr>
        <w:pStyle w:val="112"/>
        <w:spacing w:lineRule="auto" w:line="240"/>
        <w:jc w:val="both"/>
        <w:rPr>
          <w:szCs w:val="28"/>
        </w:rPr>
      </w:pPr>
      <w:r>
        <w:rPr>
          <w:szCs w:val="28"/>
        </w:rPr>
        <w:t>Проектные решения генерального плана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поселения;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pPr>
        <w:pStyle w:val="112"/>
        <w:spacing w:lineRule="auto" w:line="240"/>
        <w:jc w:val="both"/>
        <w:rPr>
          <w:szCs w:val="28"/>
        </w:rPr>
      </w:pPr>
      <w:r>
        <w:rPr>
          <w:szCs w:val="28"/>
        </w:rPr>
        <w:t>Реализация указанных целей осуществляется посредством решения следующих задач территориального планирования:</w:t>
      </w:r>
    </w:p>
    <w:p>
      <w:pPr>
        <w:pStyle w:val="Style81"/>
        <w:numPr>
          <w:ilvl w:val="0"/>
          <w:numId w:val="8"/>
        </w:numPr>
        <w:ind w:left="0" w:firstLine="709"/>
        <w:jc w:val="both"/>
        <w:rPr/>
      </w:pPr>
      <w:r>
        <w:rPr>
          <w:color w:val="000000"/>
        </w:rPr>
        <w:t xml:space="preserve"> </w:t>
      </w:r>
      <w:r>
        <w:rPr>
          <w:color w:val="000000"/>
        </w:rPr>
        <w:t>выявление проблем градостроительного развития территории населенных пунктов, обеспечивающих решение этих проблем на основе анализа параметров муниципальной среды, существующих ресурсов жизнеобеспечения, а также отдельных принятых градостроительных решений;</w:t>
      </w:r>
    </w:p>
    <w:p>
      <w:pPr>
        <w:pStyle w:val="Style81"/>
        <w:numPr>
          <w:ilvl w:val="0"/>
          <w:numId w:val="8"/>
        </w:numPr>
        <w:ind w:left="0" w:firstLine="709"/>
        <w:jc w:val="both"/>
        <w:rPr/>
      </w:pPr>
      <w:r>
        <w:rPr>
          <w:color w:val="000000"/>
        </w:rPr>
        <w:t xml:space="preserve"> </w:t>
      </w:r>
      <w:r>
        <w:rPr>
          <w:color w:val="000000"/>
        </w:rPr>
        <w:t>функциональное зонирование территории (отображение планируемых границ функциональных зон);</w:t>
      </w:r>
    </w:p>
    <w:p>
      <w:pPr>
        <w:pStyle w:val="Style81"/>
        <w:numPr>
          <w:ilvl w:val="0"/>
          <w:numId w:val="8"/>
        </w:numPr>
        <w:ind w:left="0" w:firstLine="709"/>
        <w:jc w:val="both"/>
        <w:rPr/>
      </w:pPr>
      <w:r>
        <w:rPr>
          <w:color w:val="000000"/>
        </w:rPr>
        <w:t xml:space="preserve"> </w:t>
      </w:r>
      <w:r>
        <w:rPr>
          <w:color w:val="000000"/>
        </w:rPr>
        <w:t>разработка оптимальной функционально-планировочной структуры населенных пунктов, создающей предпосылки для гармоничного и устойчивого развития территорий для последующей разработки градостроительного зонирования, подготовки правил землепользования и застройки;</w:t>
      </w:r>
    </w:p>
    <w:p>
      <w:pPr>
        <w:pStyle w:val="Style81"/>
        <w:numPr>
          <w:ilvl w:val="0"/>
          <w:numId w:val="8"/>
        </w:numPr>
        <w:ind w:left="0" w:firstLine="709"/>
        <w:jc w:val="both"/>
        <w:rPr/>
      </w:pPr>
      <w:r>
        <w:rPr>
          <w:color w:val="000000"/>
        </w:rPr>
        <w:t xml:space="preserve"> </w:t>
      </w:r>
      <w:r>
        <w:rPr>
          <w:color w:val="000000"/>
        </w:rPr>
        <w:t>определение системы параметров развития Вахитовского сельского поселения, обеспечивающей взаимосогласованную и сбалансированную динамику градостроительных, инфраструктурных, природных, социальных и рекреационных компонентов развития;</w:t>
      </w:r>
    </w:p>
    <w:p>
      <w:pPr>
        <w:pStyle w:val="Style81"/>
        <w:numPr>
          <w:ilvl w:val="0"/>
          <w:numId w:val="8"/>
        </w:numPr>
        <w:ind w:left="0" w:firstLine="709"/>
        <w:jc w:val="both"/>
        <w:rPr/>
      </w:pPr>
      <w:r>
        <w:rPr>
          <w:color w:val="000000"/>
        </w:rPr>
        <w:t xml:space="preserve"> </w:t>
      </w:r>
      <w:r>
        <w:rPr>
          <w:color w:val="000000"/>
        </w:rPr>
        <w:t>подготовка перечня первоочередных мероприятий и действий по обеспечению инвестиционной привлекательности сельского поселения при условии сохранения окружающей природной среды;</w:t>
      </w:r>
    </w:p>
    <w:p>
      <w:pPr>
        <w:pStyle w:val="Style81"/>
        <w:numPr>
          <w:ilvl w:val="0"/>
          <w:numId w:val="8"/>
        </w:numPr>
        <w:ind w:left="0" w:firstLine="709"/>
        <w:jc w:val="both"/>
        <w:rPr/>
      </w:pPr>
      <w:r>
        <w:rPr>
          <w:color w:val="000000"/>
        </w:rPr>
        <w:t xml:space="preserve"> </w:t>
      </w:r>
      <w:r>
        <w:rPr>
          <w:color w:val="000000"/>
        </w:rPr>
        <w:t>планируемое размещение объектов капитального строительства, существующие и планируемые границы земель промышленности, энергетики, транспорта и связи.</w:t>
      </w:r>
    </w:p>
    <w:p>
      <w:pPr>
        <w:pStyle w:val="Normal"/>
        <w:jc w:val="both"/>
        <w:rPr>
          <w:b/>
          <w:color w:val="000000"/>
          <w:szCs w:val="28"/>
        </w:rPr>
      </w:pPr>
      <w:r>
        <w:rPr>
          <w:b/>
          <w:color w:val="000000"/>
          <w:szCs w:val="28"/>
        </w:rPr>
      </w:r>
    </w:p>
    <w:p>
      <w:pPr>
        <w:pStyle w:val="Normal"/>
        <w:jc w:val="both"/>
        <w:rPr>
          <w:b/>
          <w:color w:val="FF0066"/>
          <w:szCs w:val="28"/>
        </w:rPr>
      </w:pPr>
      <w:r>
        <w:rPr>
          <w:b/>
          <w:color w:val="FF0066"/>
          <w:szCs w:val="28"/>
        </w:rPr>
      </w:r>
    </w:p>
    <w:p>
      <w:pPr>
        <w:pStyle w:val="1"/>
        <w:numPr>
          <w:ilvl w:val="0"/>
          <w:numId w:val="7"/>
        </w:numPr>
        <w:jc w:val="both"/>
        <w:rPr/>
      </w:pPr>
      <w:bookmarkStart w:id="253" w:name="__RefHeading___Toc156489413"/>
      <w:bookmarkEnd w:id="253"/>
      <w:r>
        <w:rPr/>
        <w:t>СОВРЕМЕННОЕ СОСТОЯНИЕ ВАХИТОВСКОГО СЕЛЬСКОГО ПОСЕЛЕНИЯ</w:t>
      </w:r>
    </w:p>
    <w:p>
      <w:pPr>
        <w:pStyle w:val="Normal"/>
        <w:ind w:hanging="0"/>
        <w:jc w:val="both"/>
        <w:rPr/>
      </w:pPr>
      <w:r>
        <w:rPr/>
      </w:r>
    </w:p>
    <w:p>
      <w:pPr>
        <w:pStyle w:val="2"/>
        <w:numPr>
          <w:ilvl w:val="1"/>
          <w:numId w:val="7"/>
        </w:numPr>
        <w:jc w:val="both"/>
        <w:rPr/>
      </w:pPr>
      <w:bookmarkStart w:id="254" w:name="__RefHeading___Toc156489414"/>
      <w:bookmarkEnd w:id="254"/>
      <w:r>
        <w:rPr/>
        <w:t>Экономико-географическое положение. Место Вахитовского сельского поселения в системе расселения Верхнеуслонского муниципального района</w:t>
      </w:r>
      <w:r>
        <w:rPr>
          <w:lang w:val="ru-RU"/>
        </w:rPr>
        <w:t xml:space="preserve"> Республики Татарстан</w:t>
      </w:r>
    </w:p>
    <w:p>
      <w:pPr>
        <w:pStyle w:val="Normal"/>
        <w:tabs>
          <w:tab w:val="clear" w:pos="709"/>
          <w:tab w:val="left" w:pos="6325" w:leader="none"/>
          <w:tab w:val="left" w:pos="8926" w:leader="none"/>
          <w:tab w:val="left" w:pos="9390" w:leader="none"/>
        </w:tabs>
        <w:ind w:firstLine="720"/>
        <w:jc w:val="both"/>
        <w:rPr/>
      </w:pPr>
      <w:bookmarkStart w:id="255" w:name="_Hlk151558848"/>
      <w:bookmarkEnd w:id="255"/>
      <w:r>
        <w:rPr>
          <w:szCs w:val="28"/>
        </w:rPr>
        <w:t xml:space="preserve">Граница Вахитовского сельского поселения принята в соответствии с Законом Республики Татарстан от 31 января 2005 года </w:t>
      </w:r>
      <w:r>
        <w:rPr>
          <w:color w:val="000000"/>
          <w:szCs w:val="28"/>
        </w:rPr>
        <w:t>№ 19-ЗРТ</w:t>
      </w:r>
      <w:r>
        <w:rPr>
          <w:szCs w:val="28"/>
        </w:rPr>
        <w:t xml:space="preserve"> «Об установлении границ территорий и статусе муниципального образования «Верхнеуслонский муниципальный район» и муниципальных образований в его составе» </w:t>
      </w:r>
      <w:r>
        <w:rPr/>
        <w:t>(с изменениями и дополнениями)</w:t>
      </w:r>
      <w:r>
        <w:rPr>
          <w:szCs w:val="28"/>
        </w:rPr>
        <w:t>.</w:t>
      </w:r>
    </w:p>
    <w:p>
      <w:pPr>
        <w:pStyle w:val="Normal"/>
        <w:jc w:val="both"/>
        <w:rPr/>
      </w:pPr>
      <w:r>
        <w:rPr>
          <w:szCs w:val="28"/>
        </w:rPr>
        <w:t>В состав Вахитовского сельского поселения в соответствии с этим законом входят деревня им. Мулланура Вахитова (административный центр), село Ташевка, деревни Ватан, Гребени, поселок Бакча-Сарай.</w:t>
      </w:r>
    </w:p>
    <w:p>
      <w:pPr>
        <w:pStyle w:val="Normal"/>
        <w:tabs>
          <w:tab w:val="clear" w:pos="709"/>
          <w:tab w:val="left" w:pos="6325" w:leader="none"/>
          <w:tab w:val="left" w:pos="8926" w:leader="none"/>
          <w:tab w:val="left" w:pos="9390" w:leader="none"/>
        </w:tabs>
        <w:ind w:firstLine="720"/>
        <w:jc w:val="both"/>
        <w:rPr/>
      </w:pPr>
      <w:r>
        <w:rPr>
          <w:szCs w:val="28"/>
        </w:rPr>
        <w:t>Вахитовское сельское поселение расположено в западной части Республики Татарстан,</w:t>
      </w:r>
      <w:r>
        <w:rPr>
          <w:color w:val="FF0066"/>
          <w:szCs w:val="28"/>
        </w:rPr>
        <w:t xml:space="preserve"> </w:t>
      </w:r>
      <w:r>
        <w:rPr>
          <w:szCs w:val="28"/>
        </w:rPr>
        <w:t xml:space="preserve">в восточной части Верхнеуслонского муниципального района. </w:t>
      </w:r>
      <w:r>
        <w:rPr>
          <w:spacing w:val="2"/>
          <w:szCs w:val="28"/>
          <w:shd w:fill="FFFFFF" w:val="clear"/>
        </w:rPr>
        <w:t xml:space="preserve">Поселение граничит с Октябрьским, Макуловским, Новорусско-Маматкозинским, Шеланговским сельскими поселениями </w:t>
      </w:r>
      <w:r>
        <w:rPr>
          <w:szCs w:val="28"/>
        </w:rPr>
        <w:t>Верхнеуслонского муниципального района</w:t>
      </w:r>
      <w:r>
        <w:rPr>
          <w:spacing w:val="2"/>
          <w:szCs w:val="28"/>
          <w:shd w:fill="FFFFFF" w:val="clear"/>
        </w:rPr>
        <w:t xml:space="preserve"> и Лаишевским муниципальным районом </w:t>
      </w:r>
      <w:r>
        <w:rPr>
          <w:szCs w:val="28"/>
        </w:rPr>
        <w:t>Республики Татарстан</w:t>
      </w:r>
      <w:r>
        <w:rPr>
          <w:spacing w:val="2"/>
          <w:szCs w:val="28"/>
          <w:shd w:fill="FFFFFF" w:val="clear"/>
        </w:rPr>
        <w:t xml:space="preserve">. </w:t>
      </w:r>
    </w:p>
    <w:p>
      <w:pPr>
        <w:pStyle w:val="113"/>
        <w:spacing w:lineRule="auto" w:line="240"/>
        <w:jc w:val="both"/>
        <w:rPr/>
      </w:pPr>
      <w:bookmarkStart w:id="256" w:name="_Hlk156480273"/>
      <w:bookmarkEnd w:id="256"/>
      <w:r>
        <w:rPr>
          <w:color w:val="000000"/>
          <w:sz w:val="28"/>
          <w:szCs w:val="28"/>
        </w:rPr>
        <w:t>Общая площадь Вахитовского сельского поселения составляет 5130,5560 га, в т.ч. площадь населенных пунктов 212,2144 га, из них: д.им. Мулланура Вахитова – 51,6637  га, с.Ташевка – 48,3307 га, д.Ватан – 23,8578 га, д.Гребени – 37,7559 га, п.Бакча-Сарай – 50,6063 га (согласно картографическому материалу).</w:t>
      </w:r>
    </w:p>
    <w:p>
      <w:pPr>
        <w:pStyle w:val="Normal"/>
        <w:jc w:val="both"/>
        <w:rPr/>
      </w:pPr>
      <w:bookmarkStart w:id="257" w:name="_Hlk156480273"/>
      <w:bookmarkEnd w:id="257"/>
      <w:r>
        <w:rPr>
          <w:szCs w:val="28"/>
        </w:rPr>
        <w:t>Согласно Стратегии социально-экономического развития Республики Татарстан до 2030 года, утвержденной Законом Республики Татарстан от 17 июня 2015 г. №40-ЗРТ, Верхнеуслонский муниципальный район входит в Казанскую экономическую зону. Отраслевая структура Казанской экономической зоны определяется такими отраслями, как химическая промышленность (химия и нефтехимия), электроэнергетика, машиностроение (авиастроение, судостроение, производство электрооборудования), легкая промышленность, агропромышленный комплекс, новое строительство и производство строительных материалов.</w:t>
      </w:r>
    </w:p>
    <w:p>
      <w:pPr>
        <w:pStyle w:val="Normal"/>
        <w:tabs>
          <w:tab w:val="clear" w:pos="709"/>
          <w:tab w:val="left" w:pos="6325" w:leader="none"/>
          <w:tab w:val="left" w:pos="8926" w:leader="none"/>
          <w:tab w:val="left" w:pos="9390" w:leader="none"/>
        </w:tabs>
        <w:ind w:firstLine="720"/>
        <w:jc w:val="both"/>
        <w:rPr/>
      </w:pPr>
      <w:bookmarkStart w:id="258" w:name="_Hlk151558848"/>
      <w:bookmarkEnd w:id="258"/>
      <w:r>
        <w:rPr>
          <w:color w:val="000000"/>
          <w:szCs w:val="28"/>
        </w:rPr>
        <w:t>В поселении имеются один детский сад, средняя общеобразовательная школа, основная общеобразовательная школа два фельдшерско-акушерских пункта, два сельских дома культуры, две библиотеки, объекты торговли, отделение почты, две мечети и церковь, парк культуры и отдыха, глэмпинг и семейный мусульманский лагерь.</w:t>
      </w:r>
    </w:p>
    <w:p>
      <w:pPr>
        <w:pStyle w:val="Normal"/>
        <w:jc w:val="both"/>
        <w:rPr/>
      </w:pPr>
      <w:bookmarkStart w:id="259" w:name="_Hlk151558853"/>
      <w:bookmarkEnd w:id="259"/>
      <w:r>
        <w:rPr>
          <w:color w:val="000000"/>
          <w:szCs w:val="28"/>
        </w:rPr>
        <w:t>Транспортная связь Вахитовского сельского поселения с другими поселениями и районами Республики Татарстан в настоящее время осуществляется через</w:t>
      </w:r>
      <w:r>
        <w:rPr>
          <w:rStyle w:val="Style21"/>
          <w:rFonts w:cs="Times New Roman" w:ascii="Times New Roman" w:hAnsi="Times New Roman"/>
          <w:color w:val="000000"/>
          <w:sz w:val="28"/>
          <w:szCs w:val="28"/>
        </w:rPr>
        <w:t xml:space="preserve"> </w:t>
      </w:r>
      <w:r>
        <w:rPr>
          <w:color w:val="000000"/>
          <w:szCs w:val="28"/>
        </w:rPr>
        <w:t xml:space="preserve">автомобильные дороги регионального или межмуниципального значения «Казань – Ульяновск – Камское Устье», «Вахитово – Ташевка», «Янга-Болгар – Матюшино – Бакча-Сарай», «Подъезд к д.Ватан», «Казань – Ульяновск – Камское Устье – Гребени» </w:t>
      </w:r>
      <w:r>
        <w:rPr>
          <w:rStyle w:val="Style21"/>
          <w:rFonts w:cs="Times New Roman" w:ascii="Times New Roman" w:hAnsi="Times New Roman"/>
          <w:color w:val="000000"/>
          <w:sz w:val="28"/>
          <w:szCs w:val="28"/>
        </w:rPr>
        <w:t>и автомобильные дороги местного значения.</w:t>
      </w:r>
    </w:p>
    <w:p>
      <w:pPr>
        <w:pStyle w:val="Style82"/>
        <w:ind w:firstLine="700"/>
        <w:jc w:val="both"/>
        <w:rPr/>
      </w:pPr>
      <w:bookmarkStart w:id="260" w:name="_Hlk151558853"/>
      <w:bookmarkEnd w:id="260"/>
      <w:r>
        <w:rPr>
          <w:szCs w:val="28"/>
        </w:rPr>
        <w:t>Роль в системе расселения</w:t>
      </w:r>
    </w:p>
    <w:p>
      <w:pPr>
        <w:pStyle w:val="Style83"/>
        <w:tabs>
          <w:tab w:val="clear" w:pos="1219"/>
        </w:tabs>
        <w:ind w:left="0" w:firstLine="720"/>
        <w:jc w:val="both"/>
        <w:rPr/>
      </w:pPr>
      <w:r>
        <w:rPr>
          <w:color w:val="000000"/>
        </w:rPr>
        <w:t xml:space="preserve">Территориальная организация Вахитовского сельского поселения является частью системы расселения Верхнеуслонского муниципального района, которая входит в систему расселения Республики Татарстан и характеризуется как общими признаками развития ее территории, так и конкретными градостроительными ситуациями. </w:t>
      </w:r>
    </w:p>
    <w:p>
      <w:pPr>
        <w:pStyle w:val="Normal"/>
        <w:ind w:firstLine="720"/>
        <w:jc w:val="both"/>
        <w:rPr/>
      </w:pPr>
      <w:r>
        <w:rPr>
          <w:color w:val="000000"/>
          <w:szCs w:val="28"/>
        </w:rPr>
        <w:t>Основным системообразующим фактором в системе расселения является автомобильная дорога, по которой осуществляется связь населенных пунктов друг с другом, с районным центром с. Верхний Услон</w:t>
      </w:r>
      <w:r>
        <w:rPr>
          <w:color w:val="000000"/>
        </w:rPr>
        <w:t xml:space="preserve"> </w:t>
      </w:r>
      <w:r>
        <w:rPr>
          <w:color w:val="000000"/>
          <w:szCs w:val="28"/>
        </w:rPr>
        <w:t xml:space="preserve">и г.Казань. В Вахитовском сельском поселении данной автомобильной дорогой является автомобильная дорога регионального или межмуниципального значения «Казань – Ульяновск – Камское Устье». </w:t>
      </w:r>
    </w:p>
    <w:p>
      <w:pPr>
        <w:pStyle w:val="Normal"/>
        <w:ind w:firstLine="720"/>
        <w:jc w:val="both"/>
        <w:rPr/>
      </w:pPr>
      <w:r>
        <w:rPr>
          <w:color w:val="000000"/>
          <w:szCs w:val="28"/>
        </w:rPr>
        <w:t>Вторым системообразующим фактором является речная сеть, по которой в результате исторического развития начала формироваться система расселения территории поселения, района и всей территории Республики Татарстан. В Вахитовском сельском поселении речная сеть представлена реками Волга, Большая Ташевка, Малая Ташевка.</w:t>
      </w:r>
    </w:p>
    <w:p>
      <w:pPr>
        <w:pStyle w:val="113"/>
        <w:spacing w:lineRule="auto" w:line="240"/>
        <w:jc w:val="both"/>
        <w:rPr/>
      </w:pPr>
      <w:r>
        <w:rPr>
          <w:color w:val="000000"/>
          <w:sz w:val="28"/>
          <w:szCs w:val="28"/>
        </w:rPr>
        <w:t xml:space="preserve">На начало 2023 г. средняя плотность Вахитовского сельского поселения составила 7,74 чел. на 1 кв.км. </w:t>
      </w:r>
    </w:p>
    <w:p>
      <w:pPr>
        <w:pStyle w:val="Normal"/>
        <w:jc w:val="both"/>
        <w:rPr/>
      </w:pPr>
      <w:r>
        <w:rPr>
          <w:color w:val="000000"/>
          <w:szCs w:val="28"/>
        </w:rPr>
        <w:t xml:space="preserve">На территории Вахитовского сельского поселения население, с общей численностью населения 432 человек, проживает на территории четырех населенных пунктов: д.им. Мулланура Вахитова – центр поселения, с.Ташевка, д.Ватан, д.Гребени, п.Бакча-Сарай – рядовые населенные пункты. </w:t>
      </w:r>
    </w:p>
    <w:p>
      <w:pPr>
        <w:pStyle w:val="113"/>
        <w:spacing w:lineRule="auto" w:line="240"/>
        <w:jc w:val="both"/>
        <w:rPr/>
      </w:pPr>
      <w:r>
        <w:rPr>
          <w:sz w:val="28"/>
          <w:szCs w:val="28"/>
        </w:rPr>
        <w:t xml:space="preserve">Система расселения Вахитовского сельского поселения имеет двухранговый характер. </w:t>
      </w:r>
    </w:p>
    <w:p>
      <w:pPr>
        <w:pStyle w:val="113"/>
        <w:spacing w:lineRule="auto" w:line="240"/>
        <w:jc w:val="both"/>
        <w:rPr/>
      </w:pPr>
      <w:r>
        <w:rPr>
          <w:sz w:val="28"/>
          <w:szCs w:val="28"/>
        </w:rPr>
        <w:t>Первый ранг занимает центр поселения д.им.Мулланура Вахитова</w:t>
      </w:r>
      <w:r>
        <w:rPr>
          <w:szCs w:val="28"/>
        </w:rPr>
        <w:t xml:space="preserve"> </w:t>
      </w:r>
      <w:r>
        <w:rPr>
          <w:sz w:val="28"/>
          <w:szCs w:val="28"/>
        </w:rPr>
        <w:t>с общей численностью населения 203 человек, где размещены административные функции, культуры, здравоохранения, предприятия торговли.</w:t>
      </w:r>
    </w:p>
    <w:p>
      <w:pPr>
        <w:pStyle w:val="113"/>
        <w:spacing w:lineRule="auto" w:line="240"/>
        <w:jc w:val="both"/>
        <w:rPr/>
      </w:pPr>
      <w:r>
        <w:rPr>
          <w:sz w:val="28"/>
          <w:szCs w:val="28"/>
        </w:rPr>
        <w:t>Второй ранг занимают п.Бакча-Сарай с общей численностью населения 161 человек, с.Ташевка с общей численностью 44 человека, д.Ватан с общей численностью населения 24 человека, д.Гребени с численностью населения 0 человек.</w:t>
      </w:r>
    </w:p>
    <w:p>
      <w:pPr>
        <w:pStyle w:val="Normal"/>
        <w:ind w:hanging="0"/>
        <w:jc w:val="both"/>
        <w:rPr>
          <w:color w:val="FF0066"/>
          <w:sz w:val="28"/>
          <w:szCs w:val="28"/>
        </w:rPr>
      </w:pPr>
      <w:r>
        <w:rPr>
          <w:color w:val="FF0066"/>
          <w:sz w:val="28"/>
          <w:szCs w:val="28"/>
        </w:rPr>
      </w:r>
    </w:p>
    <w:p>
      <w:pPr>
        <w:pStyle w:val="2"/>
        <w:numPr>
          <w:ilvl w:val="1"/>
          <w:numId w:val="7"/>
        </w:numPr>
        <w:jc w:val="both"/>
        <w:rPr/>
      </w:pPr>
      <w:bookmarkStart w:id="261" w:name="__RefHeading___Toc156489415"/>
      <w:bookmarkEnd w:id="261"/>
      <w:r>
        <w:rPr/>
        <w:t>Характеристика земельного фонда</w:t>
      </w:r>
    </w:p>
    <w:p>
      <w:pPr>
        <w:pStyle w:val="Normal0"/>
        <w:ind w:firstLine="709"/>
        <w:jc w:val="both"/>
        <w:rPr>
          <w:u w:val="single"/>
        </w:rPr>
      </w:pPr>
      <w:r>
        <w:rPr>
          <w:u w:val="single"/>
        </w:rPr>
        <w:t xml:space="preserve">Распределение земельного фонда по категориям </w:t>
      </w:r>
    </w:p>
    <w:p>
      <w:pPr>
        <w:pStyle w:val="113"/>
        <w:spacing w:lineRule="auto" w:line="240"/>
        <w:ind w:firstLine="709"/>
        <w:jc w:val="both"/>
        <w:rPr/>
      </w:pPr>
      <w:r>
        <w:rPr>
          <w:sz w:val="28"/>
          <w:szCs w:val="28"/>
        </w:rPr>
        <w:t>Все земли, расположенные в границах той или иной территории, рассматриваются как ее земельные ресурсы, которые либо вовлечены в хозяйственный оборот, либо могут быть использованы в нем.</w:t>
      </w:r>
    </w:p>
    <w:p>
      <w:pPr>
        <w:pStyle w:val="113"/>
        <w:spacing w:lineRule="auto" w:line="240"/>
        <w:ind w:firstLine="709"/>
        <w:jc w:val="both"/>
        <w:rPr>
          <w:sz w:val="28"/>
          <w:szCs w:val="28"/>
        </w:rPr>
      </w:pPr>
      <w:r>
        <w:rPr>
          <w:sz w:val="28"/>
          <w:szCs w:val="28"/>
        </w:rPr>
        <w:t>В соответствии со статьей 7 п.1 Земельного кодекса Российской Федерации земли в Российской Федерации по целевому назначению подразделяются на следующие категории:</w:t>
      </w:r>
    </w:p>
    <w:p>
      <w:pPr>
        <w:pStyle w:val="Style81"/>
        <w:numPr>
          <w:ilvl w:val="0"/>
          <w:numId w:val="8"/>
        </w:numPr>
        <w:jc w:val="both"/>
        <w:rPr/>
      </w:pPr>
      <w:r>
        <w:rPr/>
        <w:t>земли сельскохозяйственного назначения;</w:t>
      </w:r>
    </w:p>
    <w:p>
      <w:pPr>
        <w:pStyle w:val="Style81"/>
        <w:numPr>
          <w:ilvl w:val="0"/>
          <w:numId w:val="8"/>
        </w:numPr>
        <w:jc w:val="both"/>
        <w:rPr/>
      </w:pPr>
      <w:r>
        <w:rPr/>
        <w:t>земли населенных пунктов;</w:t>
      </w:r>
    </w:p>
    <w:p>
      <w:pPr>
        <w:pStyle w:val="Style81"/>
        <w:numPr>
          <w:ilvl w:val="0"/>
          <w:numId w:val="8"/>
        </w:numPr>
        <w:jc w:val="both"/>
        <w:rPr/>
      </w:pPr>
      <w:r>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p>
      <w:pPr>
        <w:pStyle w:val="Style81"/>
        <w:numPr>
          <w:ilvl w:val="0"/>
          <w:numId w:val="8"/>
        </w:numPr>
        <w:jc w:val="both"/>
        <w:rPr/>
      </w:pPr>
      <w:r>
        <w:rPr/>
        <w:t>земли особо охраняемых территорий и объектов;</w:t>
      </w:r>
    </w:p>
    <w:p>
      <w:pPr>
        <w:pStyle w:val="Style81"/>
        <w:numPr>
          <w:ilvl w:val="0"/>
          <w:numId w:val="8"/>
        </w:numPr>
        <w:jc w:val="both"/>
        <w:rPr/>
      </w:pPr>
      <w:r>
        <w:rPr/>
        <w:t>земли лесного фонда;</w:t>
      </w:r>
    </w:p>
    <w:p>
      <w:pPr>
        <w:pStyle w:val="Style81"/>
        <w:numPr>
          <w:ilvl w:val="0"/>
          <w:numId w:val="8"/>
        </w:numPr>
        <w:jc w:val="both"/>
        <w:rPr/>
      </w:pPr>
      <w:r>
        <w:rPr/>
        <w:t>земли водного фонда;</w:t>
      </w:r>
    </w:p>
    <w:p>
      <w:pPr>
        <w:pStyle w:val="Style81"/>
        <w:numPr>
          <w:ilvl w:val="0"/>
          <w:numId w:val="8"/>
        </w:numPr>
        <w:jc w:val="both"/>
        <w:rPr/>
      </w:pPr>
      <w:r>
        <w:rPr/>
        <w:t>земли запаса.</w:t>
      </w:r>
    </w:p>
    <w:p>
      <w:pPr>
        <w:pStyle w:val="Normal"/>
        <w:ind w:firstLine="700"/>
        <w:jc w:val="both"/>
        <w:rPr/>
      </w:pPr>
      <w:r>
        <w:rPr>
          <w:szCs w:val="28"/>
        </w:rPr>
        <w:t>Общая площадь Вахитовского сельского поселения составляет 5130,5560 га (согласно картографическому материалу).</w:t>
      </w:r>
    </w:p>
    <w:p>
      <w:pPr>
        <w:pStyle w:val="Normal"/>
        <w:ind w:firstLine="700"/>
        <w:jc w:val="both"/>
        <w:rPr/>
      </w:pPr>
      <w:r>
        <w:rPr>
          <w:szCs w:val="28"/>
        </w:rPr>
        <w:t>Земли лесного фонда занимают территорию 1549,8250 га, что составляет около 30% от всей площади сельского поселения (согласно картографическому материалу).</w:t>
      </w:r>
    </w:p>
    <w:p>
      <w:pPr>
        <w:pStyle w:val="Normal0"/>
        <w:ind w:firstLine="709"/>
        <w:jc w:val="both"/>
        <w:rPr>
          <w:color w:val="000000"/>
        </w:rPr>
      </w:pPr>
      <w:r>
        <w:rPr>
          <w:color w:val="000000"/>
        </w:rPr>
        <w:t>Информация по остальным категориям земель территории сельского поселения отсутствует.</w:t>
      </w:r>
    </w:p>
    <w:p>
      <w:pPr>
        <w:pStyle w:val="Normal0"/>
        <w:ind w:firstLine="709"/>
        <w:jc w:val="both"/>
        <w:rPr>
          <w:color w:val="000000"/>
          <w:u w:val="single"/>
        </w:rPr>
      </w:pPr>
      <w:r>
        <w:rPr>
          <w:color w:val="000000"/>
          <w:u w:val="single"/>
        </w:rPr>
        <w:t>Распределение земельного фонда по формам собственности</w:t>
      </w:r>
    </w:p>
    <w:p>
      <w:pPr>
        <w:pStyle w:val="Normal"/>
        <w:ind w:firstLine="700"/>
        <w:jc w:val="both"/>
        <w:rPr/>
      </w:pPr>
      <w:r>
        <w:rPr>
          <w:szCs w:val="28"/>
        </w:rPr>
        <w:t>Информация о наличии земель в федеральной собственности на территории Вахитовского сельского поселения отсутствует.</w:t>
      </w:r>
    </w:p>
    <w:p>
      <w:pPr>
        <w:pStyle w:val="Normal"/>
        <w:ind w:firstLine="700"/>
        <w:jc w:val="both"/>
        <w:rPr/>
      </w:pPr>
      <w:r>
        <w:rPr>
          <w:szCs w:val="28"/>
        </w:rPr>
        <w:t xml:space="preserve">Однако, согласно статье 8 Лесного кодекса, лесные участки в составе земель лесного фонда находятся в федеральной собственности. На территории </w:t>
      </w:r>
      <w:r>
        <w:rPr>
          <w:szCs w:val="20"/>
        </w:rPr>
        <w:t xml:space="preserve">Вахитовского </w:t>
      </w:r>
      <w:r>
        <w:rPr>
          <w:szCs w:val="28"/>
        </w:rPr>
        <w:t xml:space="preserve">сельского поселения имеется ориентировочно 1549,8250 </w:t>
      </w:r>
      <w:r>
        <w:rPr/>
        <w:t xml:space="preserve">га </w:t>
      </w:r>
      <w:r>
        <w:rPr>
          <w:szCs w:val="28"/>
        </w:rPr>
        <w:t>общей площади лесных земель, находящихся в федеральной собственности.</w:t>
      </w:r>
    </w:p>
    <w:p>
      <w:pPr>
        <w:pStyle w:val="Normal0"/>
        <w:ind w:firstLine="709"/>
        <w:jc w:val="both"/>
        <w:rPr>
          <w:rFonts w:eastAsia="Calibri"/>
          <w:color w:val="000000"/>
        </w:rPr>
      </w:pPr>
      <w:r>
        <w:rPr>
          <w:rFonts w:eastAsia="Calibri"/>
          <w:color w:val="000000"/>
        </w:rPr>
        <w:t>По данным Министерства земельных и имущественных отношений Республики Татарстан в сельском поселении располагается 2 земельных участка, находящихся в республиканской собственности, общая площадь территории которых составляет 1,073 га.</w:t>
      </w:r>
    </w:p>
    <w:p>
      <w:pPr>
        <w:pStyle w:val="Normal0"/>
        <w:jc w:val="both"/>
        <w:rPr/>
      </w:pPr>
      <w:r>
        <w:rPr>
          <w:rFonts w:eastAsia="Calibri"/>
          <w:color w:val="000000"/>
          <w:lang w:val="ru-RU"/>
        </w:rPr>
        <w:t>Таблица 3.2.1</w:t>
      </w:r>
    </w:p>
    <w:p>
      <w:pPr>
        <w:pStyle w:val="Normal0"/>
        <w:jc w:val="both"/>
        <w:rPr/>
      </w:pPr>
      <w:r>
        <w:rPr>
          <w:rFonts w:eastAsia="Calibri"/>
          <w:color w:val="000000"/>
          <w:lang w:val="ru-RU"/>
        </w:rPr>
        <w:t>Перечень земельных участков в границах Вахитовск</w:t>
      </w:r>
      <w:r>
        <w:rPr/>
        <w:t>ого сельского поселения, находящихся в республиканской собственности</w:t>
      </w:r>
    </w:p>
    <w:tbl>
      <w:tblPr>
        <w:tblW w:w="10031" w:type="dxa"/>
        <w:jc w:val="left"/>
        <w:tblInd w:w="-113" w:type="dxa"/>
        <w:tblLayout w:type="fixed"/>
        <w:tblCellMar>
          <w:top w:w="0" w:type="dxa"/>
          <w:left w:w="108" w:type="dxa"/>
          <w:bottom w:w="0" w:type="dxa"/>
          <w:right w:w="108" w:type="dxa"/>
        </w:tblCellMar>
      </w:tblPr>
      <w:tblGrid>
        <w:gridCol w:w="534"/>
        <w:gridCol w:w="3260"/>
        <w:gridCol w:w="2410"/>
        <w:gridCol w:w="2409"/>
        <w:gridCol w:w="1418"/>
      </w:tblGrid>
      <w:tr>
        <w:trPr/>
        <w:tc>
          <w:tcPr>
            <w:tcW w:w="534" w:type="dxa"/>
            <w:tcBorders>
              <w:top w:val="single" w:sz="4" w:space="0" w:color="000000"/>
              <w:left w:val="single" w:sz="4" w:space="0" w:color="000000"/>
              <w:bottom w:val="single" w:sz="4" w:space="0" w:color="000000"/>
              <w:right w:val="single" w:sz="4" w:space="0" w:color="000000"/>
            </w:tcBorders>
            <w:vAlign w:val="center"/>
          </w:tcPr>
          <w:p>
            <w:pPr>
              <w:pStyle w:val="Normal0"/>
              <w:ind w:hanging="0"/>
              <w:jc w:val="both"/>
              <w:rPr>
                <w:color w:val="000000"/>
                <w:sz w:val="22"/>
                <w:szCs w:val="22"/>
                <w:lang w:val="ru-RU"/>
              </w:rPr>
            </w:pPr>
            <w:r>
              <w:rPr>
                <w:color w:val="000000"/>
                <w:sz w:val="22"/>
                <w:szCs w:val="22"/>
                <w:lang w:val="ru-RU"/>
              </w:rPr>
              <w:t xml:space="preserve">№ </w:t>
            </w:r>
            <w:r>
              <w:rPr>
                <w:color w:val="000000"/>
                <w:sz w:val="22"/>
                <w:szCs w:val="22"/>
                <w:lang w:val="ru-RU"/>
              </w:rPr>
              <w:t>п/п</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Normal0"/>
              <w:ind w:hanging="0"/>
              <w:jc w:val="both"/>
              <w:rPr>
                <w:color w:val="000000"/>
                <w:sz w:val="22"/>
                <w:szCs w:val="22"/>
                <w:lang w:val="ru-RU"/>
              </w:rPr>
            </w:pPr>
            <w:r>
              <w:rPr>
                <w:color w:val="000000"/>
                <w:sz w:val="22"/>
                <w:szCs w:val="22"/>
                <w:lang w:val="ru-RU"/>
              </w:rPr>
              <w:t>Местоположение участка</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Normal0"/>
              <w:ind w:hanging="0"/>
              <w:jc w:val="both"/>
              <w:rPr>
                <w:color w:val="000000"/>
                <w:sz w:val="22"/>
                <w:szCs w:val="22"/>
                <w:lang w:val="ru-RU"/>
              </w:rPr>
            </w:pPr>
            <w:r>
              <w:rPr>
                <w:color w:val="000000"/>
                <w:sz w:val="22"/>
                <w:szCs w:val="22"/>
                <w:lang w:val="ru-RU"/>
              </w:rPr>
              <w:t>Категория земель</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Normal0"/>
              <w:ind w:hanging="0"/>
              <w:jc w:val="both"/>
              <w:rPr>
                <w:color w:val="000000"/>
                <w:sz w:val="22"/>
                <w:szCs w:val="22"/>
                <w:lang w:val="ru-RU"/>
              </w:rPr>
            </w:pPr>
            <w:r>
              <w:rPr>
                <w:color w:val="000000"/>
                <w:sz w:val="22"/>
                <w:szCs w:val="22"/>
                <w:lang w:val="ru-RU"/>
              </w:rPr>
              <w:t>Наименование землепользователя</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0"/>
              <w:ind w:hanging="0"/>
              <w:jc w:val="both"/>
              <w:rPr>
                <w:color w:val="000000"/>
                <w:sz w:val="22"/>
                <w:szCs w:val="22"/>
                <w:lang w:val="ru-RU"/>
              </w:rPr>
            </w:pPr>
            <w:r>
              <w:rPr>
                <w:color w:val="000000"/>
                <w:sz w:val="22"/>
                <w:szCs w:val="22"/>
                <w:lang w:val="ru-RU"/>
              </w:rPr>
              <w:t>Площадь участка, га</w:t>
            </w:r>
          </w:p>
        </w:tc>
      </w:tr>
      <w:tr>
        <w:trPr/>
        <w:tc>
          <w:tcPr>
            <w:tcW w:w="534" w:type="dxa"/>
            <w:tcBorders>
              <w:top w:val="single" w:sz="4" w:space="0" w:color="000000"/>
              <w:left w:val="single" w:sz="4" w:space="0" w:color="000000"/>
              <w:bottom w:val="single" w:sz="4" w:space="0" w:color="000000"/>
              <w:right w:val="single" w:sz="4" w:space="0" w:color="000000"/>
            </w:tcBorders>
            <w:vAlign w:val="center"/>
          </w:tcPr>
          <w:p>
            <w:pPr>
              <w:pStyle w:val="Normal0"/>
              <w:ind w:hanging="0"/>
              <w:jc w:val="both"/>
              <w:rPr>
                <w:color w:val="000000"/>
                <w:sz w:val="22"/>
                <w:szCs w:val="22"/>
                <w:lang w:val="ru-RU"/>
              </w:rPr>
            </w:pPr>
            <w:r>
              <w:rPr>
                <w:color w:val="000000"/>
                <w:sz w:val="22"/>
                <w:szCs w:val="22"/>
                <w:lang w:val="ru-RU"/>
              </w:rPr>
              <w:t>1</w:t>
            </w:r>
          </w:p>
        </w:tc>
        <w:tc>
          <w:tcPr>
            <w:tcW w:w="3260" w:type="dxa"/>
            <w:tcBorders>
              <w:top w:val="single" w:sz="4" w:space="0" w:color="000000"/>
              <w:left w:val="single" w:sz="4" w:space="0" w:color="000000"/>
              <w:bottom w:val="single" w:sz="4" w:space="0" w:color="000000"/>
              <w:right w:val="single" w:sz="4" w:space="0" w:color="000000"/>
            </w:tcBorders>
            <w:vAlign w:val="center"/>
          </w:tcPr>
          <w:p>
            <w:pPr>
              <w:pStyle w:val="Normal0"/>
              <w:ind w:hanging="0"/>
              <w:jc w:val="both"/>
              <w:rPr/>
            </w:pPr>
            <w:r>
              <w:rPr>
                <w:color w:val="000000"/>
                <w:sz w:val="22"/>
                <w:szCs w:val="22"/>
                <w:lang w:val="ru-RU"/>
              </w:rPr>
              <w:t>Верхнеуслонский МР, Вахитовское СП, з/у 16:15:000000:493</w:t>
            </w:r>
          </w:p>
        </w:tc>
        <w:tc>
          <w:tcPr>
            <w:tcW w:w="2410" w:type="dxa"/>
            <w:tcBorders>
              <w:top w:val="single" w:sz="4" w:space="0" w:color="000000"/>
              <w:left w:val="single" w:sz="4" w:space="0" w:color="000000"/>
              <w:bottom w:val="single" w:sz="4" w:space="0" w:color="000000"/>
              <w:right w:val="single" w:sz="4" w:space="0" w:color="000000"/>
            </w:tcBorders>
            <w:vAlign w:val="center"/>
          </w:tcPr>
          <w:p>
            <w:pPr>
              <w:pStyle w:val="Normal0"/>
              <w:ind w:hanging="0"/>
              <w:jc w:val="both"/>
              <w:rPr/>
            </w:pPr>
            <w:r>
              <w:rPr>
                <w:color w:val="000000"/>
                <w:sz w:val="22"/>
                <w:szCs w:val="22"/>
                <w:lang w:val="ru-RU"/>
              </w:rPr>
              <w:t>Земли промышленности</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Normal0"/>
              <w:ind w:hanging="0"/>
              <w:jc w:val="both"/>
              <w:rPr/>
            </w:pPr>
            <w:r>
              <w:rPr>
                <w:color w:val="000000"/>
                <w:sz w:val="22"/>
                <w:szCs w:val="22"/>
                <w:lang w:val="ru-RU"/>
              </w:rPr>
              <w:t>ГКУ «Главтатдортранс» «Казань-Ульяновск» - Камское Устье»</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0"/>
              <w:ind w:hanging="0"/>
              <w:jc w:val="both"/>
              <w:rPr/>
            </w:pPr>
            <w:r>
              <w:rPr>
                <w:color w:val="000000"/>
                <w:sz w:val="22"/>
                <w:szCs w:val="22"/>
                <w:lang w:val="ru-RU"/>
              </w:rPr>
              <w:t>8,8328</w:t>
            </w:r>
          </w:p>
        </w:tc>
      </w:tr>
    </w:tbl>
    <w:p>
      <w:pPr>
        <w:pStyle w:val="Normal0"/>
        <w:jc w:val="both"/>
        <w:rPr>
          <w:color w:val="000000"/>
          <w:lang w:val="ru-RU"/>
        </w:rPr>
      </w:pPr>
      <w:r>
        <w:rPr>
          <w:color w:val="000000"/>
          <w:lang w:val="ru-RU"/>
        </w:rPr>
      </w:r>
    </w:p>
    <w:p>
      <w:pPr>
        <w:pStyle w:val="Normal"/>
        <w:ind w:firstLine="700"/>
        <w:jc w:val="both"/>
        <w:rPr/>
      </w:pPr>
      <w:r>
        <w:rPr>
          <w:color w:val="000000"/>
        </w:rPr>
        <w:t>Информация о наличии земельных участков в иных видах и правах собственности на территории Вахитовского сельского поселения отсутствует.</w:t>
      </w:r>
    </w:p>
    <w:p>
      <w:pPr>
        <w:pStyle w:val="112"/>
        <w:spacing w:lineRule="auto" w:line="240"/>
        <w:ind w:hanging="0"/>
        <w:jc w:val="both"/>
        <w:rPr>
          <w:color w:val="FF0066"/>
          <w:szCs w:val="28"/>
          <w:u w:val="single"/>
        </w:rPr>
      </w:pPr>
      <w:r>
        <w:rPr>
          <w:color w:val="FF0066"/>
          <w:szCs w:val="28"/>
          <w:u w:val="single"/>
        </w:rPr>
      </w:r>
    </w:p>
    <w:p>
      <w:pPr>
        <w:pStyle w:val="2"/>
        <w:numPr>
          <w:ilvl w:val="1"/>
          <w:numId w:val="7"/>
        </w:numPr>
        <w:jc w:val="both"/>
        <w:rPr>
          <w:bCs w:val="false"/>
          <w:szCs w:val="20"/>
        </w:rPr>
      </w:pPr>
      <w:bookmarkStart w:id="262" w:name="__RefHeading___Toc156489416"/>
      <w:bookmarkEnd w:id="262"/>
      <w:r>
        <w:rPr>
          <w:bCs w:val="false"/>
          <w:szCs w:val="20"/>
        </w:rPr>
        <w:t>Демографический потенциал</w:t>
      </w:r>
    </w:p>
    <w:p>
      <w:pPr>
        <w:pStyle w:val="Normal"/>
        <w:ind w:firstLine="680"/>
        <w:jc w:val="both"/>
        <w:rPr>
          <w:color w:val="000000"/>
          <w:szCs w:val="20"/>
        </w:rPr>
      </w:pPr>
      <w:r>
        <w:rPr>
          <w:color w:val="000000"/>
          <w:szCs w:val="20"/>
        </w:rPr>
        <w:t>Демографический фактор оказывает наибольшее влияние на уровень хозяйственного освоения территории и экономического развития общества.</w:t>
      </w:r>
    </w:p>
    <w:p>
      <w:pPr>
        <w:pStyle w:val="Normal"/>
        <w:ind w:firstLine="680"/>
        <w:jc w:val="both"/>
        <w:rPr/>
      </w:pPr>
      <w:r>
        <w:rPr>
          <w:color w:val="000000"/>
          <w:szCs w:val="20"/>
        </w:rPr>
        <w:t xml:space="preserve">По данным, предоставленным исполнительным комитетом </w:t>
      </w:r>
      <w:r>
        <w:rPr>
          <w:color w:val="000000"/>
          <w:szCs w:val="28"/>
        </w:rPr>
        <w:t>Вахитовского</w:t>
      </w:r>
      <w:r>
        <w:rPr>
          <w:color w:val="000000"/>
          <w:szCs w:val="20"/>
        </w:rPr>
        <w:t xml:space="preserve"> сельского поселения, на начало 2023г. численность населения составила 683 человек.</w:t>
      </w:r>
    </w:p>
    <w:p>
      <w:pPr>
        <w:pStyle w:val="Normal"/>
        <w:ind w:firstLine="680"/>
        <w:jc w:val="both"/>
        <w:rPr/>
      </w:pPr>
      <w:r>
        <w:rPr>
          <w:color w:val="000000"/>
          <w:szCs w:val="20"/>
        </w:rPr>
        <w:t xml:space="preserve">Демографическая структура </w:t>
      </w:r>
      <w:r>
        <w:rPr>
          <w:color w:val="000000"/>
          <w:szCs w:val="28"/>
        </w:rPr>
        <w:t>Вахитовского</w:t>
      </w:r>
      <w:r>
        <w:rPr>
          <w:color w:val="000000"/>
          <w:szCs w:val="20"/>
        </w:rPr>
        <w:t xml:space="preserve"> сельского поселения в разрезе населенных пунктов представлена в таблице 3.3.1.</w:t>
      </w:r>
    </w:p>
    <w:p>
      <w:pPr>
        <w:sectPr>
          <w:footnotePr>
            <w:numFmt w:val="decimal"/>
          </w:footnotePr>
          <w:type w:val="nextPage"/>
          <w:pgSz w:w="11906" w:h="16838"/>
          <w:pgMar w:left="1134" w:right="851" w:gutter="0" w:header="0" w:top="851" w:footer="0" w:bottom="709"/>
          <w:pgNumType w:fmt="decimal"/>
          <w:formProt w:val="false"/>
          <w:textDirection w:val="lrTb"/>
          <w:docGrid w:type="default" w:linePitch="360" w:charSpace="4294959103"/>
        </w:sectPr>
        <w:pStyle w:val="Normal"/>
        <w:ind w:firstLine="680"/>
        <w:jc w:val="both"/>
        <w:rPr>
          <w:color w:val="000000"/>
          <w:szCs w:val="20"/>
        </w:rPr>
      </w:pPr>
      <w:r>
        <w:rPr>
          <w:color w:val="000000"/>
          <w:szCs w:val="20"/>
        </w:rPr>
      </w:r>
    </w:p>
    <w:p>
      <w:pPr>
        <w:pStyle w:val="Normal"/>
        <w:ind w:hanging="0"/>
        <w:jc w:val="right"/>
        <w:rPr/>
      </w:pPr>
      <w:r>
        <w:rPr>
          <w:color w:val="000000"/>
        </w:rPr>
        <w:t>Таблица 3.3.1</w:t>
      </w:r>
    </w:p>
    <w:p>
      <w:pPr>
        <w:pStyle w:val="Normal"/>
        <w:ind w:hanging="0"/>
        <w:jc w:val="center"/>
        <w:rPr/>
      </w:pPr>
      <w:bookmarkStart w:id="263" w:name="_Hlk150243034"/>
      <w:bookmarkEnd w:id="263"/>
      <w:r>
        <w:rPr>
          <w:color w:val="000000"/>
          <w:szCs w:val="28"/>
        </w:rPr>
        <w:t>Демографическая структура</w:t>
      </w:r>
      <w:r>
        <w:rPr>
          <w:color w:val="000000"/>
        </w:rPr>
        <w:t xml:space="preserve"> населения Вахитовского сельского поселения </w:t>
      </w:r>
    </w:p>
    <w:p>
      <w:pPr>
        <w:pStyle w:val="Normal"/>
        <w:ind w:hanging="0"/>
        <w:jc w:val="center"/>
        <w:rPr/>
      </w:pPr>
      <w:r>
        <w:rPr/>
        <w:t>Верхнеуслонского муниципального района Республики Татарстан на начало 2023 года, человек</w:t>
      </w:r>
    </w:p>
    <w:tbl>
      <w:tblPr>
        <w:tblW w:w="4500" w:type="pct"/>
        <w:jc w:val="center"/>
        <w:tblInd w:w="0" w:type="dxa"/>
        <w:tblLayout w:type="fixed"/>
        <w:tblCellMar>
          <w:top w:w="0" w:type="dxa"/>
          <w:left w:w="108" w:type="dxa"/>
          <w:bottom w:w="0" w:type="dxa"/>
          <w:right w:w="108" w:type="dxa"/>
        </w:tblCellMar>
      </w:tblPr>
      <w:tblGrid>
        <w:gridCol w:w="867"/>
        <w:gridCol w:w="2375"/>
        <w:gridCol w:w="1705"/>
        <w:gridCol w:w="1890"/>
        <w:gridCol w:w="1543"/>
        <w:gridCol w:w="1543"/>
        <w:gridCol w:w="1270"/>
        <w:gridCol w:w="2174"/>
      </w:tblGrid>
      <w:tr>
        <w:trPr>
          <w:tblHeader w:val="true"/>
          <w:trHeight w:val="468" w:hRule="atLeast"/>
          <w:cantSplit w:val="true"/>
        </w:trPr>
        <w:tc>
          <w:tcPr>
            <w:tcW w:w="8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bookmarkStart w:id="264" w:name="_Hlk150433752"/>
            <w:bookmarkStart w:id="265" w:name="_Hlk150243680"/>
            <w:bookmarkEnd w:id="264"/>
            <w:bookmarkEnd w:id="265"/>
            <w:r>
              <w:rPr>
                <w:color w:val="000000"/>
                <w:sz w:val="20"/>
                <w:szCs w:val="20"/>
              </w:rPr>
              <w:t xml:space="preserve">№ </w:t>
            </w:r>
            <w:r>
              <w:rPr>
                <w:color w:val="000000"/>
                <w:sz w:val="20"/>
                <w:szCs w:val="20"/>
              </w:rPr>
              <w:t>п/п</w:t>
            </w:r>
          </w:p>
        </w:tc>
        <w:tc>
          <w:tcPr>
            <w:tcW w:w="23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Показатели</w:t>
            </w:r>
          </w:p>
        </w:tc>
        <w:tc>
          <w:tcPr>
            <w:tcW w:w="17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д.им. Мулланура Вахитова</w:t>
            </w:r>
          </w:p>
        </w:tc>
        <w:tc>
          <w:tcPr>
            <w:tcW w:w="189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п.Бакча-Сарай</w:t>
            </w:r>
          </w:p>
        </w:tc>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с.Ташевка</w:t>
            </w:r>
          </w:p>
        </w:tc>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д.Ватан</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д.Гребени</w:t>
            </w:r>
          </w:p>
        </w:tc>
        <w:tc>
          <w:tcPr>
            <w:tcW w:w="217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Всего по Вахитовскому СП</w:t>
            </w:r>
          </w:p>
        </w:tc>
      </w:tr>
      <w:tr>
        <w:trPr>
          <w:cantSplit w:val="true"/>
        </w:trPr>
        <w:tc>
          <w:tcPr>
            <w:tcW w:w="8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23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Численность населения, всего</w:t>
            </w:r>
          </w:p>
        </w:tc>
        <w:tc>
          <w:tcPr>
            <w:tcW w:w="17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203</w:t>
            </w:r>
          </w:p>
        </w:tc>
        <w:tc>
          <w:tcPr>
            <w:tcW w:w="189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161</w:t>
            </w:r>
          </w:p>
        </w:tc>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44</w:t>
            </w:r>
          </w:p>
        </w:tc>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24</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lang w:val="en-US"/>
              </w:rPr>
            </w:pPr>
            <w:r>
              <w:rPr>
                <w:color w:val="000000"/>
                <w:sz w:val="20"/>
                <w:szCs w:val="20"/>
                <w:lang w:val="en-US"/>
              </w:rPr>
              <w:t>0</w:t>
            </w:r>
          </w:p>
        </w:tc>
        <w:tc>
          <w:tcPr>
            <w:tcW w:w="217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432</w:t>
            </w:r>
          </w:p>
        </w:tc>
      </w:tr>
      <w:tr>
        <w:trPr>
          <w:cantSplit w:val="true"/>
        </w:trPr>
        <w:tc>
          <w:tcPr>
            <w:tcW w:w="8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1.1</w:t>
            </w:r>
          </w:p>
        </w:tc>
        <w:tc>
          <w:tcPr>
            <w:tcW w:w="23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Детского возраста:</w:t>
            </w:r>
          </w:p>
        </w:tc>
        <w:tc>
          <w:tcPr>
            <w:tcW w:w="17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37</w:t>
            </w:r>
          </w:p>
        </w:tc>
        <w:tc>
          <w:tcPr>
            <w:tcW w:w="189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28</w:t>
            </w:r>
          </w:p>
        </w:tc>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8</w:t>
            </w:r>
          </w:p>
        </w:tc>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lang w:val="en-US"/>
              </w:rPr>
            </w:pPr>
            <w:r>
              <w:rPr>
                <w:color w:val="000000"/>
                <w:sz w:val="20"/>
                <w:szCs w:val="20"/>
                <w:lang w:val="en-US"/>
              </w:rPr>
              <w:t>0</w:t>
            </w:r>
          </w:p>
        </w:tc>
        <w:tc>
          <w:tcPr>
            <w:tcW w:w="217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77</w:t>
            </w:r>
          </w:p>
        </w:tc>
      </w:tr>
      <w:tr>
        <w:trPr>
          <w:cantSplit w:val="true"/>
        </w:trPr>
        <w:tc>
          <w:tcPr>
            <w:tcW w:w="8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1.1.1</w:t>
            </w:r>
          </w:p>
        </w:tc>
        <w:tc>
          <w:tcPr>
            <w:tcW w:w="23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0-7 лет</w:t>
            </w:r>
          </w:p>
        </w:tc>
        <w:tc>
          <w:tcPr>
            <w:tcW w:w="17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17</w:t>
            </w:r>
          </w:p>
        </w:tc>
        <w:tc>
          <w:tcPr>
            <w:tcW w:w="189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12</w:t>
            </w:r>
          </w:p>
        </w:tc>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w:t>
            </w:r>
          </w:p>
        </w:tc>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lang w:val="en-US"/>
              </w:rPr>
            </w:pPr>
            <w:r>
              <w:rPr>
                <w:color w:val="000000"/>
                <w:sz w:val="20"/>
                <w:szCs w:val="20"/>
                <w:lang w:val="en-US"/>
              </w:rPr>
              <w:t>0</w:t>
            </w:r>
          </w:p>
        </w:tc>
        <w:tc>
          <w:tcPr>
            <w:tcW w:w="217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35</w:t>
            </w:r>
          </w:p>
        </w:tc>
      </w:tr>
      <w:tr>
        <w:trPr>
          <w:cantSplit w:val="true"/>
        </w:trPr>
        <w:tc>
          <w:tcPr>
            <w:tcW w:w="8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1.1.2</w:t>
            </w:r>
          </w:p>
        </w:tc>
        <w:tc>
          <w:tcPr>
            <w:tcW w:w="23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7-18 лет</w:t>
            </w:r>
          </w:p>
        </w:tc>
        <w:tc>
          <w:tcPr>
            <w:tcW w:w="17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20</w:t>
            </w:r>
          </w:p>
        </w:tc>
        <w:tc>
          <w:tcPr>
            <w:tcW w:w="189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16</w:t>
            </w:r>
          </w:p>
        </w:tc>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w:t>
            </w:r>
          </w:p>
        </w:tc>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lang w:val="en-US"/>
              </w:rPr>
            </w:pPr>
            <w:r>
              <w:rPr>
                <w:color w:val="000000"/>
                <w:sz w:val="20"/>
                <w:szCs w:val="20"/>
                <w:lang w:val="en-US"/>
              </w:rPr>
              <w:t>0</w:t>
            </w:r>
          </w:p>
        </w:tc>
        <w:tc>
          <w:tcPr>
            <w:tcW w:w="217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42</w:t>
            </w:r>
          </w:p>
        </w:tc>
      </w:tr>
      <w:tr>
        <w:trPr>
          <w:cantSplit w:val="true"/>
        </w:trPr>
        <w:tc>
          <w:tcPr>
            <w:tcW w:w="8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1.1.3</w:t>
            </w:r>
          </w:p>
        </w:tc>
        <w:tc>
          <w:tcPr>
            <w:tcW w:w="23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5-18 лет</w:t>
            </w:r>
          </w:p>
        </w:tc>
        <w:tc>
          <w:tcPr>
            <w:tcW w:w="17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25</w:t>
            </w:r>
          </w:p>
        </w:tc>
        <w:tc>
          <w:tcPr>
            <w:tcW w:w="189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19</w:t>
            </w:r>
          </w:p>
        </w:tc>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w:t>
            </w:r>
          </w:p>
        </w:tc>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lang w:val="en-US"/>
              </w:rPr>
            </w:pPr>
            <w:r>
              <w:rPr>
                <w:color w:val="000000"/>
                <w:sz w:val="20"/>
                <w:szCs w:val="20"/>
                <w:lang w:val="en-US"/>
              </w:rPr>
              <w:t>0</w:t>
            </w:r>
          </w:p>
        </w:tc>
        <w:tc>
          <w:tcPr>
            <w:tcW w:w="217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52</w:t>
            </w:r>
          </w:p>
        </w:tc>
      </w:tr>
      <w:tr>
        <w:trPr>
          <w:cantSplit w:val="true"/>
        </w:trPr>
        <w:tc>
          <w:tcPr>
            <w:tcW w:w="8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1.2</w:t>
            </w:r>
          </w:p>
        </w:tc>
        <w:tc>
          <w:tcPr>
            <w:tcW w:w="23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Трудоспособного возраста:</w:t>
            </w:r>
          </w:p>
        </w:tc>
        <w:tc>
          <w:tcPr>
            <w:tcW w:w="17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123</w:t>
            </w:r>
          </w:p>
        </w:tc>
        <w:tc>
          <w:tcPr>
            <w:tcW w:w="189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99</w:t>
            </w:r>
          </w:p>
        </w:tc>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27</w:t>
            </w:r>
          </w:p>
        </w:tc>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15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lang w:val="en-US"/>
              </w:rPr>
            </w:pPr>
            <w:r>
              <w:rPr>
                <w:color w:val="000000"/>
                <w:sz w:val="20"/>
                <w:szCs w:val="20"/>
                <w:lang w:val="en-US"/>
              </w:rPr>
              <w:t>0</w:t>
            </w:r>
          </w:p>
        </w:tc>
        <w:tc>
          <w:tcPr>
            <w:tcW w:w="217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264</w:t>
            </w:r>
          </w:p>
        </w:tc>
      </w:tr>
      <w:tr>
        <w:trPr>
          <w:cantSplit w:val="true"/>
        </w:trPr>
        <w:tc>
          <w:tcPr>
            <w:tcW w:w="8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1.2.1</w:t>
            </w:r>
          </w:p>
        </w:tc>
        <w:tc>
          <w:tcPr>
            <w:tcW w:w="23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Трудоспособного возраста для женщин</w:t>
            </w:r>
          </w:p>
        </w:tc>
        <w:tc>
          <w:tcPr>
            <w:tcW w:w="17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68</w:t>
            </w:r>
          </w:p>
        </w:tc>
        <w:tc>
          <w:tcPr>
            <w:tcW w:w="189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55</w:t>
            </w:r>
          </w:p>
        </w:tc>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16</w:t>
            </w:r>
          </w:p>
        </w:tc>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9</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lang w:val="en-US"/>
              </w:rPr>
            </w:pPr>
            <w:r>
              <w:rPr>
                <w:color w:val="000000"/>
                <w:sz w:val="20"/>
                <w:szCs w:val="20"/>
                <w:lang w:val="en-US"/>
              </w:rPr>
              <w:t>0</w:t>
            </w:r>
          </w:p>
        </w:tc>
        <w:tc>
          <w:tcPr>
            <w:tcW w:w="217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148</w:t>
            </w:r>
          </w:p>
        </w:tc>
      </w:tr>
      <w:tr>
        <w:trPr>
          <w:cantSplit w:val="true"/>
        </w:trPr>
        <w:tc>
          <w:tcPr>
            <w:tcW w:w="8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1.2.2</w:t>
            </w:r>
          </w:p>
        </w:tc>
        <w:tc>
          <w:tcPr>
            <w:tcW w:w="23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Трудоспособного возраста для мужчин</w:t>
            </w:r>
          </w:p>
        </w:tc>
        <w:tc>
          <w:tcPr>
            <w:tcW w:w="17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55</w:t>
            </w:r>
          </w:p>
        </w:tc>
        <w:tc>
          <w:tcPr>
            <w:tcW w:w="189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44</w:t>
            </w:r>
          </w:p>
        </w:tc>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11</w:t>
            </w:r>
          </w:p>
        </w:tc>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6</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lang w:val="en-US"/>
              </w:rPr>
            </w:pPr>
            <w:r>
              <w:rPr>
                <w:color w:val="000000"/>
                <w:sz w:val="20"/>
                <w:szCs w:val="20"/>
                <w:lang w:val="en-US"/>
              </w:rPr>
              <w:t>0</w:t>
            </w:r>
          </w:p>
        </w:tc>
        <w:tc>
          <w:tcPr>
            <w:tcW w:w="217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116</w:t>
            </w:r>
          </w:p>
        </w:tc>
      </w:tr>
      <w:tr>
        <w:trPr>
          <w:cantSplit w:val="true"/>
        </w:trPr>
        <w:tc>
          <w:tcPr>
            <w:tcW w:w="8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1.3</w:t>
            </w:r>
          </w:p>
        </w:tc>
        <w:tc>
          <w:tcPr>
            <w:tcW w:w="23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Старше трудоспособного возраста:</w:t>
            </w:r>
          </w:p>
        </w:tc>
        <w:tc>
          <w:tcPr>
            <w:tcW w:w="17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43</w:t>
            </w:r>
          </w:p>
        </w:tc>
        <w:tc>
          <w:tcPr>
            <w:tcW w:w="189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34</w:t>
            </w:r>
          </w:p>
        </w:tc>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9</w:t>
            </w:r>
          </w:p>
        </w:tc>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lang w:val="en-US"/>
              </w:rPr>
            </w:pPr>
            <w:r>
              <w:rPr>
                <w:color w:val="000000"/>
                <w:sz w:val="20"/>
                <w:szCs w:val="20"/>
                <w:lang w:val="en-US"/>
              </w:rPr>
              <w:t>0</w:t>
            </w:r>
          </w:p>
        </w:tc>
        <w:tc>
          <w:tcPr>
            <w:tcW w:w="217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91</w:t>
            </w:r>
          </w:p>
        </w:tc>
      </w:tr>
      <w:tr>
        <w:trPr>
          <w:cantSplit w:val="true"/>
        </w:trPr>
        <w:tc>
          <w:tcPr>
            <w:tcW w:w="8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1.3.1</w:t>
            </w:r>
          </w:p>
        </w:tc>
        <w:tc>
          <w:tcPr>
            <w:tcW w:w="23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Старше трудоспособного возраста для женщин</w:t>
            </w:r>
          </w:p>
        </w:tc>
        <w:tc>
          <w:tcPr>
            <w:tcW w:w="17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28</w:t>
            </w:r>
          </w:p>
        </w:tc>
        <w:tc>
          <w:tcPr>
            <w:tcW w:w="189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20</w:t>
            </w:r>
          </w:p>
        </w:tc>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6</w:t>
            </w:r>
          </w:p>
        </w:tc>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lang w:val="en-US"/>
              </w:rPr>
            </w:pPr>
            <w:r>
              <w:rPr>
                <w:color w:val="000000"/>
                <w:sz w:val="20"/>
                <w:szCs w:val="20"/>
                <w:lang w:val="en-US"/>
              </w:rPr>
              <w:t>0</w:t>
            </w:r>
          </w:p>
        </w:tc>
        <w:tc>
          <w:tcPr>
            <w:tcW w:w="217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57</w:t>
            </w:r>
          </w:p>
        </w:tc>
      </w:tr>
      <w:tr>
        <w:trPr>
          <w:cantSplit w:val="true"/>
        </w:trPr>
        <w:tc>
          <w:tcPr>
            <w:tcW w:w="8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1.3.2</w:t>
            </w:r>
          </w:p>
        </w:tc>
        <w:tc>
          <w:tcPr>
            <w:tcW w:w="23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Старше трудоспособного возраста для мужчин</w:t>
            </w:r>
          </w:p>
        </w:tc>
        <w:tc>
          <w:tcPr>
            <w:tcW w:w="17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15</w:t>
            </w:r>
          </w:p>
        </w:tc>
        <w:tc>
          <w:tcPr>
            <w:tcW w:w="189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14</w:t>
            </w:r>
          </w:p>
        </w:tc>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w:t>
            </w:r>
          </w:p>
        </w:tc>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lang w:val="en-US"/>
              </w:rPr>
            </w:pPr>
            <w:r>
              <w:rPr>
                <w:color w:val="000000"/>
                <w:sz w:val="20"/>
                <w:szCs w:val="20"/>
                <w:lang w:val="en-US"/>
              </w:rPr>
              <w:t>2</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lang w:val="en-US"/>
              </w:rPr>
            </w:pPr>
            <w:r>
              <w:rPr>
                <w:color w:val="000000"/>
                <w:sz w:val="20"/>
                <w:szCs w:val="20"/>
                <w:lang w:val="en-US"/>
              </w:rPr>
              <w:t>0</w:t>
            </w:r>
          </w:p>
        </w:tc>
        <w:tc>
          <w:tcPr>
            <w:tcW w:w="217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34</w:t>
            </w:r>
          </w:p>
        </w:tc>
      </w:tr>
      <w:tr>
        <w:trPr>
          <w:cantSplit w:val="true"/>
        </w:trPr>
        <w:tc>
          <w:tcPr>
            <w:tcW w:w="8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w:t>
            </w:r>
          </w:p>
        </w:tc>
        <w:tc>
          <w:tcPr>
            <w:tcW w:w="23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Общий прирост населения</w:t>
            </w:r>
          </w:p>
        </w:tc>
        <w:tc>
          <w:tcPr>
            <w:tcW w:w="17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89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lang w:val="en-US"/>
              </w:rPr>
            </w:pPr>
            <w:r>
              <w:rPr>
                <w:color w:val="000000"/>
                <w:sz w:val="20"/>
                <w:szCs w:val="20"/>
                <w:lang w:val="en-US"/>
              </w:rPr>
              <w:t>-</w:t>
            </w:r>
          </w:p>
        </w:tc>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lang w:val="en-US"/>
              </w:rPr>
            </w:pPr>
            <w:r>
              <w:rPr>
                <w:color w:val="000000"/>
                <w:sz w:val="20"/>
                <w:szCs w:val="20"/>
                <w:lang w:val="en-US"/>
              </w:rPr>
              <w:t>-</w:t>
            </w:r>
          </w:p>
        </w:tc>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lang w:val="en-US"/>
              </w:rPr>
            </w:pPr>
            <w:r>
              <w:rPr>
                <w:color w:val="000000"/>
                <w:sz w:val="20"/>
                <w:szCs w:val="20"/>
                <w:lang w:val="en-US"/>
              </w:rPr>
              <w:t>-</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lang w:val="en-US"/>
              </w:rPr>
            </w:pPr>
            <w:r>
              <w:rPr>
                <w:color w:val="000000"/>
                <w:sz w:val="20"/>
                <w:szCs w:val="20"/>
                <w:lang w:val="en-US"/>
              </w:rPr>
              <w:t>-</w:t>
            </w:r>
          </w:p>
        </w:tc>
        <w:tc>
          <w:tcPr>
            <w:tcW w:w="217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r>
      <w:tr>
        <w:trPr>
          <w:cantSplit w:val="true"/>
        </w:trPr>
        <w:tc>
          <w:tcPr>
            <w:tcW w:w="8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2.1</w:t>
            </w:r>
          </w:p>
        </w:tc>
        <w:tc>
          <w:tcPr>
            <w:tcW w:w="23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Естественный прирост</w:t>
            </w:r>
          </w:p>
        </w:tc>
        <w:tc>
          <w:tcPr>
            <w:tcW w:w="17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89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lang w:val="en-US"/>
              </w:rPr>
            </w:pPr>
            <w:r>
              <w:rPr>
                <w:color w:val="000000"/>
                <w:sz w:val="20"/>
                <w:szCs w:val="20"/>
                <w:lang w:val="en-US"/>
              </w:rPr>
              <w:t>-</w:t>
            </w:r>
          </w:p>
        </w:tc>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lang w:val="en-US"/>
              </w:rPr>
            </w:pPr>
            <w:r>
              <w:rPr>
                <w:color w:val="000000"/>
                <w:sz w:val="20"/>
                <w:szCs w:val="20"/>
                <w:lang w:val="en-US"/>
              </w:rPr>
              <w:t>-</w:t>
            </w:r>
          </w:p>
        </w:tc>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lang w:val="en-US"/>
              </w:rPr>
            </w:pPr>
            <w:r>
              <w:rPr>
                <w:color w:val="000000"/>
                <w:sz w:val="20"/>
                <w:szCs w:val="20"/>
                <w:lang w:val="en-US"/>
              </w:rPr>
              <w:t>-</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lang w:val="en-US"/>
              </w:rPr>
            </w:pPr>
            <w:r>
              <w:rPr>
                <w:color w:val="000000"/>
                <w:sz w:val="20"/>
                <w:szCs w:val="20"/>
                <w:lang w:val="en-US"/>
              </w:rPr>
              <w:t>-</w:t>
            </w:r>
          </w:p>
        </w:tc>
        <w:tc>
          <w:tcPr>
            <w:tcW w:w="217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lang w:val="en-US"/>
              </w:rPr>
            </w:pPr>
            <w:r>
              <w:rPr>
                <w:color w:val="000000"/>
                <w:sz w:val="20"/>
                <w:szCs w:val="20"/>
                <w:lang w:val="en-US"/>
              </w:rPr>
              <w:t>-</w:t>
            </w:r>
          </w:p>
        </w:tc>
      </w:tr>
      <w:tr>
        <w:trPr>
          <w:cantSplit w:val="true"/>
        </w:trPr>
        <w:tc>
          <w:tcPr>
            <w:tcW w:w="8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2.1.1</w:t>
            </w:r>
          </w:p>
        </w:tc>
        <w:tc>
          <w:tcPr>
            <w:tcW w:w="23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Родилось</w:t>
            </w:r>
          </w:p>
        </w:tc>
        <w:tc>
          <w:tcPr>
            <w:tcW w:w="17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89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lang w:val="en-US"/>
              </w:rPr>
            </w:pPr>
            <w:r>
              <w:rPr>
                <w:color w:val="000000"/>
                <w:sz w:val="20"/>
                <w:szCs w:val="20"/>
                <w:lang w:val="en-US"/>
              </w:rPr>
              <w:t>-</w:t>
            </w:r>
          </w:p>
        </w:tc>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lang w:val="en-US"/>
              </w:rPr>
            </w:pPr>
            <w:r>
              <w:rPr>
                <w:color w:val="000000"/>
                <w:sz w:val="20"/>
                <w:szCs w:val="20"/>
                <w:lang w:val="en-US"/>
              </w:rPr>
              <w:t>-</w:t>
            </w:r>
          </w:p>
        </w:tc>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lang w:val="en-US"/>
              </w:rPr>
            </w:pPr>
            <w:r>
              <w:rPr>
                <w:color w:val="000000"/>
                <w:sz w:val="20"/>
                <w:szCs w:val="20"/>
                <w:lang w:val="en-US"/>
              </w:rPr>
              <w:t>-</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lang w:val="en-US"/>
              </w:rPr>
            </w:pPr>
            <w:r>
              <w:rPr>
                <w:color w:val="000000"/>
                <w:sz w:val="20"/>
                <w:szCs w:val="20"/>
                <w:lang w:val="en-US"/>
              </w:rPr>
              <w:t>-</w:t>
            </w:r>
          </w:p>
        </w:tc>
        <w:tc>
          <w:tcPr>
            <w:tcW w:w="217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r>
      <w:tr>
        <w:trPr>
          <w:cantSplit w:val="true"/>
        </w:trPr>
        <w:tc>
          <w:tcPr>
            <w:tcW w:w="8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2.1.2</w:t>
            </w:r>
          </w:p>
        </w:tc>
        <w:tc>
          <w:tcPr>
            <w:tcW w:w="23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Умерло</w:t>
            </w:r>
          </w:p>
        </w:tc>
        <w:tc>
          <w:tcPr>
            <w:tcW w:w="17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89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lang w:val="en-US"/>
              </w:rPr>
            </w:pPr>
            <w:r>
              <w:rPr>
                <w:color w:val="000000"/>
                <w:sz w:val="20"/>
                <w:szCs w:val="20"/>
                <w:lang w:val="en-US"/>
              </w:rPr>
              <w:t>-</w:t>
            </w:r>
          </w:p>
        </w:tc>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lang w:val="en-US"/>
              </w:rPr>
            </w:pPr>
            <w:r>
              <w:rPr>
                <w:color w:val="000000"/>
                <w:sz w:val="20"/>
                <w:szCs w:val="20"/>
                <w:lang w:val="en-US"/>
              </w:rPr>
              <w:t>-</w:t>
            </w:r>
          </w:p>
        </w:tc>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lang w:val="en-US"/>
              </w:rPr>
            </w:pPr>
            <w:r>
              <w:rPr>
                <w:color w:val="000000"/>
                <w:sz w:val="20"/>
                <w:szCs w:val="20"/>
                <w:lang w:val="en-US"/>
              </w:rPr>
              <w:t>-</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lang w:val="en-US"/>
              </w:rPr>
            </w:pPr>
            <w:r>
              <w:rPr>
                <w:color w:val="000000"/>
                <w:sz w:val="20"/>
                <w:szCs w:val="20"/>
                <w:lang w:val="en-US"/>
              </w:rPr>
              <w:t>-</w:t>
            </w:r>
          </w:p>
        </w:tc>
        <w:tc>
          <w:tcPr>
            <w:tcW w:w="217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r>
      <w:tr>
        <w:trPr>
          <w:cantSplit w:val="true"/>
        </w:trPr>
        <w:tc>
          <w:tcPr>
            <w:tcW w:w="8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2.2</w:t>
            </w:r>
          </w:p>
        </w:tc>
        <w:tc>
          <w:tcPr>
            <w:tcW w:w="23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Механический прирост</w:t>
            </w:r>
          </w:p>
        </w:tc>
        <w:tc>
          <w:tcPr>
            <w:tcW w:w="17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89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lang w:val="en-US"/>
              </w:rPr>
            </w:pPr>
            <w:r>
              <w:rPr>
                <w:color w:val="000000"/>
                <w:sz w:val="20"/>
                <w:szCs w:val="20"/>
                <w:lang w:val="en-US"/>
              </w:rPr>
              <w:t>-</w:t>
            </w:r>
          </w:p>
        </w:tc>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lang w:val="en-US"/>
              </w:rPr>
            </w:pPr>
            <w:r>
              <w:rPr>
                <w:color w:val="000000"/>
                <w:sz w:val="20"/>
                <w:szCs w:val="20"/>
                <w:lang w:val="en-US"/>
              </w:rPr>
              <w:t>-</w:t>
            </w:r>
          </w:p>
        </w:tc>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lang w:val="en-US"/>
              </w:rPr>
            </w:pPr>
            <w:r>
              <w:rPr>
                <w:color w:val="000000"/>
                <w:sz w:val="20"/>
                <w:szCs w:val="20"/>
                <w:lang w:val="en-US"/>
              </w:rPr>
              <w:t>-</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lang w:val="en-US"/>
              </w:rPr>
            </w:pPr>
            <w:r>
              <w:rPr>
                <w:color w:val="000000"/>
                <w:sz w:val="20"/>
                <w:szCs w:val="20"/>
                <w:lang w:val="en-US"/>
              </w:rPr>
              <w:t>-</w:t>
            </w:r>
          </w:p>
        </w:tc>
        <w:tc>
          <w:tcPr>
            <w:tcW w:w="217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r>
      <w:tr>
        <w:trPr>
          <w:trHeight w:val="70" w:hRule="atLeast"/>
          <w:cantSplit w:val="true"/>
        </w:trPr>
        <w:tc>
          <w:tcPr>
            <w:tcW w:w="8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2.2.1</w:t>
            </w:r>
          </w:p>
        </w:tc>
        <w:tc>
          <w:tcPr>
            <w:tcW w:w="23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Прибыло</w:t>
            </w:r>
          </w:p>
        </w:tc>
        <w:tc>
          <w:tcPr>
            <w:tcW w:w="17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89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lang w:val="en-US"/>
              </w:rPr>
            </w:pPr>
            <w:r>
              <w:rPr>
                <w:color w:val="000000"/>
                <w:sz w:val="20"/>
                <w:szCs w:val="20"/>
                <w:lang w:val="en-US"/>
              </w:rPr>
              <w:t>-</w:t>
            </w:r>
          </w:p>
        </w:tc>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lang w:val="en-US"/>
              </w:rPr>
            </w:pPr>
            <w:r>
              <w:rPr>
                <w:color w:val="000000"/>
                <w:sz w:val="20"/>
                <w:szCs w:val="20"/>
                <w:lang w:val="en-US"/>
              </w:rPr>
              <w:t>-</w:t>
            </w:r>
          </w:p>
        </w:tc>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lang w:val="en-US"/>
              </w:rPr>
            </w:pPr>
            <w:r>
              <w:rPr>
                <w:color w:val="000000"/>
                <w:sz w:val="20"/>
                <w:szCs w:val="20"/>
                <w:lang w:val="en-US"/>
              </w:rPr>
              <w:t>-</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lang w:val="en-US"/>
              </w:rPr>
            </w:pPr>
            <w:r>
              <w:rPr>
                <w:color w:val="000000"/>
                <w:sz w:val="20"/>
                <w:szCs w:val="20"/>
                <w:lang w:val="en-US"/>
              </w:rPr>
              <w:t>-</w:t>
            </w:r>
          </w:p>
        </w:tc>
        <w:tc>
          <w:tcPr>
            <w:tcW w:w="217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r>
      <w:tr>
        <w:trPr>
          <w:cantSplit w:val="true"/>
        </w:trPr>
        <w:tc>
          <w:tcPr>
            <w:tcW w:w="8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2.2.2</w:t>
            </w:r>
          </w:p>
        </w:tc>
        <w:tc>
          <w:tcPr>
            <w:tcW w:w="23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Выбыло</w:t>
            </w:r>
          </w:p>
        </w:tc>
        <w:tc>
          <w:tcPr>
            <w:tcW w:w="17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89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lang w:val="en-US"/>
              </w:rPr>
            </w:pPr>
            <w:r>
              <w:rPr>
                <w:color w:val="000000"/>
                <w:sz w:val="20"/>
                <w:szCs w:val="20"/>
                <w:lang w:val="en-US"/>
              </w:rPr>
              <w:t>-</w:t>
            </w:r>
          </w:p>
        </w:tc>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lang w:val="en-US"/>
              </w:rPr>
            </w:pPr>
            <w:r>
              <w:rPr>
                <w:color w:val="000000"/>
                <w:sz w:val="20"/>
                <w:szCs w:val="20"/>
                <w:lang w:val="en-US"/>
              </w:rPr>
              <w:t>-</w:t>
            </w:r>
          </w:p>
        </w:tc>
        <w:tc>
          <w:tcPr>
            <w:tcW w:w="154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lang w:val="en-US"/>
              </w:rPr>
            </w:pPr>
            <w:r>
              <w:rPr>
                <w:color w:val="000000"/>
                <w:sz w:val="20"/>
                <w:szCs w:val="20"/>
                <w:lang w:val="en-US"/>
              </w:rPr>
              <w:t>-</w:t>
            </w:r>
          </w:p>
        </w:tc>
        <w:tc>
          <w:tcPr>
            <w:tcW w:w="127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lang w:val="en-US"/>
              </w:rPr>
            </w:pPr>
            <w:r>
              <w:rPr>
                <w:color w:val="000000"/>
                <w:sz w:val="20"/>
                <w:szCs w:val="20"/>
                <w:lang w:val="en-US"/>
              </w:rPr>
              <w:t>-</w:t>
            </w:r>
          </w:p>
        </w:tc>
        <w:tc>
          <w:tcPr>
            <w:tcW w:w="217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r>
    </w:tbl>
    <w:p>
      <w:pPr>
        <w:sectPr>
          <w:footerReference w:type="default" r:id="rId104"/>
          <w:footerReference w:type="first" r:id="rId105"/>
          <w:footnotePr>
            <w:numFmt w:val="decimal"/>
          </w:footnotePr>
          <w:type w:val="nextPage"/>
          <w:pgSz w:orient="landscape" w:w="16838" w:h="11906"/>
          <w:pgMar w:left="1134" w:right="851" w:gutter="0" w:header="0" w:top="851" w:footer="709" w:bottom="851"/>
          <w:pgNumType w:fmt="decimal"/>
          <w:formProt w:val="false"/>
          <w:titlePg/>
          <w:textDirection w:val="lrTb"/>
          <w:docGrid w:type="default" w:linePitch="381" w:charSpace="0"/>
        </w:sectPr>
      </w:pPr>
    </w:p>
    <w:p>
      <w:pPr>
        <w:pStyle w:val="Normal"/>
        <w:ind w:firstLine="680"/>
        <w:jc w:val="both"/>
        <w:rPr/>
      </w:pPr>
      <w:r>
        <w:rPr>
          <w:color w:val="000000"/>
          <w:szCs w:val="20"/>
        </w:rPr>
        <w:t xml:space="preserve">Следует обратить внимание, что численность населения трудоспособного возраста в Вахитовском сельском поселении (264 человек) больше населения старше трудоспособного возраста (91 человек), что является положительной тенденцией. Таким образом, возрастная структура существующих населенных пунктов характеризуется значительной долей населения трудоспособного возраста, меньшей долей группы старше трудоспособного возраста и младше трудоспособного возраста. </w:t>
      </w:r>
    </w:p>
    <w:p>
      <w:pPr>
        <w:pStyle w:val="Normal"/>
        <w:jc w:val="both"/>
        <w:rPr/>
      </w:pPr>
      <w:r>
        <w:rPr>
          <w:color w:val="000000"/>
          <w:szCs w:val="28"/>
        </w:rPr>
        <w:t>Данных о естественном и миграционном приросте не имеется.</w:t>
      </w:r>
    </w:p>
    <w:p>
      <w:pPr>
        <w:pStyle w:val="112"/>
        <w:spacing w:lineRule="auto" w:line="240"/>
        <w:jc w:val="both"/>
        <w:rPr>
          <w:color w:val="FF0066"/>
          <w:szCs w:val="28"/>
        </w:rPr>
      </w:pPr>
      <w:r>
        <w:rPr>
          <w:color w:val="FF0066"/>
          <w:szCs w:val="28"/>
        </w:rPr>
      </w:r>
    </w:p>
    <w:p>
      <w:pPr>
        <w:pStyle w:val="2"/>
        <w:numPr>
          <w:ilvl w:val="1"/>
          <w:numId w:val="7"/>
        </w:numPr>
        <w:jc w:val="both"/>
        <w:rPr>
          <w:bCs w:val="false"/>
          <w:color w:val="000000"/>
        </w:rPr>
      </w:pPr>
      <w:bookmarkStart w:id="266" w:name="__RefHeading___Toc156489417"/>
      <w:bookmarkEnd w:id="266"/>
      <w:r>
        <w:rPr>
          <w:bCs w:val="false"/>
          <w:color w:val="000000"/>
        </w:rPr>
        <w:t>Производственные территории</w:t>
      </w:r>
    </w:p>
    <w:p>
      <w:pPr>
        <w:pStyle w:val="113"/>
        <w:spacing w:lineRule="auto" w:line="240"/>
        <w:jc w:val="both"/>
        <w:rPr/>
      </w:pPr>
      <w:r>
        <w:rPr>
          <w:color w:val="000000"/>
          <w:sz w:val="28"/>
          <w:szCs w:val="28"/>
        </w:rPr>
        <w:t xml:space="preserve">На территории Вахитовского сельского поселения западнее п.Бакча-Сарай расположен лицензионный участок по добыче известняков и дробильные установки ООО Матюшинский карьер. </w:t>
      </w:r>
    </w:p>
    <w:p>
      <w:pPr>
        <w:pStyle w:val="113"/>
        <w:spacing w:lineRule="auto" w:line="240"/>
        <w:jc w:val="both"/>
        <w:rPr>
          <w:color w:val="FF0066"/>
          <w:sz w:val="28"/>
          <w:szCs w:val="28"/>
        </w:rPr>
      </w:pPr>
      <w:r>
        <w:rPr>
          <w:color w:val="FF0066"/>
          <w:sz w:val="28"/>
          <w:szCs w:val="28"/>
        </w:rPr>
      </w:r>
    </w:p>
    <w:p>
      <w:pPr>
        <w:pStyle w:val="2"/>
        <w:numPr>
          <w:ilvl w:val="1"/>
          <w:numId w:val="7"/>
        </w:numPr>
        <w:jc w:val="both"/>
        <w:rPr>
          <w:bCs w:val="false"/>
          <w:color w:val="000000"/>
          <w:szCs w:val="20"/>
        </w:rPr>
      </w:pPr>
      <w:bookmarkStart w:id="267" w:name="__RefHeading___Toc156489418"/>
      <w:bookmarkEnd w:id="267"/>
      <w:r>
        <w:rPr>
          <w:bCs w:val="false"/>
          <w:color w:val="000000"/>
          <w:szCs w:val="20"/>
        </w:rPr>
        <w:t>Агропромышленный комплекс</w:t>
      </w:r>
    </w:p>
    <w:p>
      <w:pPr>
        <w:pStyle w:val="Normal"/>
        <w:tabs>
          <w:tab w:val="clear" w:pos="709"/>
          <w:tab w:val="left" w:pos="8820" w:leader="none"/>
          <w:tab w:val="left" w:pos="9480" w:leader="none"/>
        </w:tabs>
        <w:jc w:val="both"/>
        <w:rPr/>
      </w:pPr>
      <w:r>
        <w:rPr>
          <w:color w:val="000000"/>
          <w:szCs w:val="28"/>
        </w:rPr>
        <w:t>Агропромышленный комплекс представляет собой совокупность отраслей макроэкономики, занятых производством продуктов питания и снабжением ими населения, производством средств производства для сельского хозяйства и обслуживанием сельского хозяйства.</w:t>
      </w:r>
    </w:p>
    <w:p>
      <w:pPr>
        <w:pStyle w:val="Style77"/>
        <w:spacing w:lineRule="auto" w:line="240"/>
        <w:ind w:left="0" w:firstLine="720"/>
        <w:jc w:val="both"/>
        <w:rPr/>
      </w:pPr>
      <w:r>
        <w:rPr>
          <w:color w:val="000000"/>
        </w:rPr>
        <w:t>На территории Вахитовского сельского поселения функционирует пасека юго-восточнее д.им. Мулланура Вахитова.</w:t>
      </w:r>
    </w:p>
    <w:p>
      <w:pPr>
        <w:pStyle w:val="Style77"/>
        <w:spacing w:lineRule="auto" w:line="240"/>
        <w:ind w:left="0" w:firstLine="720"/>
        <w:jc w:val="both"/>
        <w:rPr>
          <w:color w:val="000000"/>
        </w:rPr>
      </w:pPr>
      <w:r>
        <w:rPr>
          <w:color w:val="000000"/>
        </w:rPr>
        <w:t xml:space="preserve">Также на территории сельского поселения имеются такие недействующие объекты, как: </w:t>
      </w:r>
    </w:p>
    <w:p>
      <w:pPr>
        <w:pStyle w:val="Style77"/>
        <w:spacing w:lineRule="auto" w:line="240"/>
        <w:ind w:left="0" w:firstLine="720"/>
        <w:jc w:val="both"/>
        <w:rPr/>
      </w:pPr>
      <w:r>
        <w:rPr>
          <w:color w:val="000000"/>
        </w:rPr>
        <w:t>- две животноводческие фермы и два зернохранилища, зерноток вблизи д.им. Мулланура Вахитова;</w:t>
      </w:r>
    </w:p>
    <w:p>
      <w:pPr>
        <w:pStyle w:val="Style77"/>
        <w:spacing w:lineRule="auto" w:line="240"/>
        <w:ind w:left="0" w:firstLine="720"/>
        <w:jc w:val="both"/>
        <w:rPr/>
      </w:pPr>
      <w:r>
        <w:rPr>
          <w:color w:val="000000"/>
        </w:rPr>
        <w:t>- предприятие растениеводства, расположенное восточнее с.Ташевка.</w:t>
      </w:r>
    </w:p>
    <w:p>
      <w:pPr>
        <w:pStyle w:val="Style77"/>
        <w:spacing w:lineRule="auto" w:line="240"/>
        <w:ind w:left="0" w:firstLine="720"/>
        <w:jc w:val="both"/>
        <w:rPr>
          <w:color w:val="FF0066"/>
        </w:rPr>
      </w:pPr>
      <w:r>
        <w:rPr>
          <w:color w:val="FF0066"/>
        </w:rPr>
      </w:r>
    </w:p>
    <w:p>
      <w:pPr>
        <w:pStyle w:val="2"/>
        <w:numPr>
          <w:ilvl w:val="1"/>
          <w:numId w:val="7"/>
        </w:numPr>
        <w:jc w:val="both"/>
        <w:rPr>
          <w:bCs w:val="false"/>
          <w:szCs w:val="20"/>
        </w:rPr>
      </w:pPr>
      <w:bookmarkStart w:id="268" w:name="__RefHeading___Toc156489419"/>
      <w:bookmarkEnd w:id="268"/>
      <w:r>
        <w:rPr>
          <w:bCs w:val="false"/>
          <w:szCs w:val="20"/>
        </w:rPr>
        <w:t>Лесной комплекс</w:t>
      </w:r>
    </w:p>
    <w:p>
      <w:pPr>
        <w:pStyle w:val="Normal"/>
        <w:autoSpaceDE w:val="false"/>
        <w:ind w:firstLine="700"/>
        <w:jc w:val="both"/>
        <w:rPr>
          <w:color w:val="000000"/>
          <w:szCs w:val="28"/>
        </w:rPr>
      </w:pPr>
      <w:r>
        <w:rPr>
          <w:color w:val="000000"/>
          <w:szCs w:val="28"/>
        </w:rPr>
        <w:t>В соответствии с Лесным кодексом Российской Федерации, а также Земельным кодексом Российской Федерации, к землям лесного фонда относят как покрытые, так и не покрытые лесом земли.</w:t>
      </w:r>
    </w:p>
    <w:p>
      <w:pPr>
        <w:pStyle w:val="Normal"/>
        <w:autoSpaceDE w:val="false"/>
        <w:ind w:firstLine="700"/>
        <w:jc w:val="both"/>
        <w:rPr>
          <w:color w:val="000000"/>
          <w:szCs w:val="28"/>
        </w:rPr>
      </w:pPr>
      <w:r>
        <w:rPr>
          <w:color w:val="000000"/>
          <w:szCs w:val="28"/>
        </w:rPr>
        <w:t>В соответствии с Земельным кодексом Российской Федерации,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Все леса, за исключением лесов, расположенных на землях обороны и землях населенных пунктов, а также лесных насаждений, не входящих в лесной фонд, образуют лесной фонд.</w:t>
      </w:r>
    </w:p>
    <w:p>
      <w:pPr>
        <w:pStyle w:val="Normal"/>
        <w:autoSpaceDE w:val="false"/>
        <w:ind w:firstLine="700"/>
        <w:jc w:val="both"/>
        <w:rPr/>
      </w:pPr>
      <w:r>
        <w:rPr>
          <w:color w:val="000000"/>
          <w:szCs w:val="28"/>
        </w:rPr>
        <w:t xml:space="preserve">Земли лесного фонда занимают территорию </w:t>
      </w:r>
      <w:r>
        <w:rPr>
          <w:szCs w:val="28"/>
        </w:rPr>
        <w:t xml:space="preserve">1549,8250 </w:t>
      </w:r>
      <w:r>
        <w:rPr>
          <w:color w:val="000000"/>
          <w:szCs w:val="28"/>
        </w:rPr>
        <w:t>га, что составляет</w:t>
      </w:r>
      <w:r>
        <w:rPr>
          <w:color w:val="000000"/>
        </w:rPr>
        <w:t xml:space="preserve"> около 30% от всей площади сельского поселения. </w:t>
      </w:r>
    </w:p>
    <w:p>
      <w:pPr>
        <w:pStyle w:val="Style30"/>
        <w:spacing w:before="0" w:after="0"/>
        <w:jc w:val="both"/>
        <w:rPr/>
      </w:pPr>
      <w:r>
        <w:rPr>
          <w:color w:val="000000"/>
        </w:rPr>
        <w:t>На территории Вахитовского сельского поселения расположены леса ГКУ «</w:t>
      </w:r>
      <w:r>
        <w:rPr>
          <w:color w:val="000000"/>
          <w:lang w:val="ru-RU"/>
        </w:rPr>
        <w:t>Приволжско</w:t>
      </w:r>
      <w:r>
        <w:rPr>
          <w:color w:val="000000"/>
        </w:rPr>
        <w:t xml:space="preserve">е лесничество» </w:t>
      </w:r>
      <w:r>
        <w:rPr>
          <w:color w:val="000000"/>
          <w:lang w:val="ru-RU"/>
        </w:rPr>
        <w:t>Ключищенского и Шеланговского</w:t>
      </w:r>
      <w:r>
        <w:rPr>
          <w:color w:val="000000"/>
        </w:rPr>
        <w:t xml:space="preserve"> участкового лесничества.</w:t>
      </w:r>
    </w:p>
    <w:p>
      <w:pPr>
        <w:pStyle w:val="113"/>
        <w:spacing w:lineRule="auto" w:line="240"/>
        <w:ind w:firstLine="700"/>
        <w:jc w:val="both"/>
        <w:rPr/>
      </w:pPr>
      <w:r>
        <w:rPr>
          <w:sz w:val="28"/>
          <w:szCs w:val="28"/>
        </w:rPr>
        <w:t>На территории поселения присутствуют лесные земли и лесные насаждения (древесно-кустарниковая растительность), не входящие в лесной фонд, общей площадь 114,4483 га. Данные лесные насаждения расположены на землях сельскохозяйственного назначения,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и предназначены для обеспечения защиты земель от воздействия негативных природных, антропогенных и техногенных явлений.</w:t>
      </w:r>
    </w:p>
    <w:p>
      <w:pPr>
        <w:pStyle w:val="Style30"/>
        <w:spacing w:before="0" w:after="0"/>
        <w:ind w:right="352" w:firstLine="709"/>
        <w:jc w:val="both"/>
        <w:rPr/>
      </w:pPr>
      <w:r>
        <w:rPr>
          <w:color w:val="000000"/>
          <w:u w:val="single"/>
        </w:rPr>
        <w:t>Распределение лесного фонда по целевому назначению и категориям</w:t>
      </w:r>
      <w:r>
        <w:rPr>
          <w:color w:val="000000"/>
        </w:rPr>
        <w:t xml:space="preserve"> </w:t>
      </w:r>
      <w:r>
        <w:rPr>
          <w:color w:val="000000"/>
          <w:u w:val="single"/>
        </w:rPr>
        <w:t>защитности</w:t>
      </w:r>
    </w:p>
    <w:p>
      <w:pPr>
        <w:pStyle w:val="113"/>
        <w:spacing w:lineRule="auto" w:line="240"/>
        <w:ind w:firstLine="700"/>
        <w:jc w:val="both"/>
        <w:rPr>
          <w:color w:val="000000"/>
          <w:sz w:val="28"/>
          <w:szCs w:val="28"/>
        </w:rPr>
      </w:pPr>
      <w:r>
        <w:rPr>
          <w:color w:val="000000"/>
          <w:sz w:val="28"/>
          <w:szCs w:val="28"/>
        </w:rPr>
        <w:t>Леса, расположенные на землях лесного фонда, по целевому назначению подразделяются на защитные, эксплуатационные и резервные леса.</w:t>
      </w:r>
    </w:p>
    <w:p>
      <w:pPr>
        <w:pStyle w:val="113"/>
        <w:spacing w:lineRule="auto" w:line="240"/>
        <w:ind w:firstLine="700"/>
        <w:jc w:val="both"/>
        <w:rPr/>
      </w:pPr>
      <w:r>
        <w:rPr>
          <w:color w:val="000000"/>
          <w:sz w:val="28"/>
          <w:szCs w:val="28"/>
        </w:rPr>
        <w:t>На территории Вахитовского сельского поселения находятся исключительно защитные леса, которые представлены категориями:</w:t>
      </w:r>
    </w:p>
    <w:p>
      <w:pPr>
        <w:pStyle w:val="113"/>
        <w:spacing w:lineRule="auto" w:line="240"/>
        <w:ind w:firstLine="700"/>
        <w:jc w:val="both"/>
        <w:rPr/>
      </w:pPr>
      <w:r>
        <w:rPr>
          <w:color w:val="000000"/>
          <w:sz w:val="28"/>
          <w:szCs w:val="28"/>
        </w:rPr>
        <w:t>1) Леса, выполняющие функции защиты природных и иных объектов;</w:t>
      </w:r>
    </w:p>
    <w:p>
      <w:pPr>
        <w:pStyle w:val="113"/>
        <w:spacing w:lineRule="auto" w:line="240"/>
        <w:ind w:firstLine="700"/>
        <w:jc w:val="both"/>
        <w:rPr>
          <w:color w:val="000000"/>
          <w:sz w:val="28"/>
          <w:szCs w:val="28"/>
        </w:rPr>
      </w:pPr>
      <w:r>
        <w:rPr>
          <w:color w:val="000000"/>
          <w:sz w:val="28"/>
          <w:szCs w:val="28"/>
        </w:rPr>
        <w:t>2) Леса, расположенные в водоохранных зонах;</w:t>
      </w:r>
    </w:p>
    <w:p>
      <w:pPr>
        <w:pStyle w:val="113"/>
        <w:spacing w:lineRule="auto" w:line="240"/>
        <w:ind w:firstLine="700"/>
        <w:jc w:val="both"/>
        <w:rPr/>
      </w:pPr>
      <w:r>
        <w:rPr>
          <w:color w:val="000000"/>
          <w:sz w:val="28"/>
          <w:szCs w:val="28"/>
        </w:rPr>
        <w:t xml:space="preserve">3) Ценные леса: </w:t>
      </w:r>
    </w:p>
    <w:p>
      <w:pPr>
        <w:pStyle w:val="113"/>
        <w:spacing w:lineRule="auto" w:line="240"/>
        <w:ind w:firstLine="700"/>
        <w:jc w:val="both"/>
        <w:rPr/>
      </w:pPr>
      <w:r>
        <w:rPr>
          <w:color w:val="000000"/>
          <w:sz w:val="28"/>
          <w:szCs w:val="28"/>
        </w:rPr>
        <w:t>- Леса, расположенные в пустынных, полупустынных, лесостепных, лесотундровых зонах, степях, горах;</w:t>
      </w:r>
    </w:p>
    <w:p>
      <w:pPr>
        <w:pStyle w:val="113"/>
        <w:spacing w:lineRule="auto" w:line="240"/>
        <w:ind w:firstLine="700"/>
        <w:jc w:val="both"/>
        <w:rPr>
          <w:color w:val="FF0066"/>
          <w:sz w:val="28"/>
          <w:szCs w:val="28"/>
        </w:rPr>
      </w:pPr>
      <w:r>
        <w:rPr>
          <w:color w:val="FF0066"/>
          <w:sz w:val="28"/>
          <w:szCs w:val="28"/>
        </w:rPr>
      </w:r>
    </w:p>
    <w:p>
      <w:pPr>
        <w:pStyle w:val="2"/>
        <w:numPr>
          <w:ilvl w:val="1"/>
          <w:numId w:val="7"/>
        </w:numPr>
        <w:jc w:val="both"/>
        <w:rPr/>
      </w:pPr>
      <w:bookmarkStart w:id="269" w:name="__RefHeading___Toc156489420"/>
      <w:bookmarkEnd w:id="269"/>
      <w:r>
        <w:rPr>
          <w:bCs w:val="false"/>
          <w:color w:val="000000"/>
          <w:szCs w:val="20"/>
        </w:rPr>
        <w:t>Жилищный фонд</w:t>
      </w:r>
    </w:p>
    <w:p>
      <w:pPr>
        <w:pStyle w:val="Normal"/>
        <w:tabs>
          <w:tab w:val="clear" w:pos="709"/>
          <w:tab w:val="left" w:pos="8820" w:leader="none"/>
          <w:tab w:val="left" w:pos="9480" w:leader="none"/>
        </w:tabs>
        <w:ind w:firstLine="720"/>
        <w:jc w:val="both"/>
        <w:rPr/>
      </w:pPr>
      <w:r>
        <w:rPr>
          <w:color w:val="000000"/>
          <w:szCs w:val="28"/>
        </w:rPr>
        <w:t>На начало 2023 года объем жилищного фонда Вахитовского сельского поселения составляет 25,3 тыс.кв.м общей площади жилья. В настоящее время жилищный фонд Вахитовского сельского поселения представлен индивидуальной застройкой.</w:t>
      </w:r>
    </w:p>
    <w:p>
      <w:pPr>
        <w:pStyle w:val="Normal"/>
        <w:tabs>
          <w:tab w:val="clear" w:pos="709"/>
          <w:tab w:val="left" w:pos="8820" w:leader="none"/>
          <w:tab w:val="left" w:pos="9480" w:leader="none"/>
        </w:tabs>
        <w:ind w:hanging="0"/>
        <w:jc w:val="both"/>
        <w:rPr>
          <w:color w:val="FF0066"/>
          <w:szCs w:val="28"/>
          <w:highlight w:val="yellow"/>
        </w:rPr>
      </w:pPr>
      <w:r>
        <w:rPr>
          <w:color w:val="FF0066"/>
          <w:szCs w:val="28"/>
          <w:highlight w:val="yellow"/>
        </w:rPr>
      </w:r>
    </w:p>
    <w:p>
      <w:pPr>
        <w:pStyle w:val="Style30"/>
        <w:spacing w:before="0" w:after="0"/>
        <w:ind w:firstLine="720"/>
        <w:jc w:val="both"/>
        <w:rPr/>
      </w:pPr>
      <w:r>
        <w:rPr>
          <w:bCs/>
          <w:szCs w:val="28"/>
        </w:rPr>
        <w:t xml:space="preserve">Таблица </w:t>
      </w:r>
      <w:r>
        <w:rPr>
          <w:szCs w:val="28"/>
        </w:rPr>
        <w:t>3.7.1</w:t>
      </w:r>
    </w:p>
    <w:p>
      <w:pPr>
        <w:pStyle w:val="Style30"/>
        <w:spacing w:before="0" w:after="0"/>
        <w:jc w:val="both"/>
        <w:rPr>
          <w:iCs/>
          <w:szCs w:val="28"/>
        </w:rPr>
      </w:pPr>
      <w:bookmarkStart w:id="270" w:name="_Hlk150241958"/>
      <w:bookmarkEnd w:id="270"/>
      <w:r>
        <w:rPr>
          <w:iCs/>
          <w:szCs w:val="28"/>
        </w:rPr>
        <w:t>Характеристика существующего жилищного фонда</w:t>
      </w:r>
      <w:r>
        <w:rPr>
          <w:iCs/>
          <w:szCs w:val="28"/>
          <w:lang w:val="ru-RU"/>
        </w:rPr>
        <w:t xml:space="preserve"> </w:t>
      </w:r>
      <w:r>
        <w:rPr>
          <w:iCs/>
          <w:szCs w:val="28"/>
        </w:rPr>
        <w:t xml:space="preserve">Вахитовского сельского поселения на </w:t>
      </w:r>
      <w:r>
        <w:rPr>
          <w:iCs/>
          <w:szCs w:val="28"/>
          <w:lang w:val="ru-RU"/>
        </w:rPr>
        <w:t xml:space="preserve">начало </w:t>
      </w:r>
      <w:r>
        <w:rPr>
          <w:iCs/>
          <w:szCs w:val="28"/>
        </w:rPr>
        <w:t>2023 года</w:t>
      </w:r>
    </w:p>
    <w:tbl>
      <w:tblPr>
        <w:tblW w:w="8904" w:type="dxa"/>
        <w:jc w:val="center"/>
        <w:tblInd w:w="0" w:type="dxa"/>
        <w:tblLayout w:type="fixed"/>
        <w:tblCellMar>
          <w:top w:w="0" w:type="dxa"/>
          <w:left w:w="30" w:type="dxa"/>
          <w:bottom w:w="0" w:type="dxa"/>
          <w:right w:w="30" w:type="dxa"/>
        </w:tblCellMar>
      </w:tblPr>
      <w:tblGrid>
        <w:gridCol w:w="541"/>
        <w:gridCol w:w="2212"/>
        <w:gridCol w:w="2040"/>
        <w:gridCol w:w="2070"/>
        <w:gridCol w:w="2041"/>
      </w:tblGrid>
      <w:tr>
        <w:trPr>
          <w:tblHeader w:val="true"/>
          <w:trHeight w:val="948" w:hRule="atLeast"/>
        </w:trPr>
        <w:tc>
          <w:tcPr>
            <w:tcW w:w="541" w:type="dxa"/>
            <w:tcBorders>
              <w:top w:val="single" w:sz="4" w:space="0" w:color="000000"/>
              <w:left w:val="single" w:sz="4" w:space="0" w:color="000000"/>
              <w:bottom w:val="single" w:sz="4" w:space="0" w:color="000000"/>
              <w:right w:val="single" w:sz="4" w:space="0" w:color="000000"/>
            </w:tcBorders>
            <w:vAlign w:val="center"/>
          </w:tcPr>
          <w:p>
            <w:pPr>
              <w:pStyle w:val="Style75"/>
              <w:jc w:val="both"/>
              <w:rPr>
                <w:sz w:val="20"/>
                <w:szCs w:val="20"/>
              </w:rPr>
            </w:pPr>
            <w:r>
              <w:rPr>
                <w:sz w:val="20"/>
                <w:szCs w:val="20"/>
              </w:rPr>
              <w:t xml:space="preserve">№ </w:t>
            </w:r>
            <w:r>
              <w:rPr>
                <w:sz w:val="20"/>
                <w:szCs w:val="20"/>
              </w:rPr>
              <w:t>п/п</w:t>
            </w:r>
          </w:p>
        </w:tc>
        <w:tc>
          <w:tcPr>
            <w:tcW w:w="2212" w:type="dxa"/>
            <w:tcBorders>
              <w:top w:val="single" w:sz="4" w:space="0" w:color="000000"/>
              <w:left w:val="single" w:sz="4" w:space="0" w:color="000000"/>
              <w:bottom w:val="single" w:sz="4" w:space="0" w:color="000000"/>
              <w:right w:val="single" w:sz="4" w:space="0" w:color="000000"/>
            </w:tcBorders>
            <w:vAlign w:val="center"/>
          </w:tcPr>
          <w:p>
            <w:pPr>
              <w:pStyle w:val="Style75"/>
              <w:jc w:val="both"/>
              <w:rPr>
                <w:sz w:val="20"/>
                <w:szCs w:val="20"/>
              </w:rPr>
            </w:pPr>
            <w:r>
              <w:rPr>
                <w:sz w:val="20"/>
                <w:szCs w:val="20"/>
              </w:rPr>
              <w:t>Наименование</w:t>
            </w:r>
          </w:p>
        </w:tc>
        <w:tc>
          <w:tcPr>
            <w:tcW w:w="2040" w:type="dxa"/>
            <w:tcBorders>
              <w:top w:val="single" w:sz="4" w:space="0" w:color="000000"/>
              <w:left w:val="single" w:sz="4" w:space="0" w:color="000000"/>
              <w:bottom w:val="single" w:sz="4" w:space="0" w:color="000000"/>
              <w:right w:val="single" w:sz="4" w:space="0" w:color="000000"/>
            </w:tcBorders>
            <w:vAlign w:val="center"/>
          </w:tcPr>
          <w:p>
            <w:pPr>
              <w:pStyle w:val="Style75"/>
              <w:jc w:val="both"/>
              <w:rPr>
                <w:bCs/>
                <w:sz w:val="20"/>
                <w:szCs w:val="20"/>
              </w:rPr>
            </w:pPr>
            <w:r>
              <w:rPr>
                <w:bCs/>
                <w:sz w:val="20"/>
                <w:szCs w:val="20"/>
              </w:rPr>
              <w:t>Обеспеченность,</w:t>
            </w:r>
          </w:p>
          <w:p>
            <w:pPr>
              <w:pStyle w:val="Style75"/>
              <w:jc w:val="both"/>
              <w:rPr>
                <w:bCs/>
                <w:sz w:val="20"/>
                <w:szCs w:val="20"/>
              </w:rPr>
            </w:pPr>
            <w:r>
              <w:rPr>
                <w:bCs/>
                <w:sz w:val="20"/>
                <w:szCs w:val="20"/>
              </w:rPr>
              <w:t>кв.м/чел.</w:t>
            </w:r>
          </w:p>
        </w:tc>
        <w:tc>
          <w:tcPr>
            <w:tcW w:w="2070" w:type="dxa"/>
            <w:tcBorders>
              <w:top w:val="single" w:sz="4" w:space="0" w:color="000000"/>
              <w:left w:val="single" w:sz="4" w:space="0" w:color="000000"/>
              <w:bottom w:val="single" w:sz="4" w:space="0" w:color="000000"/>
              <w:right w:val="single" w:sz="4" w:space="0" w:color="000000"/>
            </w:tcBorders>
          </w:tcPr>
          <w:p>
            <w:pPr>
              <w:pStyle w:val="Style75"/>
              <w:jc w:val="both"/>
              <w:rPr>
                <w:bCs/>
                <w:sz w:val="20"/>
                <w:szCs w:val="20"/>
              </w:rPr>
            </w:pPr>
            <w:r>
              <w:rPr>
                <w:bCs/>
                <w:sz w:val="20"/>
                <w:szCs w:val="20"/>
              </w:rPr>
              <w:t>Многоквартирный (многоэтажный) жилищный фонд, тыс.кв.м</w:t>
            </w:r>
          </w:p>
        </w:tc>
        <w:tc>
          <w:tcPr>
            <w:tcW w:w="2041" w:type="dxa"/>
            <w:tcBorders>
              <w:top w:val="single" w:sz="4" w:space="0" w:color="000000"/>
              <w:left w:val="single" w:sz="4" w:space="0" w:color="000000"/>
              <w:bottom w:val="single" w:sz="4" w:space="0" w:color="000000"/>
              <w:right w:val="single" w:sz="4" w:space="0" w:color="000000"/>
            </w:tcBorders>
            <w:vAlign w:val="center"/>
          </w:tcPr>
          <w:p>
            <w:pPr>
              <w:pStyle w:val="Style75"/>
              <w:jc w:val="both"/>
              <w:rPr>
                <w:sz w:val="20"/>
                <w:szCs w:val="20"/>
              </w:rPr>
            </w:pPr>
            <w:r>
              <w:rPr>
                <w:sz w:val="20"/>
                <w:szCs w:val="20"/>
              </w:rPr>
              <w:t>Индивидуальный жилищный фонд,</w:t>
            </w:r>
          </w:p>
          <w:p>
            <w:pPr>
              <w:pStyle w:val="Style75"/>
              <w:jc w:val="both"/>
              <w:rPr>
                <w:sz w:val="20"/>
                <w:szCs w:val="20"/>
              </w:rPr>
            </w:pPr>
            <w:r>
              <w:rPr>
                <w:sz w:val="20"/>
                <w:szCs w:val="20"/>
              </w:rPr>
              <w:t>тыс.кв.м</w:t>
            </w:r>
          </w:p>
        </w:tc>
      </w:tr>
      <w:tr>
        <w:trPr>
          <w:trHeight w:val="247" w:hRule="atLeast"/>
        </w:trPr>
        <w:tc>
          <w:tcPr>
            <w:tcW w:w="541" w:type="dxa"/>
            <w:tcBorders>
              <w:top w:val="single" w:sz="4" w:space="0" w:color="000000"/>
              <w:left w:val="single" w:sz="4" w:space="0" w:color="000000"/>
              <w:bottom w:val="single" w:sz="4" w:space="0" w:color="000000"/>
              <w:right w:val="single" w:sz="4" w:space="0" w:color="000000"/>
            </w:tcBorders>
            <w:vAlign w:val="center"/>
          </w:tcPr>
          <w:p>
            <w:pPr>
              <w:pStyle w:val="Style75"/>
              <w:jc w:val="both"/>
              <w:rPr>
                <w:sz w:val="20"/>
                <w:szCs w:val="20"/>
              </w:rPr>
            </w:pPr>
            <w:r>
              <w:rPr>
                <w:sz w:val="20"/>
                <w:szCs w:val="20"/>
              </w:rPr>
              <w:t>1</w:t>
            </w:r>
          </w:p>
        </w:tc>
        <w:tc>
          <w:tcPr>
            <w:tcW w:w="2212" w:type="dxa"/>
            <w:tcBorders>
              <w:top w:val="single" w:sz="4" w:space="0" w:color="000000"/>
              <w:left w:val="single" w:sz="4" w:space="0" w:color="000000"/>
              <w:bottom w:val="single" w:sz="4" w:space="0" w:color="000000"/>
              <w:right w:val="single" w:sz="4" w:space="0" w:color="000000"/>
            </w:tcBorders>
            <w:vAlign w:val="center"/>
          </w:tcPr>
          <w:p>
            <w:pPr>
              <w:pStyle w:val="Style75"/>
              <w:jc w:val="both"/>
              <w:rPr>
                <w:sz w:val="20"/>
                <w:szCs w:val="20"/>
              </w:rPr>
            </w:pPr>
            <w:r>
              <w:rPr>
                <w:sz w:val="20"/>
                <w:szCs w:val="20"/>
              </w:rPr>
              <w:t>д.им. Мулланура Вахитова</w:t>
            </w:r>
          </w:p>
        </w:tc>
        <w:tc>
          <w:tcPr>
            <w:tcW w:w="2040" w:type="dxa"/>
            <w:tcBorders>
              <w:top w:val="single" w:sz="4" w:space="0" w:color="000000"/>
              <w:left w:val="single" w:sz="4" w:space="0" w:color="000000"/>
              <w:bottom w:val="single" w:sz="4" w:space="0" w:color="000000"/>
              <w:right w:val="single" w:sz="4" w:space="0" w:color="000000"/>
            </w:tcBorders>
            <w:vAlign w:val="center"/>
          </w:tcPr>
          <w:p>
            <w:pPr>
              <w:pStyle w:val="Normal"/>
              <w:keepNext w:val="true"/>
              <w:ind w:hanging="0"/>
              <w:jc w:val="both"/>
              <w:rPr>
                <w:sz w:val="20"/>
                <w:szCs w:val="20"/>
              </w:rPr>
            </w:pPr>
            <w:r>
              <w:rPr>
                <w:sz w:val="20"/>
                <w:szCs w:val="20"/>
              </w:rPr>
              <w:t>44,8</w:t>
            </w:r>
          </w:p>
        </w:tc>
        <w:tc>
          <w:tcPr>
            <w:tcW w:w="2070" w:type="dxa"/>
            <w:tcBorders>
              <w:top w:val="single" w:sz="4" w:space="0" w:color="000000"/>
              <w:left w:val="single" w:sz="4" w:space="0" w:color="000000"/>
              <w:bottom w:val="single" w:sz="4" w:space="0" w:color="000000"/>
              <w:right w:val="single" w:sz="4" w:space="0" w:color="000000"/>
            </w:tcBorders>
          </w:tcPr>
          <w:p>
            <w:pPr>
              <w:pStyle w:val="Normal"/>
              <w:keepNext w:val="true"/>
              <w:ind w:hanging="0"/>
              <w:jc w:val="both"/>
              <w:rPr>
                <w:sz w:val="20"/>
                <w:szCs w:val="20"/>
              </w:rPr>
            </w:pPr>
            <w:r>
              <w:rPr>
                <w:sz w:val="20"/>
                <w:szCs w:val="20"/>
              </w:rPr>
              <w:t>-</w:t>
            </w:r>
          </w:p>
        </w:tc>
        <w:tc>
          <w:tcPr>
            <w:tcW w:w="2041" w:type="dxa"/>
            <w:tcBorders>
              <w:top w:val="single" w:sz="4" w:space="0" w:color="000000"/>
              <w:left w:val="single" w:sz="4" w:space="0" w:color="000000"/>
              <w:bottom w:val="single" w:sz="4" w:space="0" w:color="000000"/>
              <w:right w:val="single" w:sz="4" w:space="0" w:color="000000"/>
            </w:tcBorders>
            <w:vAlign w:val="center"/>
          </w:tcPr>
          <w:p>
            <w:pPr>
              <w:pStyle w:val="Normal"/>
              <w:keepNext w:val="true"/>
              <w:ind w:hanging="0"/>
              <w:jc w:val="both"/>
              <w:rPr>
                <w:sz w:val="20"/>
                <w:szCs w:val="20"/>
              </w:rPr>
            </w:pPr>
            <w:r>
              <w:rPr>
                <w:sz w:val="20"/>
                <w:szCs w:val="20"/>
              </w:rPr>
              <w:t>9,1</w:t>
            </w:r>
          </w:p>
        </w:tc>
      </w:tr>
      <w:tr>
        <w:trPr>
          <w:trHeight w:val="247" w:hRule="atLeast"/>
        </w:trPr>
        <w:tc>
          <w:tcPr>
            <w:tcW w:w="541" w:type="dxa"/>
            <w:tcBorders>
              <w:top w:val="single" w:sz="4" w:space="0" w:color="000000"/>
              <w:left w:val="single" w:sz="4" w:space="0" w:color="000000"/>
              <w:bottom w:val="single" w:sz="4" w:space="0" w:color="000000"/>
              <w:right w:val="single" w:sz="4" w:space="0" w:color="000000"/>
            </w:tcBorders>
            <w:vAlign w:val="center"/>
          </w:tcPr>
          <w:p>
            <w:pPr>
              <w:pStyle w:val="Style75"/>
              <w:jc w:val="both"/>
              <w:rPr>
                <w:sz w:val="20"/>
                <w:szCs w:val="20"/>
              </w:rPr>
            </w:pPr>
            <w:r>
              <w:rPr>
                <w:sz w:val="20"/>
                <w:szCs w:val="20"/>
              </w:rPr>
              <w:t>2</w:t>
            </w:r>
          </w:p>
        </w:tc>
        <w:tc>
          <w:tcPr>
            <w:tcW w:w="2212" w:type="dxa"/>
            <w:tcBorders>
              <w:top w:val="single" w:sz="4" w:space="0" w:color="000000"/>
              <w:left w:val="single" w:sz="4" w:space="0" w:color="000000"/>
              <w:bottom w:val="single" w:sz="4" w:space="0" w:color="000000"/>
              <w:right w:val="single" w:sz="4" w:space="0" w:color="000000"/>
            </w:tcBorders>
            <w:vAlign w:val="center"/>
          </w:tcPr>
          <w:p>
            <w:pPr>
              <w:pStyle w:val="Style75"/>
              <w:jc w:val="both"/>
              <w:rPr>
                <w:sz w:val="20"/>
                <w:szCs w:val="20"/>
              </w:rPr>
            </w:pPr>
            <w:r>
              <w:rPr>
                <w:sz w:val="20"/>
                <w:szCs w:val="20"/>
              </w:rPr>
              <w:t>п.Бакча-Сарай</w:t>
            </w:r>
          </w:p>
        </w:tc>
        <w:tc>
          <w:tcPr>
            <w:tcW w:w="2040" w:type="dxa"/>
            <w:tcBorders>
              <w:top w:val="single" w:sz="4" w:space="0" w:color="000000"/>
              <w:left w:val="single" w:sz="4" w:space="0" w:color="000000"/>
              <w:bottom w:val="single" w:sz="4" w:space="0" w:color="000000"/>
              <w:right w:val="single" w:sz="4" w:space="0" w:color="000000"/>
            </w:tcBorders>
            <w:vAlign w:val="center"/>
          </w:tcPr>
          <w:p>
            <w:pPr>
              <w:pStyle w:val="Normal"/>
              <w:keepNext w:val="true"/>
              <w:ind w:hanging="0"/>
              <w:jc w:val="both"/>
              <w:rPr>
                <w:sz w:val="20"/>
                <w:szCs w:val="20"/>
              </w:rPr>
            </w:pPr>
            <w:r>
              <w:rPr>
                <w:sz w:val="20"/>
                <w:szCs w:val="20"/>
              </w:rPr>
              <w:t>48,4</w:t>
            </w:r>
          </w:p>
        </w:tc>
        <w:tc>
          <w:tcPr>
            <w:tcW w:w="2070" w:type="dxa"/>
            <w:tcBorders>
              <w:top w:val="single" w:sz="4" w:space="0" w:color="000000"/>
              <w:left w:val="single" w:sz="4" w:space="0" w:color="000000"/>
              <w:bottom w:val="single" w:sz="4" w:space="0" w:color="000000"/>
              <w:right w:val="single" w:sz="4" w:space="0" w:color="000000"/>
            </w:tcBorders>
          </w:tcPr>
          <w:p>
            <w:pPr>
              <w:pStyle w:val="Normal"/>
              <w:keepNext w:val="true"/>
              <w:ind w:hanging="0"/>
              <w:jc w:val="both"/>
              <w:rPr>
                <w:sz w:val="20"/>
                <w:szCs w:val="20"/>
              </w:rPr>
            </w:pPr>
            <w:r>
              <w:rPr>
                <w:sz w:val="20"/>
                <w:szCs w:val="20"/>
              </w:rPr>
              <w:t>-</w:t>
            </w:r>
          </w:p>
        </w:tc>
        <w:tc>
          <w:tcPr>
            <w:tcW w:w="2041" w:type="dxa"/>
            <w:tcBorders>
              <w:top w:val="single" w:sz="4" w:space="0" w:color="000000"/>
              <w:left w:val="single" w:sz="4" w:space="0" w:color="000000"/>
              <w:bottom w:val="single" w:sz="4" w:space="0" w:color="000000"/>
              <w:right w:val="single" w:sz="4" w:space="0" w:color="000000"/>
            </w:tcBorders>
            <w:vAlign w:val="center"/>
          </w:tcPr>
          <w:p>
            <w:pPr>
              <w:pStyle w:val="Normal"/>
              <w:keepNext w:val="true"/>
              <w:ind w:hanging="0"/>
              <w:jc w:val="both"/>
              <w:rPr>
                <w:sz w:val="20"/>
                <w:szCs w:val="20"/>
              </w:rPr>
            </w:pPr>
            <w:r>
              <w:rPr>
                <w:sz w:val="20"/>
                <w:szCs w:val="20"/>
              </w:rPr>
              <w:t>7,8</w:t>
            </w:r>
          </w:p>
        </w:tc>
      </w:tr>
      <w:tr>
        <w:trPr>
          <w:trHeight w:val="247" w:hRule="atLeast"/>
        </w:trPr>
        <w:tc>
          <w:tcPr>
            <w:tcW w:w="541" w:type="dxa"/>
            <w:tcBorders>
              <w:top w:val="single" w:sz="4" w:space="0" w:color="000000"/>
              <w:left w:val="single" w:sz="4" w:space="0" w:color="000000"/>
              <w:bottom w:val="single" w:sz="4" w:space="0" w:color="000000"/>
              <w:right w:val="single" w:sz="4" w:space="0" w:color="000000"/>
            </w:tcBorders>
            <w:vAlign w:val="center"/>
          </w:tcPr>
          <w:p>
            <w:pPr>
              <w:pStyle w:val="Style75"/>
              <w:jc w:val="both"/>
              <w:rPr>
                <w:sz w:val="20"/>
                <w:szCs w:val="20"/>
              </w:rPr>
            </w:pPr>
            <w:r>
              <w:rPr>
                <w:sz w:val="20"/>
                <w:szCs w:val="20"/>
              </w:rPr>
              <w:t>3</w:t>
            </w:r>
          </w:p>
        </w:tc>
        <w:tc>
          <w:tcPr>
            <w:tcW w:w="2212" w:type="dxa"/>
            <w:tcBorders>
              <w:top w:val="single" w:sz="4" w:space="0" w:color="000000"/>
              <w:left w:val="single" w:sz="4" w:space="0" w:color="000000"/>
              <w:bottom w:val="single" w:sz="4" w:space="0" w:color="000000"/>
              <w:right w:val="single" w:sz="4" w:space="0" w:color="000000"/>
            </w:tcBorders>
            <w:vAlign w:val="center"/>
          </w:tcPr>
          <w:p>
            <w:pPr>
              <w:pStyle w:val="Style75"/>
              <w:jc w:val="both"/>
              <w:rPr/>
            </w:pPr>
            <w:r>
              <w:rPr>
                <w:sz w:val="20"/>
                <w:szCs w:val="20"/>
              </w:rPr>
              <w:t>с.Ташевка</w:t>
            </w:r>
          </w:p>
        </w:tc>
        <w:tc>
          <w:tcPr>
            <w:tcW w:w="2040" w:type="dxa"/>
            <w:tcBorders>
              <w:top w:val="single" w:sz="4" w:space="0" w:color="000000"/>
              <w:left w:val="single" w:sz="4" w:space="0" w:color="000000"/>
              <w:bottom w:val="single" w:sz="4" w:space="0" w:color="000000"/>
              <w:right w:val="single" w:sz="4" w:space="0" w:color="000000"/>
            </w:tcBorders>
            <w:vAlign w:val="center"/>
          </w:tcPr>
          <w:p>
            <w:pPr>
              <w:pStyle w:val="Normal"/>
              <w:keepNext w:val="true"/>
              <w:ind w:hanging="0"/>
              <w:jc w:val="both"/>
              <w:rPr>
                <w:sz w:val="20"/>
                <w:szCs w:val="20"/>
              </w:rPr>
            </w:pPr>
            <w:r>
              <w:rPr>
                <w:sz w:val="20"/>
                <w:szCs w:val="20"/>
              </w:rPr>
              <w:t>129,5</w:t>
            </w:r>
          </w:p>
        </w:tc>
        <w:tc>
          <w:tcPr>
            <w:tcW w:w="2070" w:type="dxa"/>
            <w:tcBorders>
              <w:top w:val="single" w:sz="4" w:space="0" w:color="000000"/>
              <w:left w:val="single" w:sz="4" w:space="0" w:color="000000"/>
              <w:bottom w:val="single" w:sz="4" w:space="0" w:color="000000"/>
              <w:right w:val="single" w:sz="4" w:space="0" w:color="000000"/>
            </w:tcBorders>
          </w:tcPr>
          <w:p>
            <w:pPr>
              <w:pStyle w:val="Normal"/>
              <w:keepNext w:val="true"/>
              <w:ind w:hanging="0"/>
              <w:jc w:val="both"/>
              <w:rPr>
                <w:sz w:val="20"/>
                <w:szCs w:val="20"/>
              </w:rPr>
            </w:pPr>
            <w:r>
              <w:rPr>
                <w:sz w:val="20"/>
                <w:szCs w:val="20"/>
              </w:rPr>
              <w:t>-</w:t>
            </w:r>
          </w:p>
        </w:tc>
        <w:tc>
          <w:tcPr>
            <w:tcW w:w="2041" w:type="dxa"/>
            <w:tcBorders>
              <w:top w:val="single" w:sz="4" w:space="0" w:color="000000"/>
              <w:left w:val="single" w:sz="4" w:space="0" w:color="000000"/>
              <w:bottom w:val="single" w:sz="4" w:space="0" w:color="000000"/>
              <w:right w:val="single" w:sz="4" w:space="0" w:color="000000"/>
            </w:tcBorders>
            <w:vAlign w:val="center"/>
          </w:tcPr>
          <w:p>
            <w:pPr>
              <w:pStyle w:val="Normal"/>
              <w:keepNext w:val="true"/>
              <w:ind w:hanging="0"/>
              <w:jc w:val="both"/>
              <w:rPr>
                <w:sz w:val="20"/>
                <w:szCs w:val="20"/>
              </w:rPr>
            </w:pPr>
            <w:r>
              <w:rPr>
                <w:sz w:val="20"/>
                <w:szCs w:val="20"/>
              </w:rPr>
              <w:t>5,7</w:t>
            </w:r>
          </w:p>
        </w:tc>
      </w:tr>
      <w:tr>
        <w:trPr>
          <w:trHeight w:val="247" w:hRule="atLeast"/>
        </w:trPr>
        <w:tc>
          <w:tcPr>
            <w:tcW w:w="541" w:type="dxa"/>
            <w:tcBorders>
              <w:top w:val="single" w:sz="4" w:space="0" w:color="000000"/>
              <w:left w:val="single" w:sz="4" w:space="0" w:color="000000"/>
              <w:bottom w:val="single" w:sz="4" w:space="0" w:color="000000"/>
              <w:right w:val="single" w:sz="4" w:space="0" w:color="000000"/>
            </w:tcBorders>
            <w:vAlign w:val="center"/>
          </w:tcPr>
          <w:p>
            <w:pPr>
              <w:pStyle w:val="Style75"/>
              <w:jc w:val="both"/>
              <w:rPr>
                <w:sz w:val="20"/>
                <w:szCs w:val="20"/>
              </w:rPr>
            </w:pPr>
            <w:r>
              <w:rPr>
                <w:sz w:val="20"/>
                <w:szCs w:val="20"/>
              </w:rPr>
              <w:t>4</w:t>
            </w:r>
          </w:p>
        </w:tc>
        <w:tc>
          <w:tcPr>
            <w:tcW w:w="2212" w:type="dxa"/>
            <w:tcBorders>
              <w:top w:val="single" w:sz="4" w:space="0" w:color="000000"/>
              <w:left w:val="single" w:sz="4" w:space="0" w:color="000000"/>
              <w:bottom w:val="single" w:sz="4" w:space="0" w:color="000000"/>
              <w:right w:val="single" w:sz="4" w:space="0" w:color="000000"/>
            </w:tcBorders>
            <w:vAlign w:val="center"/>
          </w:tcPr>
          <w:p>
            <w:pPr>
              <w:pStyle w:val="Style75"/>
              <w:jc w:val="both"/>
              <w:rPr/>
            </w:pPr>
            <w:r>
              <w:rPr>
                <w:sz w:val="20"/>
                <w:szCs w:val="20"/>
              </w:rPr>
              <w:t>д.Ватан</w:t>
            </w:r>
          </w:p>
        </w:tc>
        <w:tc>
          <w:tcPr>
            <w:tcW w:w="2040" w:type="dxa"/>
            <w:tcBorders>
              <w:top w:val="single" w:sz="4" w:space="0" w:color="000000"/>
              <w:left w:val="single" w:sz="4" w:space="0" w:color="000000"/>
              <w:bottom w:val="single" w:sz="4" w:space="0" w:color="000000"/>
              <w:right w:val="single" w:sz="4" w:space="0" w:color="000000"/>
            </w:tcBorders>
            <w:vAlign w:val="center"/>
          </w:tcPr>
          <w:p>
            <w:pPr>
              <w:pStyle w:val="Normal"/>
              <w:keepNext w:val="true"/>
              <w:ind w:hanging="0"/>
              <w:jc w:val="both"/>
              <w:rPr>
                <w:sz w:val="20"/>
                <w:szCs w:val="20"/>
              </w:rPr>
            </w:pPr>
            <w:r>
              <w:rPr>
                <w:sz w:val="20"/>
                <w:szCs w:val="20"/>
              </w:rPr>
              <w:t>75</w:t>
            </w:r>
          </w:p>
        </w:tc>
        <w:tc>
          <w:tcPr>
            <w:tcW w:w="2070" w:type="dxa"/>
            <w:tcBorders>
              <w:top w:val="single" w:sz="4" w:space="0" w:color="000000"/>
              <w:left w:val="single" w:sz="4" w:space="0" w:color="000000"/>
              <w:bottom w:val="single" w:sz="4" w:space="0" w:color="000000"/>
              <w:right w:val="single" w:sz="4" w:space="0" w:color="000000"/>
            </w:tcBorders>
          </w:tcPr>
          <w:p>
            <w:pPr>
              <w:pStyle w:val="Normal"/>
              <w:keepNext w:val="true"/>
              <w:ind w:hanging="0"/>
              <w:jc w:val="both"/>
              <w:rPr>
                <w:sz w:val="20"/>
                <w:szCs w:val="20"/>
              </w:rPr>
            </w:pPr>
            <w:r>
              <w:rPr>
                <w:sz w:val="20"/>
                <w:szCs w:val="20"/>
              </w:rPr>
              <w:t>-</w:t>
            </w:r>
          </w:p>
        </w:tc>
        <w:tc>
          <w:tcPr>
            <w:tcW w:w="2041" w:type="dxa"/>
            <w:tcBorders>
              <w:top w:val="single" w:sz="4" w:space="0" w:color="000000"/>
              <w:left w:val="single" w:sz="4" w:space="0" w:color="000000"/>
              <w:bottom w:val="single" w:sz="4" w:space="0" w:color="000000"/>
              <w:right w:val="single" w:sz="4" w:space="0" w:color="000000"/>
            </w:tcBorders>
            <w:vAlign w:val="center"/>
          </w:tcPr>
          <w:p>
            <w:pPr>
              <w:pStyle w:val="Normal"/>
              <w:keepNext w:val="true"/>
              <w:ind w:hanging="0"/>
              <w:jc w:val="both"/>
              <w:rPr/>
            </w:pPr>
            <w:r>
              <w:rPr>
                <w:sz w:val="20"/>
                <w:szCs w:val="20"/>
              </w:rPr>
              <w:t>1,8</w:t>
            </w:r>
          </w:p>
        </w:tc>
      </w:tr>
      <w:tr>
        <w:trPr>
          <w:trHeight w:val="247" w:hRule="atLeast"/>
        </w:trPr>
        <w:tc>
          <w:tcPr>
            <w:tcW w:w="541" w:type="dxa"/>
            <w:tcBorders>
              <w:top w:val="single" w:sz="4" w:space="0" w:color="000000"/>
              <w:left w:val="single" w:sz="4" w:space="0" w:color="000000"/>
              <w:bottom w:val="single" w:sz="4" w:space="0" w:color="000000"/>
              <w:right w:val="single" w:sz="4" w:space="0" w:color="000000"/>
            </w:tcBorders>
            <w:vAlign w:val="center"/>
          </w:tcPr>
          <w:p>
            <w:pPr>
              <w:pStyle w:val="Style75"/>
              <w:jc w:val="both"/>
              <w:rPr>
                <w:sz w:val="20"/>
                <w:szCs w:val="20"/>
              </w:rPr>
            </w:pPr>
            <w:r>
              <w:rPr>
                <w:sz w:val="20"/>
                <w:szCs w:val="20"/>
              </w:rPr>
              <w:t>5</w:t>
            </w:r>
          </w:p>
        </w:tc>
        <w:tc>
          <w:tcPr>
            <w:tcW w:w="2212" w:type="dxa"/>
            <w:tcBorders>
              <w:top w:val="single" w:sz="4" w:space="0" w:color="000000"/>
              <w:left w:val="single" w:sz="4" w:space="0" w:color="000000"/>
              <w:bottom w:val="single" w:sz="4" w:space="0" w:color="000000"/>
              <w:right w:val="single" w:sz="4" w:space="0" w:color="000000"/>
            </w:tcBorders>
            <w:vAlign w:val="center"/>
          </w:tcPr>
          <w:p>
            <w:pPr>
              <w:pStyle w:val="Style75"/>
              <w:jc w:val="both"/>
              <w:rPr/>
            </w:pPr>
            <w:r>
              <w:rPr>
                <w:sz w:val="20"/>
                <w:szCs w:val="20"/>
              </w:rPr>
              <w:t>д.Гребени</w:t>
            </w:r>
          </w:p>
        </w:tc>
        <w:tc>
          <w:tcPr>
            <w:tcW w:w="2040" w:type="dxa"/>
            <w:tcBorders>
              <w:top w:val="single" w:sz="4" w:space="0" w:color="000000"/>
              <w:left w:val="single" w:sz="4" w:space="0" w:color="000000"/>
              <w:bottom w:val="single" w:sz="4" w:space="0" w:color="000000"/>
              <w:right w:val="single" w:sz="4" w:space="0" w:color="000000"/>
            </w:tcBorders>
            <w:vAlign w:val="center"/>
          </w:tcPr>
          <w:p>
            <w:pPr>
              <w:pStyle w:val="Normal"/>
              <w:keepNext w:val="true"/>
              <w:ind w:hanging="0"/>
              <w:jc w:val="both"/>
              <w:rPr>
                <w:sz w:val="20"/>
                <w:szCs w:val="20"/>
              </w:rPr>
            </w:pPr>
            <w:r>
              <w:rPr>
                <w:sz w:val="20"/>
                <w:szCs w:val="20"/>
              </w:rPr>
              <w:t>-</w:t>
            </w:r>
          </w:p>
        </w:tc>
        <w:tc>
          <w:tcPr>
            <w:tcW w:w="2070" w:type="dxa"/>
            <w:tcBorders>
              <w:top w:val="single" w:sz="4" w:space="0" w:color="000000"/>
              <w:left w:val="single" w:sz="4" w:space="0" w:color="000000"/>
              <w:bottom w:val="single" w:sz="4" w:space="0" w:color="000000"/>
              <w:right w:val="single" w:sz="4" w:space="0" w:color="000000"/>
            </w:tcBorders>
          </w:tcPr>
          <w:p>
            <w:pPr>
              <w:pStyle w:val="Normal"/>
              <w:keepNext w:val="true"/>
              <w:ind w:hanging="0"/>
              <w:jc w:val="both"/>
              <w:rPr>
                <w:sz w:val="20"/>
                <w:szCs w:val="20"/>
              </w:rPr>
            </w:pPr>
            <w:r>
              <w:rPr>
                <w:sz w:val="20"/>
                <w:szCs w:val="20"/>
              </w:rPr>
              <w:t>-</w:t>
            </w:r>
          </w:p>
        </w:tc>
        <w:tc>
          <w:tcPr>
            <w:tcW w:w="2041" w:type="dxa"/>
            <w:tcBorders>
              <w:top w:val="single" w:sz="4" w:space="0" w:color="000000"/>
              <w:left w:val="single" w:sz="4" w:space="0" w:color="000000"/>
              <w:bottom w:val="single" w:sz="4" w:space="0" w:color="000000"/>
              <w:right w:val="single" w:sz="4" w:space="0" w:color="000000"/>
            </w:tcBorders>
            <w:vAlign w:val="center"/>
          </w:tcPr>
          <w:p>
            <w:pPr>
              <w:pStyle w:val="Normal"/>
              <w:keepNext w:val="true"/>
              <w:ind w:hanging="0"/>
              <w:jc w:val="both"/>
              <w:rPr/>
            </w:pPr>
            <w:r>
              <w:rPr>
                <w:sz w:val="20"/>
                <w:szCs w:val="20"/>
              </w:rPr>
              <w:t>0,9</w:t>
            </w:r>
          </w:p>
        </w:tc>
      </w:tr>
      <w:tr>
        <w:trPr>
          <w:trHeight w:val="247" w:hRule="atLeast"/>
        </w:trPr>
        <w:tc>
          <w:tcPr>
            <w:tcW w:w="2753" w:type="dxa"/>
            <w:gridSpan w:val="2"/>
            <w:tcBorders>
              <w:top w:val="single" w:sz="4" w:space="0" w:color="000000"/>
              <w:left w:val="single" w:sz="4" w:space="0" w:color="000000"/>
              <w:bottom w:val="single" w:sz="4" w:space="0" w:color="000000"/>
              <w:right w:val="single" w:sz="4" w:space="0" w:color="000000"/>
            </w:tcBorders>
            <w:vAlign w:val="center"/>
          </w:tcPr>
          <w:p>
            <w:pPr>
              <w:pStyle w:val="Style75"/>
              <w:jc w:val="both"/>
              <w:rPr/>
            </w:pPr>
            <w:r>
              <w:rPr>
                <w:sz w:val="20"/>
                <w:szCs w:val="20"/>
              </w:rPr>
              <w:t xml:space="preserve">Всего по </w:t>
            </w:r>
            <w:r>
              <w:rPr>
                <w:bCs/>
                <w:sz w:val="20"/>
                <w:szCs w:val="20"/>
              </w:rPr>
              <w:t>поселению</w:t>
            </w:r>
          </w:p>
        </w:tc>
        <w:tc>
          <w:tcPr>
            <w:tcW w:w="2040" w:type="dxa"/>
            <w:tcBorders>
              <w:top w:val="single" w:sz="4" w:space="0" w:color="000000"/>
              <w:left w:val="single" w:sz="4" w:space="0" w:color="000000"/>
              <w:bottom w:val="single" w:sz="4" w:space="0" w:color="000000"/>
              <w:right w:val="single" w:sz="4" w:space="0" w:color="000000"/>
            </w:tcBorders>
            <w:vAlign w:val="center"/>
          </w:tcPr>
          <w:p>
            <w:pPr>
              <w:pStyle w:val="Normal"/>
              <w:keepNext w:val="true"/>
              <w:ind w:hanging="0"/>
              <w:jc w:val="both"/>
              <w:rPr>
                <w:bCs/>
                <w:sz w:val="20"/>
                <w:szCs w:val="20"/>
              </w:rPr>
            </w:pPr>
            <w:r>
              <w:rPr>
                <w:bCs/>
                <w:sz w:val="20"/>
                <w:szCs w:val="20"/>
              </w:rPr>
              <w:t>63,7</w:t>
            </w:r>
          </w:p>
        </w:tc>
        <w:tc>
          <w:tcPr>
            <w:tcW w:w="2070" w:type="dxa"/>
            <w:tcBorders>
              <w:top w:val="single" w:sz="4" w:space="0" w:color="000000"/>
              <w:left w:val="single" w:sz="4" w:space="0" w:color="000000"/>
              <w:bottom w:val="single" w:sz="4" w:space="0" w:color="000000"/>
              <w:right w:val="single" w:sz="4" w:space="0" w:color="000000"/>
            </w:tcBorders>
          </w:tcPr>
          <w:p>
            <w:pPr>
              <w:pStyle w:val="Normal"/>
              <w:keepNext w:val="true"/>
              <w:ind w:hanging="0"/>
              <w:jc w:val="both"/>
              <w:rPr>
                <w:bCs/>
                <w:sz w:val="20"/>
                <w:szCs w:val="20"/>
              </w:rPr>
            </w:pPr>
            <w:r>
              <w:rPr>
                <w:bCs/>
                <w:sz w:val="20"/>
                <w:szCs w:val="20"/>
              </w:rPr>
              <w:t>-</w:t>
            </w:r>
          </w:p>
        </w:tc>
        <w:tc>
          <w:tcPr>
            <w:tcW w:w="2041" w:type="dxa"/>
            <w:tcBorders>
              <w:top w:val="single" w:sz="4" w:space="0" w:color="000000"/>
              <w:left w:val="single" w:sz="4" w:space="0" w:color="000000"/>
              <w:bottom w:val="single" w:sz="4" w:space="0" w:color="000000"/>
              <w:right w:val="single" w:sz="4" w:space="0" w:color="000000"/>
            </w:tcBorders>
            <w:vAlign w:val="center"/>
          </w:tcPr>
          <w:p>
            <w:pPr>
              <w:pStyle w:val="Normal"/>
              <w:keepNext w:val="true"/>
              <w:ind w:hanging="0"/>
              <w:jc w:val="both"/>
              <w:rPr>
                <w:bCs/>
                <w:sz w:val="20"/>
                <w:szCs w:val="20"/>
              </w:rPr>
            </w:pPr>
            <w:r>
              <w:rPr>
                <w:bCs/>
                <w:sz w:val="20"/>
                <w:szCs w:val="20"/>
              </w:rPr>
              <w:t>25,3</w:t>
            </w:r>
          </w:p>
        </w:tc>
      </w:tr>
    </w:tbl>
    <w:p>
      <w:pPr>
        <w:pStyle w:val="Style59"/>
        <w:tabs>
          <w:tab w:val="clear" w:pos="709"/>
          <w:tab w:val="left" w:pos="0" w:leader="none"/>
        </w:tabs>
        <w:spacing w:lineRule="auto" w:line="240"/>
        <w:ind w:firstLine="700"/>
        <w:jc w:val="both"/>
        <w:rPr>
          <w:color w:val="FF0066"/>
          <w:highlight w:val="yellow"/>
        </w:rPr>
      </w:pPr>
      <w:r>
        <w:rPr>
          <w:color w:val="FF0066"/>
          <w:highlight w:val="yellow"/>
        </w:rPr>
      </w:r>
    </w:p>
    <w:p>
      <w:pPr>
        <w:pStyle w:val="Style59"/>
        <w:tabs>
          <w:tab w:val="clear" w:pos="709"/>
          <w:tab w:val="left" w:pos="0" w:leader="none"/>
        </w:tabs>
        <w:spacing w:lineRule="auto" w:line="240"/>
        <w:ind w:firstLine="700"/>
        <w:jc w:val="both"/>
        <w:rPr/>
      </w:pPr>
      <w:bookmarkStart w:id="271" w:name="_Hlk150241958"/>
      <w:bookmarkEnd w:id="271"/>
      <w:r>
        <w:rPr>
          <w:color w:val="000000"/>
        </w:rPr>
        <w:t xml:space="preserve">Одним из показателей, характеризующих уровень и качество жизни, является показатель обеспеченности населения жильем (квадратных метров общей площади на одного жителя). По Вахитовскому сельскому поселению на 01.10.2023 г. приходится 63,7 кв.м общей площади жилья на одного жителя. </w:t>
      </w:r>
    </w:p>
    <w:p>
      <w:pPr>
        <w:pStyle w:val="Style59"/>
        <w:tabs>
          <w:tab w:val="clear" w:pos="709"/>
          <w:tab w:val="left" w:pos="0" w:leader="none"/>
        </w:tabs>
        <w:spacing w:lineRule="auto" w:line="240"/>
        <w:ind w:firstLine="700"/>
        <w:jc w:val="both"/>
        <w:rPr/>
      </w:pPr>
      <w:r>
        <w:rPr>
          <w:color w:val="000000"/>
        </w:rPr>
        <w:t>Следует отметить, что в д. Гребени постоянное население отсутствует, часть домов является заброшенными, часть используется под временное проживание.</w:t>
      </w:r>
    </w:p>
    <w:p>
      <w:pPr>
        <w:pStyle w:val="Style59"/>
        <w:spacing w:lineRule="auto" w:line="240"/>
        <w:ind w:firstLine="709"/>
        <w:jc w:val="both"/>
        <w:rPr/>
      </w:pPr>
      <w:r>
        <w:rPr>
          <w:color w:val="000000"/>
        </w:rPr>
        <w:t>За последние 5 лет в Вахитовском сельском поселении введены в эксплуатацию 5 индивидуальных жилых домов, средний размер одного дома равен 118,5 кв.м. Необходимо отметить, что строятся исключительно индивидуальные жилые дома.</w:t>
      </w:r>
    </w:p>
    <w:p>
      <w:pPr>
        <w:pStyle w:val="Style59"/>
        <w:spacing w:lineRule="auto" w:line="240"/>
        <w:ind w:firstLine="709"/>
        <w:jc w:val="both"/>
        <w:rPr>
          <w:color w:val="FF0066"/>
        </w:rPr>
      </w:pPr>
      <w:r>
        <w:rPr>
          <w:color w:val="FF0066"/>
        </w:rPr>
      </w:r>
    </w:p>
    <w:p>
      <w:pPr>
        <w:pStyle w:val="2"/>
        <w:numPr>
          <w:ilvl w:val="1"/>
          <w:numId w:val="7"/>
        </w:numPr>
        <w:jc w:val="both"/>
        <w:rPr/>
      </w:pPr>
      <w:hyperlink w:anchor="__RefHeading___Toc260476334">
        <w:bookmarkStart w:id="272" w:name="__RefHeading___Toc156489421"/>
        <w:bookmarkEnd w:id="272"/>
        <w:r>
          <w:rPr>
            <w:rStyle w:val="-"/>
            <w:bCs w:val="false"/>
            <w:szCs w:val="20"/>
          </w:rPr>
          <w:t>Объекты социального и культурно-бытового обслуживания</w:t>
        </w:r>
      </w:hyperlink>
      <w:r>
        <w:rPr>
          <w:bCs w:val="false"/>
          <w:szCs w:val="20"/>
        </w:rPr>
        <w:t xml:space="preserve"> населения</w:t>
      </w:r>
    </w:p>
    <w:p>
      <w:pPr>
        <w:pStyle w:val="Normal"/>
        <w:ind w:firstLine="700"/>
        <w:jc w:val="both"/>
        <w:rPr/>
      </w:pPr>
      <w:r>
        <w:rPr>
          <w:szCs w:val="28"/>
        </w:rPr>
        <w:t>Объекты социального и культурно-бытового обслуживания населения Вахитовского сельского поселения представлены в таблице 3.8.1.</w:t>
      </w:r>
    </w:p>
    <w:p>
      <w:pPr>
        <w:pStyle w:val="Normal"/>
        <w:ind w:firstLine="700"/>
        <w:jc w:val="both"/>
        <w:rPr/>
      </w:pPr>
      <w:r>
        <w:rPr>
          <w:szCs w:val="28"/>
        </w:rPr>
        <w:t>Потребность существующего населения Вахитовского сельского поселения в объектах обслуживания рассчитывалась в соответствии с существующей демографической структурой населения, а также в соответствии с нормативами, рекомендуемыми Сводом правил СП 42.13330.2016 «Градостроительство. Планировка и застройка городских и сельских поселений» Актуализированная редакция СНиП 2.07.01-</w:t>
      </w:r>
      <w:r>
        <w:rPr>
          <w:color w:val="000000"/>
          <w:szCs w:val="28"/>
        </w:rPr>
        <w:t>89* (в редакции Приказа Министерства строительства и жилищно-коммунального хозяйства Российской Федерации от 19.12.2019 №824/пр),</w:t>
      </w:r>
      <w:r>
        <w:rPr>
          <w:color w:val="FF0000"/>
          <w:szCs w:val="28"/>
        </w:rPr>
        <w:t xml:space="preserve"> </w:t>
      </w:r>
      <w:r>
        <w:rPr>
          <w:szCs w:val="28"/>
        </w:rPr>
        <w:t xml:space="preserve">Республиканскими нормативами градостроительного проектирования Республики Татарстан (в редакции Постановления Кабинета Министров Республики Татарстан от </w:t>
      </w:r>
      <w:r>
        <w:rPr>
          <w:color w:val="000000"/>
          <w:szCs w:val="28"/>
        </w:rPr>
        <w:t>04.09.2023 №1063</w:t>
      </w:r>
      <w:r>
        <w:rPr>
          <w:color w:val="000000"/>
          <w:szCs w:val="28"/>
          <w:lang w:val="ru-RU"/>
        </w:rPr>
        <w:t>)</w:t>
      </w:r>
      <w:r>
        <w:rPr>
          <w:color w:val="000000"/>
          <w:szCs w:val="28"/>
        </w:rPr>
        <w:t>, Местными нормативами градостроительного проектирования Вахитовского сельского поселения Верхнеуслонского муниципального района (утв. Решением Совета Вахитовского сельского поселения Верхнеуслонского муниципального района от 23.11.2017 №37-167)</w:t>
      </w:r>
      <w:r>
        <w:rPr>
          <w:szCs w:val="28"/>
        </w:rPr>
        <w:t xml:space="preserve"> и другими отраслевыми нормами.</w:t>
      </w:r>
    </w:p>
    <w:p>
      <w:pPr>
        <w:pStyle w:val="210"/>
        <w:spacing w:lineRule="auto" w:line="240"/>
        <w:ind w:firstLine="720"/>
        <w:jc w:val="both"/>
        <w:rPr/>
      </w:pPr>
      <w:r>
        <w:rPr/>
        <w:t xml:space="preserve">Расчет необходимых мощностей объектов обслуживания согласно действующим нормативам представлен в таблице </w:t>
      </w:r>
      <w:r>
        <w:rPr>
          <w:szCs w:val="28"/>
        </w:rPr>
        <w:t>3.8.</w:t>
      </w:r>
      <w:r>
        <w:rPr>
          <w:szCs w:val="28"/>
          <w:lang w:val="ru-RU"/>
        </w:rPr>
        <w:t>2</w:t>
      </w:r>
      <w:r>
        <w:rPr>
          <w:szCs w:val="28"/>
        </w:rPr>
        <w:t>.</w:t>
      </w:r>
    </w:p>
    <w:p>
      <w:pPr>
        <w:sectPr>
          <w:footerReference w:type="default" r:id="rId106"/>
          <w:footerReference w:type="first" r:id="rId107"/>
          <w:footnotePr>
            <w:numFmt w:val="decimal"/>
          </w:footnotePr>
          <w:type w:val="nextPage"/>
          <w:pgSz w:w="11906" w:h="16838"/>
          <w:pgMar w:left="1134" w:right="851" w:gutter="0" w:header="0" w:top="851" w:footer="708" w:bottom="851"/>
          <w:pgNumType w:fmt="decimal"/>
          <w:formProt w:val="false"/>
          <w:titlePg/>
          <w:textDirection w:val="lrTb"/>
          <w:docGrid w:type="default" w:linePitch="381" w:charSpace="0"/>
        </w:sectPr>
        <w:pStyle w:val="210"/>
        <w:spacing w:lineRule="auto" w:line="240"/>
        <w:ind w:firstLine="720"/>
        <w:jc w:val="both"/>
        <w:rPr>
          <w:color w:val="FF0066"/>
          <w:szCs w:val="28"/>
        </w:rPr>
      </w:pPr>
      <w:r>
        <w:rPr>
          <w:color w:val="FF0066"/>
          <w:szCs w:val="28"/>
        </w:rPr>
      </w:r>
    </w:p>
    <w:p>
      <w:pPr>
        <w:pStyle w:val="Style78"/>
        <w:rPr/>
      </w:pPr>
      <w:r>
        <w:rPr/>
        <w:t>Таблица 3.8.1</w:t>
      </w:r>
    </w:p>
    <w:p>
      <w:pPr>
        <w:pStyle w:val="Normal"/>
        <w:spacing w:lineRule="auto" w:line="276"/>
        <w:ind w:hanging="0"/>
        <w:jc w:val="center"/>
        <w:rPr/>
      </w:pPr>
      <w:r>
        <w:rPr/>
        <w:t>Объекты социального и культурно-бытового обслуживания населения Вахитовского сельского поселения</w:t>
      </w:r>
    </w:p>
    <w:tbl>
      <w:tblPr>
        <w:tblW w:w="5000" w:type="pct"/>
        <w:jc w:val="left"/>
        <w:tblInd w:w="-113" w:type="dxa"/>
        <w:tblLayout w:type="fixed"/>
        <w:tblCellMar>
          <w:top w:w="0" w:type="dxa"/>
          <w:left w:w="108" w:type="dxa"/>
          <w:bottom w:w="0" w:type="dxa"/>
          <w:right w:w="108" w:type="dxa"/>
        </w:tblCellMar>
      </w:tblPr>
      <w:tblGrid>
        <w:gridCol w:w="526"/>
        <w:gridCol w:w="3074"/>
        <w:gridCol w:w="3909"/>
        <w:gridCol w:w="1378"/>
        <w:gridCol w:w="1284"/>
        <w:gridCol w:w="1116"/>
        <w:gridCol w:w="3566"/>
      </w:tblGrid>
      <w:tr>
        <w:trPr/>
        <w:tc>
          <w:tcPr>
            <w:tcW w:w="52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 xml:space="preserve">№ </w:t>
            </w:r>
            <w:r>
              <w:rPr>
                <w:bCs/>
                <w:iCs/>
                <w:color w:val="000000"/>
                <w:sz w:val="20"/>
                <w:szCs w:val="20"/>
              </w:rPr>
              <w:t>п/п</w:t>
            </w:r>
          </w:p>
        </w:tc>
        <w:tc>
          <w:tcPr>
            <w:tcW w:w="307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Наименование объекта</w:t>
            </w:r>
          </w:p>
        </w:tc>
        <w:tc>
          <w:tcPr>
            <w:tcW w:w="390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Местоположение</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Единица измерения</w:t>
            </w:r>
          </w:p>
        </w:tc>
        <w:tc>
          <w:tcPr>
            <w:tcW w:w="128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Проектная мощность</w:t>
            </w:r>
          </w:p>
        </w:tc>
        <w:tc>
          <w:tcPr>
            <w:tcW w:w="111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Износ</w:t>
            </w:r>
          </w:p>
        </w:tc>
        <w:tc>
          <w:tcPr>
            <w:tcW w:w="3566" w:type="dxa"/>
            <w:tcBorders>
              <w:top w:val="single" w:sz="4" w:space="0" w:color="000000"/>
              <w:left w:val="single" w:sz="4" w:space="0" w:color="000000"/>
              <w:bottom w:val="single" w:sz="4" w:space="0" w:color="000000"/>
              <w:right w:val="single" w:sz="4" w:space="0" w:color="000000"/>
            </w:tcBorders>
          </w:tcPr>
          <w:p>
            <w:pPr>
              <w:pStyle w:val="Normal"/>
              <w:ind w:hanging="0"/>
              <w:jc w:val="center"/>
              <w:rPr>
                <w:bCs/>
                <w:iCs/>
                <w:color w:val="000000"/>
                <w:sz w:val="20"/>
                <w:szCs w:val="20"/>
              </w:rPr>
            </w:pPr>
            <w:r>
              <w:rPr>
                <w:bCs/>
                <w:iCs/>
                <w:color w:val="000000"/>
                <w:sz w:val="20"/>
                <w:szCs w:val="20"/>
              </w:rPr>
              <w:t xml:space="preserve">Предложения по дальнейшему использованию и развитию </w:t>
            </w:r>
          </w:p>
        </w:tc>
      </w:tr>
      <w:tr>
        <w:trPr/>
        <w:tc>
          <w:tcPr>
            <w:tcW w:w="14853" w:type="dxa"/>
            <w:gridSpan w:val="7"/>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
                <w:bCs/>
                <w:iCs/>
                <w:color w:val="000000"/>
                <w:sz w:val="20"/>
                <w:szCs w:val="20"/>
              </w:rPr>
            </w:pPr>
            <w:r>
              <w:rPr>
                <w:b/>
                <w:bCs/>
                <w:iCs/>
                <w:color w:val="000000"/>
                <w:sz w:val="20"/>
                <w:szCs w:val="20"/>
              </w:rPr>
              <w:t>Дошкольные образовательные организации</w:t>
            </w:r>
          </w:p>
        </w:tc>
      </w:tr>
      <w:tr>
        <w:trPr/>
        <w:tc>
          <w:tcPr>
            <w:tcW w:w="52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1</w:t>
            </w:r>
          </w:p>
        </w:tc>
        <w:tc>
          <w:tcPr>
            <w:tcW w:w="307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bCs/>
                <w:iCs/>
                <w:color w:val="000000"/>
                <w:sz w:val="20"/>
                <w:szCs w:val="20"/>
              </w:rPr>
              <w:t>Детский сад (недействующий)</w:t>
            </w:r>
          </w:p>
        </w:tc>
        <w:tc>
          <w:tcPr>
            <w:tcW w:w="390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д. им. Мулланура Вахитова, ул. Молодежная, д. 2</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мест</w:t>
            </w:r>
          </w:p>
        </w:tc>
        <w:tc>
          <w:tcPr>
            <w:tcW w:w="128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0</w:t>
            </w:r>
          </w:p>
        </w:tc>
        <w:tc>
          <w:tcPr>
            <w:tcW w:w="111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w:t>
            </w:r>
          </w:p>
        </w:tc>
        <w:tc>
          <w:tcPr>
            <w:tcW w:w="35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w:t>
            </w:r>
          </w:p>
        </w:tc>
      </w:tr>
      <w:tr>
        <w:trPr/>
        <w:tc>
          <w:tcPr>
            <w:tcW w:w="14853" w:type="dxa"/>
            <w:gridSpan w:val="7"/>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
                <w:bCs/>
                <w:iCs/>
                <w:color w:val="000000"/>
                <w:sz w:val="20"/>
                <w:szCs w:val="20"/>
              </w:rPr>
            </w:pPr>
            <w:r>
              <w:rPr>
                <w:b/>
                <w:bCs/>
                <w:iCs/>
                <w:color w:val="000000"/>
                <w:sz w:val="20"/>
                <w:szCs w:val="20"/>
              </w:rPr>
              <w:t>Общеобразовательные организации</w:t>
            </w:r>
          </w:p>
        </w:tc>
      </w:tr>
      <w:tr>
        <w:trPr/>
        <w:tc>
          <w:tcPr>
            <w:tcW w:w="52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1</w:t>
            </w:r>
          </w:p>
        </w:tc>
        <w:tc>
          <w:tcPr>
            <w:tcW w:w="307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 xml:space="preserve">Средняя общеобразовательная школа </w:t>
            </w:r>
          </w:p>
        </w:tc>
        <w:tc>
          <w:tcPr>
            <w:tcW w:w="390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п. Бакча-Сарай, ул. Молодежная, д. 1</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мест</w:t>
            </w:r>
          </w:p>
        </w:tc>
        <w:tc>
          <w:tcPr>
            <w:tcW w:w="128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162</w:t>
            </w:r>
          </w:p>
        </w:tc>
        <w:tc>
          <w:tcPr>
            <w:tcW w:w="111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w:t>
            </w:r>
          </w:p>
        </w:tc>
        <w:tc>
          <w:tcPr>
            <w:tcW w:w="35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w:t>
            </w:r>
          </w:p>
        </w:tc>
      </w:tr>
      <w:tr>
        <w:trPr/>
        <w:tc>
          <w:tcPr>
            <w:tcW w:w="52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2</w:t>
            </w:r>
          </w:p>
        </w:tc>
        <w:tc>
          <w:tcPr>
            <w:tcW w:w="307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bCs/>
                <w:iCs/>
                <w:color w:val="000000"/>
                <w:sz w:val="20"/>
                <w:szCs w:val="20"/>
              </w:rPr>
              <w:t>Основная общеобразовательная школа (недействующая)</w:t>
            </w:r>
          </w:p>
        </w:tc>
        <w:tc>
          <w:tcPr>
            <w:tcW w:w="390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д. им. Мулланура Вахитова, ул. Молодежная, д. 2</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мест</w:t>
            </w:r>
          </w:p>
        </w:tc>
        <w:tc>
          <w:tcPr>
            <w:tcW w:w="128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0</w:t>
            </w:r>
          </w:p>
        </w:tc>
        <w:tc>
          <w:tcPr>
            <w:tcW w:w="111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w:t>
            </w:r>
          </w:p>
        </w:tc>
        <w:tc>
          <w:tcPr>
            <w:tcW w:w="35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w:t>
            </w:r>
          </w:p>
        </w:tc>
      </w:tr>
      <w:tr>
        <w:trPr/>
        <w:tc>
          <w:tcPr>
            <w:tcW w:w="14853" w:type="dxa"/>
            <w:gridSpan w:val="7"/>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
                <w:bCs/>
                <w:iCs/>
                <w:color w:val="000000"/>
                <w:sz w:val="20"/>
                <w:szCs w:val="20"/>
              </w:rPr>
            </w:pPr>
            <w:r>
              <w:rPr>
                <w:b/>
                <w:bCs/>
                <w:iCs/>
                <w:color w:val="000000"/>
                <w:sz w:val="20"/>
                <w:szCs w:val="20"/>
              </w:rPr>
              <w:t>Объекты здравоохранения</w:t>
            </w:r>
          </w:p>
        </w:tc>
      </w:tr>
      <w:tr>
        <w:trPr/>
        <w:tc>
          <w:tcPr>
            <w:tcW w:w="52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1</w:t>
            </w:r>
          </w:p>
        </w:tc>
        <w:tc>
          <w:tcPr>
            <w:tcW w:w="307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Фельдшерско-акушерский пункт</w:t>
            </w:r>
          </w:p>
        </w:tc>
        <w:tc>
          <w:tcPr>
            <w:tcW w:w="390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д. им. Мулланура Вахитова, ул. Центральная, д. 28</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посещений в смену</w:t>
            </w:r>
          </w:p>
        </w:tc>
        <w:tc>
          <w:tcPr>
            <w:tcW w:w="128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10</w:t>
            </w:r>
          </w:p>
        </w:tc>
        <w:tc>
          <w:tcPr>
            <w:tcW w:w="111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w:t>
            </w:r>
          </w:p>
        </w:tc>
        <w:tc>
          <w:tcPr>
            <w:tcW w:w="35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w:t>
            </w:r>
          </w:p>
        </w:tc>
      </w:tr>
      <w:tr>
        <w:trPr/>
        <w:tc>
          <w:tcPr>
            <w:tcW w:w="52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2</w:t>
            </w:r>
          </w:p>
        </w:tc>
        <w:tc>
          <w:tcPr>
            <w:tcW w:w="307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bCs/>
                <w:iCs/>
                <w:color w:val="000000"/>
                <w:sz w:val="20"/>
                <w:szCs w:val="20"/>
              </w:rPr>
              <w:t>Фельдшерско-акушерский пункт (недействующий)</w:t>
            </w:r>
          </w:p>
        </w:tc>
        <w:tc>
          <w:tcPr>
            <w:tcW w:w="390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с. Ташевка, ул. Зеленая, д. 29</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посещений в смену</w:t>
            </w:r>
          </w:p>
        </w:tc>
        <w:tc>
          <w:tcPr>
            <w:tcW w:w="128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w:t>
            </w:r>
          </w:p>
        </w:tc>
        <w:tc>
          <w:tcPr>
            <w:tcW w:w="111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w:t>
            </w:r>
          </w:p>
        </w:tc>
        <w:tc>
          <w:tcPr>
            <w:tcW w:w="35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w:t>
            </w:r>
          </w:p>
        </w:tc>
      </w:tr>
      <w:tr>
        <w:trPr/>
        <w:tc>
          <w:tcPr>
            <w:tcW w:w="14853" w:type="dxa"/>
            <w:gridSpan w:val="7"/>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
                <w:bCs/>
                <w:iCs/>
                <w:color w:val="000000"/>
                <w:sz w:val="20"/>
                <w:szCs w:val="20"/>
              </w:rPr>
            </w:pPr>
            <w:r>
              <w:rPr>
                <w:b/>
                <w:bCs/>
                <w:iCs/>
                <w:color w:val="000000"/>
                <w:sz w:val="20"/>
                <w:szCs w:val="20"/>
              </w:rPr>
              <w:t>Культурно - досуговые учреждения</w:t>
            </w:r>
          </w:p>
        </w:tc>
      </w:tr>
      <w:tr>
        <w:trPr/>
        <w:tc>
          <w:tcPr>
            <w:tcW w:w="52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1</w:t>
            </w:r>
          </w:p>
        </w:tc>
        <w:tc>
          <w:tcPr>
            <w:tcW w:w="307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объект культурно-просветительного назначения</w:t>
            </w:r>
          </w:p>
        </w:tc>
        <w:tc>
          <w:tcPr>
            <w:tcW w:w="390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д. им. Мулланура Вахитова, ул. Молодежная, д. 2</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тыс.экз.</w:t>
            </w:r>
          </w:p>
        </w:tc>
        <w:tc>
          <w:tcPr>
            <w:tcW w:w="128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5,3</w:t>
            </w:r>
          </w:p>
        </w:tc>
        <w:tc>
          <w:tcPr>
            <w:tcW w:w="111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w:t>
            </w:r>
          </w:p>
        </w:tc>
        <w:tc>
          <w:tcPr>
            <w:tcW w:w="35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w:t>
            </w:r>
          </w:p>
        </w:tc>
      </w:tr>
      <w:tr>
        <w:trPr/>
        <w:tc>
          <w:tcPr>
            <w:tcW w:w="52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2</w:t>
            </w:r>
          </w:p>
        </w:tc>
        <w:tc>
          <w:tcPr>
            <w:tcW w:w="307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объект культурно-просветительного назначения</w:t>
            </w:r>
          </w:p>
        </w:tc>
        <w:tc>
          <w:tcPr>
            <w:tcW w:w="390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п. Бакча-Сарай, ул. Молодежная, д. 2 б</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тыс.экз.</w:t>
            </w:r>
          </w:p>
        </w:tc>
        <w:tc>
          <w:tcPr>
            <w:tcW w:w="128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5</w:t>
            </w:r>
          </w:p>
        </w:tc>
        <w:tc>
          <w:tcPr>
            <w:tcW w:w="111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w:t>
            </w:r>
          </w:p>
        </w:tc>
        <w:tc>
          <w:tcPr>
            <w:tcW w:w="35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w:t>
            </w:r>
          </w:p>
        </w:tc>
      </w:tr>
      <w:tr>
        <w:trPr/>
        <w:tc>
          <w:tcPr>
            <w:tcW w:w="52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3</w:t>
            </w:r>
          </w:p>
        </w:tc>
        <w:tc>
          <w:tcPr>
            <w:tcW w:w="307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объект культурно-досугового (клубного) типа</w:t>
            </w:r>
          </w:p>
        </w:tc>
        <w:tc>
          <w:tcPr>
            <w:tcW w:w="390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д. им. Мулланура Вахитова, ул. Центральная, д. 24</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мест</w:t>
            </w:r>
          </w:p>
        </w:tc>
        <w:tc>
          <w:tcPr>
            <w:tcW w:w="128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100</w:t>
            </w:r>
          </w:p>
        </w:tc>
        <w:tc>
          <w:tcPr>
            <w:tcW w:w="111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w:t>
            </w:r>
          </w:p>
        </w:tc>
        <w:tc>
          <w:tcPr>
            <w:tcW w:w="35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w:t>
            </w:r>
          </w:p>
        </w:tc>
      </w:tr>
      <w:tr>
        <w:trPr/>
        <w:tc>
          <w:tcPr>
            <w:tcW w:w="52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center"/>
              <w:rPr>
                <w:bCs/>
                <w:iCs/>
                <w:color w:val="000000"/>
                <w:sz w:val="20"/>
                <w:szCs w:val="20"/>
              </w:rPr>
            </w:pPr>
            <w:r>
              <w:rPr>
                <w:bCs/>
                <w:iCs/>
                <w:color w:val="000000"/>
                <w:sz w:val="20"/>
                <w:szCs w:val="20"/>
              </w:rPr>
            </w:r>
          </w:p>
        </w:tc>
        <w:tc>
          <w:tcPr>
            <w:tcW w:w="307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объект культурно-досугового (клубного) типа</w:t>
            </w:r>
          </w:p>
        </w:tc>
        <w:tc>
          <w:tcPr>
            <w:tcW w:w="390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п. Бакча-Сарай, ул. Молодежная, д. 2б</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мест</w:t>
            </w:r>
          </w:p>
        </w:tc>
        <w:tc>
          <w:tcPr>
            <w:tcW w:w="128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50</w:t>
            </w:r>
          </w:p>
        </w:tc>
        <w:tc>
          <w:tcPr>
            <w:tcW w:w="111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w:t>
            </w:r>
          </w:p>
        </w:tc>
        <w:tc>
          <w:tcPr>
            <w:tcW w:w="35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w:t>
            </w:r>
          </w:p>
        </w:tc>
      </w:tr>
      <w:tr>
        <w:trPr/>
        <w:tc>
          <w:tcPr>
            <w:tcW w:w="14853" w:type="dxa"/>
            <w:gridSpan w:val="7"/>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
                <w:bCs/>
                <w:iCs/>
                <w:color w:val="000000"/>
                <w:sz w:val="20"/>
                <w:szCs w:val="20"/>
              </w:rPr>
            </w:pPr>
            <w:r>
              <w:rPr>
                <w:b/>
                <w:bCs/>
                <w:iCs/>
                <w:color w:val="000000"/>
                <w:sz w:val="20"/>
                <w:szCs w:val="20"/>
              </w:rPr>
              <w:t>Предприятия торговли и общественного питания</w:t>
            </w:r>
          </w:p>
        </w:tc>
      </w:tr>
      <w:tr>
        <w:trPr/>
        <w:tc>
          <w:tcPr>
            <w:tcW w:w="52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1</w:t>
            </w:r>
          </w:p>
        </w:tc>
        <w:tc>
          <w:tcPr>
            <w:tcW w:w="307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Магазины</w:t>
            </w:r>
          </w:p>
        </w:tc>
        <w:tc>
          <w:tcPr>
            <w:tcW w:w="390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Территория сельского поселения</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кв. м</w:t>
            </w:r>
          </w:p>
        </w:tc>
        <w:tc>
          <w:tcPr>
            <w:tcW w:w="128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631</w:t>
            </w:r>
          </w:p>
        </w:tc>
        <w:tc>
          <w:tcPr>
            <w:tcW w:w="111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w:t>
            </w:r>
          </w:p>
        </w:tc>
        <w:tc>
          <w:tcPr>
            <w:tcW w:w="35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w:t>
            </w:r>
          </w:p>
        </w:tc>
      </w:tr>
      <w:tr>
        <w:trPr/>
        <w:tc>
          <w:tcPr>
            <w:tcW w:w="14853" w:type="dxa"/>
            <w:gridSpan w:val="7"/>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
                <w:bCs/>
                <w:iCs/>
                <w:color w:val="000000"/>
                <w:sz w:val="20"/>
                <w:szCs w:val="20"/>
              </w:rPr>
            </w:pPr>
            <w:r>
              <w:rPr>
                <w:b/>
                <w:bCs/>
                <w:iCs/>
                <w:color w:val="000000"/>
                <w:sz w:val="20"/>
                <w:szCs w:val="20"/>
              </w:rPr>
              <w:t>Кредитно-финансовые учреждения и предприятия связи</w:t>
            </w:r>
          </w:p>
        </w:tc>
      </w:tr>
      <w:tr>
        <w:trPr/>
        <w:tc>
          <w:tcPr>
            <w:tcW w:w="52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1</w:t>
            </w:r>
          </w:p>
        </w:tc>
        <w:tc>
          <w:tcPr>
            <w:tcW w:w="3074" w:type="dxa"/>
            <w:tcBorders>
              <w:top w:val="single" w:sz="4" w:space="0" w:color="000000"/>
              <w:left w:val="single" w:sz="4" w:space="0" w:color="000000"/>
              <w:bottom w:val="single" w:sz="4" w:space="0" w:color="000000"/>
              <w:right w:val="single" w:sz="4" w:space="0" w:color="000000"/>
            </w:tcBorders>
            <w:vAlign w:val="center"/>
          </w:tcPr>
          <w:p>
            <w:pPr>
              <w:pStyle w:val="Normal"/>
              <w:ind w:left="-71" w:right="-51" w:hanging="0"/>
              <w:jc w:val="center"/>
              <w:rPr>
                <w:color w:val="000000"/>
                <w:sz w:val="20"/>
                <w:szCs w:val="20"/>
              </w:rPr>
            </w:pPr>
            <w:r>
              <w:rPr>
                <w:color w:val="000000"/>
                <w:sz w:val="20"/>
                <w:szCs w:val="20"/>
              </w:rPr>
              <w:t>Отделение почтовой связи</w:t>
            </w:r>
          </w:p>
        </w:tc>
        <w:tc>
          <w:tcPr>
            <w:tcW w:w="390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п Бакча-Сарай, ул. Центральная, д. 1</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объект</w:t>
            </w:r>
          </w:p>
        </w:tc>
        <w:tc>
          <w:tcPr>
            <w:tcW w:w="128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1</w:t>
            </w:r>
          </w:p>
        </w:tc>
        <w:tc>
          <w:tcPr>
            <w:tcW w:w="111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w:t>
            </w:r>
          </w:p>
        </w:tc>
        <w:tc>
          <w:tcPr>
            <w:tcW w:w="35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w:t>
            </w:r>
          </w:p>
        </w:tc>
      </w:tr>
      <w:tr>
        <w:trPr/>
        <w:tc>
          <w:tcPr>
            <w:tcW w:w="14853" w:type="dxa"/>
            <w:gridSpan w:val="7"/>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
                <w:bCs/>
                <w:iCs/>
                <w:color w:val="000000"/>
                <w:sz w:val="20"/>
                <w:szCs w:val="20"/>
              </w:rPr>
            </w:pPr>
            <w:r>
              <w:rPr>
                <w:b/>
                <w:bCs/>
                <w:iCs/>
                <w:color w:val="000000"/>
                <w:sz w:val="20"/>
                <w:szCs w:val="20"/>
              </w:rPr>
              <w:t>Объекты культового назначения</w:t>
            </w:r>
          </w:p>
        </w:tc>
      </w:tr>
      <w:tr>
        <w:trPr/>
        <w:tc>
          <w:tcPr>
            <w:tcW w:w="52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1</w:t>
            </w:r>
          </w:p>
        </w:tc>
        <w:tc>
          <w:tcPr>
            <w:tcW w:w="307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Мечеть</w:t>
            </w:r>
          </w:p>
        </w:tc>
        <w:tc>
          <w:tcPr>
            <w:tcW w:w="390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д. им. Мулланура Вахитова, улица Центральная, д.30</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объект</w:t>
            </w:r>
          </w:p>
        </w:tc>
        <w:tc>
          <w:tcPr>
            <w:tcW w:w="128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1</w:t>
            </w:r>
          </w:p>
        </w:tc>
        <w:tc>
          <w:tcPr>
            <w:tcW w:w="111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w:t>
            </w:r>
          </w:p>
        </w:tc>
        <w:tc>
          <w:tcPr>
            <w:tcW w:w="35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w:t>
            </w:r>
          </w:p>
        </w:tc>
      </w:tr>
      <w:tr>
        <w:trPr/>
        <w:tc>
          <w:tcPr>
            <w:tcW w:w="52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2</w:t>
            </w:r>
          </w:p>
        </w:tc>
        <w:tc>
          <w:tcPr>
            <w:tcW w:w="307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Мечеть</w:t>
            </w:r>
          </w:p>
        </w:tc>
        <w:tc>
          <w:tcPr>
            <w:tcW w:w="390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п Бакча-Сарай, ул. Приволжская, д.54а</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объект</w:t>
            </w:r>
          </w:p>
        </w:tc>
        <w:tc>
          <w:tcPr>
            <w:tcW w:w="128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1</w:t>
            </w:r>
          </w:p>
        </w:tc>
        <w:tc>
          <w:tcPr>
            <w:tcW w:w="111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w:t>
            </w:r>
          </w:p>
        </w:tc>
        <w:tc>
          <w:tcPr>
            <w:tcW w:w="35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w:t>
            </w:r>
          </w:p>
        </w:tc>
      </w:tr>
      <w:tr>
        <w:trPr/>
        <w:tc>
          <w:tcPr>
            <w:tcW w:w="52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3</w:t>
            </w:r>
          </w:p>
        </w:tc>
        <w:tc>
          <w:tcPr>
            <w:tcW w:w="307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Церковь</w:t>
            </w:r>
          </w:p>
        </w:tc>
        <w:tc>
          <w:tcPr>
            <w:tcW w:w="390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с Ташевка, ул. Тракторная, д.1</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объект</w:t>
            </w:r>
          </w:p>
        </w:tc>
        <w:tc>
          <w:tcPr>
            <w:tcW w:w="128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1</w:t>
            </w:r>
          </w:p>
        </w:tc>
        <w:tc>
          <w:tcPr>
            <w:tcW w:w="111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w:t>
            </w:r>
          </w:p>
        </w:tc>
        <w:tc>
          <w:tcPr>
            <w:tcW w:w="35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w:t>
            </w:r>
          </w:p>
        </w:tc>
      </w:tr>
      <w:tr>
        <w:trPr/>
        <w:tc>
          <w:tcPr>
            <w:tcW w:w="14853" w:type="dxa"/>
            <w:gridSpan w:val="7"/>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
                <w:bCs/>
                <w:iCs/>
                <w:color w:val="000000"/>
                <w:sz w:val="20"/>
                <w:szCs w:val="20"/>
              </w:rPr>
            </w:pPr>
            <w:r>
              <w:rPr>
                <w:b/>
                <w:bCs/>
                <w:iCs/>
                <w:color w:val="000000"/>
                <w:sz w:val="20"/>
                <w:szCs w:val="20"/>
              </w:rPr>
              <w:t>Объекты административно-делового назначения</w:t>
            </w:r>
          </w:p>
        </w:tc>
      </w:tr>
      <w:tr>
        <w:trPr/>
        <w:tc>
          <w:tcPr>
            <w:tcW w:w="52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1</w:t>
            </w:r>
          </w:p>
        </w:tc>
        <w:tc>
          <w:tcPr>
            <w:tcW w:w="307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Совет сельского поселения</w:t>
            </w:r>
          </w:p>
        </w:tc>
        <w:tc>
          <w:tcPr>
            <w:tcW w:w="390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 xml:space="preserve">д. им. Мулланура </w:t>
            </w:r>
          </w:p>
          <w:p>
            <w:pPr>
              <w:pStyle w:val="Normal"/>
              <w:ind w:hanging="0"/>
              <w:jc w:val="center"/>
              <w:rPr>
                <w:bCs/>
                <w:iCs/>
                <w:color w:val="000000"/>
                <w:sz w:val="20"/>
                <w:szCs w:val="20"/>
              </w:rPr>
            </w:pPr>
            <w:r>
              <w:rPr>
                <w:bCs/>
                <w:iCs/>
                <w:color w:val="000000"/>
                <w:sz w:val="20"/>
                <w:szCs w:val="20"/>
              </w:rPr>
              <w:t xml:space="preserve">Вахитова, </w:t>
            </w:r>
          </w:p>
          <w:p>
            <w:pPr>
              <w:pStyle w:val="Normal"/>
              <w:ind w:hanging="0"/>
              <w:jc w:val="center"/>
              <w:rPr>
                <w:bCs/>
                <w:iCs/>
                <w:color w:val="000000"/>
                <w:sz w:val="20"/>
                <w:szCs w:val="20"/>
              </w:rPr>
            </w:pPr>
            <w:r>
              <w:rPr>
                <w:bCs/>
                <w:iCs/>
                <w:color w:val="000000"/>
                <w:sz w:val="20"/>
                <w:szCs w:val="20"/>
              </w:rPr>
              <w:t>ул. Центральная, д. 28</w:t>
            </w:r>
          </w:p>
        </w:tc>
        <w:tc>
          <w:tcPr>
            <w:tcW w:w="137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объект</w:t>
            </w:r>
          </w:p>
        </w:tc>
        <w:tc>
          <w:tcPr>
            <w:tcW w:w="128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1</w:t>
            </w:r>
          </w:p>
        </w:tc>
        <w:tc>
          <w:tcPr>
            <w:tcW w:w="111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w:t>
            </w:r>
          </w:p>
        </w:tc>
        <w:tc>
          <w:tcPr>
            <w:tcW w:w="35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iCs/>
                <w:color w:val="000000"/>
                <w:sz w:val="20"/>
                <w:szCs w:val="20"/>
              </w:rPr>
            </w:pPr>
            <w:r>
              <w:rPr>
                <w:bCs/>
                <w:iCs/>
                <w:color w:val="000000"/>
                <w:sz w:val="20"/>
                <w:szCs w:val="20"/>
              </w:rPr>
              <w:t>-</w:t>
            </w:r>
          </w:p>
        </w:tc>
      </w:tr>
    </w:tbl>
    <w:p>
      <w:pPr>
        <w:pStyle w:val="Style56"/>
        <w:rPr>
          <w:i w:val="false"/>
          <w:i w:val="false"/>
          <w:color w:val="FF0066"/>
          <w:szCs w:val="28"/>
        </w:rPr>
      </w:pPr>
      <w:r>
        <w:rPr>
          <w:i w:val="false"/>
          <w:color w:val="FF0066"/>
          <w:szCs w:val="28"/>
        </w:rPr>
      </w:r>
    </w:p>
    <w:p>
      <w:pPr>
        <w:pStyle w:val="Style56"/>
        <w:jc w:val="right"/>
        <w:rPr>
          <w:i w:val="false"/>
          <w:i w:val="false"/>
          <w:szCs w:val="28"/>
        </w:rPr>
      </w:pPr>
      <w:r>
        <w:rPr>
          <w:i w:val="false"/>
          <w:szCs w:val="28"/>
        </w:rPr>
        <w:t>Таблица 3.8.2</w:t>
      </w:r>
    </w:p>
    <w:p>
      <w:pPr>
        <w:pStyle w:val="Style56"/>
        <w:rPr/>
      </w:pPr>
      <w:r>
        <w:rPr>
          <w:i w:val="false"/>
          <w:szCs w:val="28"/>
        </w:rPr>
        <w:t xml:space="preserve">Обеспеченность населения Вахитовского сельского поселения Верхнеуслонского </w:t>
      </w:r>
      <w:r>
        <w:rPr>
          <w:i w:val="false"/>
        </w:rPr>
        <w:t xml:space="preserve">муниципального района </w:t>
      </w:r>
    </w:p>
    <w:p>
      <w:pPr>
        <w:pStyle w:val="Style56"/>
        <w:rPr>
          <w:i w:val="false"/>
          <w:i w:val="false"/>
        </w:rPr>
      </w:pPr>
      <w:r>
        <w:rPr>
          <w:i w:val="false"/>
        </w:rPr>
        <w:t>Республики Татарстан</w:t>
      </w:r>
      <w:r>
        <w:rPr>
          <w:i w:val="false"/>
          <w:szCs w:val="28"/>
        </w:rPr>
        <w:t xml:space="preserve"> объектами социального и культурно-бытового обслуживания</w:t>
      </w:r>
    </w:p>
    <w:tbl>
      <w:tblPr>
        <w:tblW w:w="13890" w:type="dxa"/>
        <w:jc w:val="center"/>
        <w:tblInd w:w="0" w:type="dxa"/>
        <w:tblLayout w:type="fixed"/>
        <w:tblCellMar>
          <w:top w:w="0" w:type="dxa"/>
          <w:left w:w="108" w:type="dxa"/>
          <w:bottom w:w="0" w:type="dxa"/>
          <w:right w:w="108" w:type="dxa"/>
        </w:tblCellMar>
      </w:tblPr>
      <w:tblGrid>
        <w:gridCol w:w="622"/>
        <w:gridCol w:w="3183"/>
        <w:gridCol w:w="1576"/>
        <w:gridCol w:w="3060"/>
        <w:gridCol w:w="1720"/>
        <w:gridCol w:w="1784"/>
        <w:gridCol w:w="1945"/>
      </w:tblGrid>
      <w:tr>
        <w:trPr>
          <w:trHeight w:val="854" w:hRule="atLeast"/>
        </w:trPr>
        <w:tc>
          <w:tcPr>
            <w:tcW w:w="62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bookmarkStart w:id="273" w:name="_Hlk150345142"/>
            <w:bookmarkEnd w:id="273"/>
            <w:r>
              <w:rPr>
                <w:color w:val="000000"/>
                <w:sz w:val="20"/>
                <w:szCs w:val="20"/>
              </w:rPr>
              <w:t xml:space="preserve">№ </w:t>
            </w:r>
            <w:r>
              <w:rPr>
                <w:color w:val="000000"/>
                <w:sz w:val="20"/>
                <w:szCs w:val="20"/>
              </w:rPr>
              <w:t>п/п</w:t>
            </w:r>
          </w:p>
        </w:tc>
        <w:tc>
          <w:tcPr>
            <w:tcW w:w="31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Наименование</w:t>
            </w:r>
          </w:p>
        </w:tc>
        <w:tc>
          <w:tcPr>
            <w:tcW w:w="15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Единица измерения</w:t>
            </w:r>
          </w:p>
        </w:tc>
        <w:tc>
          <w:tcPr>
            <w:tcW w:w="306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Норма</w:t>
            </w:r>
          </w:p>
        </w:tc>
        <w:tc>
          <w:tcPr>
            <w:tcW w:w="172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Всего необходимо по нормам</w:t>
            </w:r>
          </w:p>
        </w:tc>
        <w:tc>
          <w:tcPr>
            <w:tcW w:w="178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Существующее положение на исходный год</w:t>
            </w:r>
          </w:p>
        </w:tc>
        <w:tc>
          <w:tcPr>
            <w:tcW w:w="194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Обеспеченность,</w:t>
              <w:br/>
              <w:t>%</w:t>
            </w:r>
          </w:p>
        </w:tc>
      </w:tr>
      <w:tr>
        <w:trPr>
          <w:trHeight w:val="510" w:hRule="atLeast"/>
        </w:trPr>
        <w:tc>
          <w:tcPr>
            <w:tcW w:w="62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31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Дошкольные образовательные организации</w:t>
            </w:r>
          </w:p>
        </w:tc>
        <w:tc>
          <w:tcPr>
            <w:tcW w:w="15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место</w:t>
            </w:r>
          </w:p>
        </w:tc>
        <w:tc>
          <w:tcPr>
            <w:tcW w:w="306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45 мест на 100 детей от</w:t>
              <w:br/>
              <w:t>0-7 лет</w:t>
            </w:r>
          </w:p>
        </w:tc>
        <w:tc>
          <w:tcPr>
            <w:tcW w:w="172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16</w:t>
            </w:r>
          </w:p>
        </w:tc>
        <w:tc>
          <w:tcPr>
            <w:tcW w:w="178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194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r>
      <w:tr>
        <w:trPr>
          <w:trHeight w:val="510" w:hRule="atLeast"/>
        </w:trPr>
        <w:tc>
          <w:tcPr>
            <w:tcW w:w="62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w:t>
            </w:r>
          </w:p>
        </w:tc>
        <w:tc>
          <w:tcPr>
            <w:tcW w:w="31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Общеобразовательные организации</w:t>
            </w:r>
          </w:p>
        </w:tc>
        <w:tc>
          <w:tcPr>
            <w:tcW w:w="15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место</w:t>
            </w:r>
          </w:p>
        </w:tc>
        <w:tc>
          <w:tcPr>
            <w:tcW w:w="306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45 мест на 100 детей 7-18 лет</w:t>
            </w:r>
          </w:p>
        </w:tc>
        <w:tc>
          <w:tcPr>
            <w:tcW w:w="172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21</w:t>
            </w:r>
          </w:p>
        </w:tc>
        <w:tc>
          <w:tcPr>
            <w:tcW w:w="178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162</w:t>
            </w:r>
          </w:p>
        </w:tc>
        <w:tc>
          <w:tcPr>
            <w:tcW w:w="194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771</w:t>
            </w:r>
          </w:p>
        </w:tc>
      </w:tr>
      <w:tr>
        <w:trPr>
          <w:trHeight w:val="255" w:hRule="atLeast"/>
        </w:trPr>
        <w:tc>
          <w:tcPr>
            <w:tcW w:w="62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w:t>
            </w:r>
          </w:p>
        </w:tc>
        <w:tc>
          <w:tcPr>
            <w:tcW w:w="31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Организации дополнительного образования детей</w:t>
            </w:r>
          </w:p>
        </w:tc>
        <w:tc>
          <w:tcPr>
            <w:tcW w:w="15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место</w:t>
            </w:r>
          </w:p>
        </w:tc>
        <w:tc>
          <w:tcPr>
            <w:tcW w:w="306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 xml:space="preserve"> </w:t>
            </w:r>
            <w:r>
              <w:rPr>
                <w:color w:val="000000"/>
                <w:sz w:val="20"/>
                <w:szCs w:val="20"/>
              </w:rPr>
              <w:t>11 мест на 100 детей от 5-18 лет</w:t>
            </w:r>
          </w:p>
        </w:tc>
        <w:tc>
          <w:tcPr>
            <w:tcW w:w="172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6</w:t>
            </w:r>
          </w:p>
        </w:tc>
        <w:tc>
          <w:tcPr>
            <w:tcW w:w="178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194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r>
      <w:tr>
        <w:trPr>
          <w:trHeight w:val="153" w:hRule="atLeast"/>
        </w:trPr>
        <w:tc>
          <w:tcPr>
            <w:tcW w:w="62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w:t>
            </w:r>
          </w:p>
        </w:tc>
        <w:tc>
          <w:tcPr>
            <w:tcW w:w="31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Больницы</w:t>
            </w:r>
          </w:p>
        </w:tc>
        <w:tc>
          <w:tcPr>
            <w:tcW w:w="15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койка</w:t>
            </w:r>
          </w:p>
        </w:tc>
        <w:tc>
          <w:tcPr>
            <w:tcW w:w="306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7,5 коек на 1000 чел.</w:t>
            </w:r>
          </w:p>
        </w:tc>
        <w:tc>
          <w:tcPr>
            <w:tcW w:w="172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78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отсутствуют</w:t>
            </w:r>
          </w:p>
        </w:tc>
        <w:tc>
          <w:tcPr>
            <w:tcW w:w="194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r>
      <w:tr>
        <w:trPr>
          <w:trHeight w:val="333" w:hRule="atLeast"/>
        </w:trPr>
        <w:tc>
          <w:tcPr>
            <w:tcW w:w="62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w:t>
            </w:r>
          </w:p>
        </w:tc>
        <w:tc>
          <w:tcPr>
            <w:tcW w:w="31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Лечебно-профилактические медицинские организации</w:t>
            </w:r>
          </w:p>
        </w:tc>
        <w:tc>
          <w:tcPr>
            <w:tcW w:w="15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посещ./см.</w:t>
            </w:r>
          </w:p>
        </w:tc>
        <w:tc>
          <w:tcPr>
            <w:tcW w:w="306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19,7 посещ. в смену на 1000 чел.</w:t>
            </w:r>
          </w:p>
        </w:tc>
        <w:tc>
          <w:tcPr>
            <w:tcW w:w="172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w:t>
            </w:r>
          </w:p>
        </w:tc>
        <w:tc>
          <w:tcPr>
            <w:tcW w:w="178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10</w:t>
            </w:r>
          </w:p>
        </w:tc>
        <w:tc>
          <w:tcPr>
            <w:tcW w:w="194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200</w:t>
            </w:r>
          </w:p>
        </w:tc>
      </w:tr>
      <w:tr>
        <w:trPr>
          <w:trHeight w:val="143" w:hRule="atLeast"/>
        </w:trPr>
        <w:tc>
          <w:tcPr>
            <w:tcW w:w="62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6</w:t>
            </w:r>
          </w:p>
        </w:tc>
        <w:tc>
          <w:tcPr>
            <w:tcW w:w="31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Станции скорой помощи</w:t>
            </w:r>
          </w:p>
        </w:tc>
        <w:tc>
          <w:tcPr>
            <w:tcW w:w="15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автомобиль</w:t>
            </w:r>
          </w:p>
        </w:tc>
        <w:tc>
          <w:tcPr>
            <w:tcW w:w="306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 автомобиль на 10 000 чел.</w:t>
            </w:r>
          </w:p>
        </w:tc>
        <w:tc>
          <w:tcPr>
            <w:tcW w:w="172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78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отсутствуют</w:t>
            </w:r>
          </w:p>
        </w:tc>
        <w:tc>
          <w:tcPr>
            <w:tcW w:w="194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r>
      <w:tr>
        <w:trPr>
          <w:trHeight w:val="255" w:hRule="atLeast"/>
        </w:trPr>
        <w:tc>
          <w:tcPr>
            <w:tcW w:w="62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7</w:t>
            </w:r>
          </w:p>
        </w:tc>
        <w:tc>
          <w:tcPr>
            <w:tcW w:w="31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Спортзалы общего пользования</w:t>
            </w:r>
          </w:p>
        </w:tc>
        <w:tc>
          <w:tcPr>
            <w:tcW w:w="15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объект</w:t>
            </w:r>
          </w:p>
        </w:tc>
        <w:tc>
          <w:tcPr>
            <w:tcW w:w="306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 xml:space="preserve">1 объект на 1000 чел. </w:t>
            </w:r>
          </w:p>
        </w:tc>
        <w:tc>
          <w:tcPr>
            <w:tcW w:w="172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178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отсутствуют</w:t>
            </w:r>
          </w:p>
        </w:tc>
        <w:tc>
          <w:tcPr>
            <w:tcW w:w="194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r>
      <w:tr>
        <w:trPr>
          <w:trHeight w:val="255" w:hRule="atLeast"/>
        </w:trPr>
        <w:tc>
          <w:tcPr>
            <w:tcW w:w="62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8</w:t>
            </w:r>
          </w:p>
        </w:tc>
        <w:tc>
          <w:tcPr>
            <w:tcW w:w="31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Плоскостные сооружения</w:t>
            </w:r>
          </w:p>
        </w:tc>
        <w:tc>
          <w:tcPr>
            <w:tcW w:w="15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объект</w:t>
            </w:r>
          </w:p>
        </w:tc>
        <w:tc>
          <w:tcPr>
            <w:tcW w:w="306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 объект на 1000 чел.</w:t>
            </w:r>
          </w:p>
        </w:tc>
        <w:tc>
          <w:tcPr>
            <w:tcW w:w="172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178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отсутствуют</w:t>
            </w:r>
          </w:p>
        </w:tc>
        <w:tc>
          <w:tcPr>
            <w:tcW w:w="194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r>
      <w:tr>
        <w:trPr>
          <w:trHeight w:val="255" w:hRule="atLeast"/>
        </w:trPr>
        <w:tc>
          <w:tcPr>
            <w:tcW w:w="62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9</w:t>
            </w:r>
          </w:p>
        </w:tc>
        <w:tc>
          <w:tcPr>
            <w:tcW w:w="31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Бассейны</w:t>
            </w:r>
          </w:p>
        </w:tc>
        <w:tc>
          <w:tcPr>
            <w:tcW w:w="15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объект</w:t>
            </w:r>
          </w:p>
        </w:tc>
        <w:tc>
          <w:tcPr>
            <w:tcW w:w="306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 объект на муниципальный район</w:t>
            </w:r>
          </w:p>
        </w:tc>
        <w:tc>
          <w:tcPr>
            <w:tcW w:w="172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78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отсутствуют</w:t>
            </w:r>
          </w:p>
        </w:tc>
        <w:tc>
          <w:tcPr>
            <w:tcW w:w="194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r>
      <w:tr>
        <w:trPr>
          <w:trHeight w:val="255" w:hRule="atLeast"/>
        </w:trPr>
        <w:tc>
          <w:tcPr>
            <w:tcW w:w="62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10</w:t>
            </w:r>
          </w:p>
        </w:tc>
        <w:tc>
          <w:tcPr>
            <w:tcW w:w="31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Клубы, дома культуры</w:t>
            </w:r>
          </w:p>
        </w:tc>
        <w:tc>
          <w:tcPr>
            <w:tcW w:w="15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место</w:t>
            </w:r>
          </w:p>
        </w:tc>
        <w:tc>
          <w:tcPr>
            <w:tcW w:w="306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 xml:space="preserve">300 мест на 1000 чел. </w:t>
            </w:r>
          </w:p>
        </w:tc>
        <w:tc>
          <w:tcPr>
            <w:tcW w:w="172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300</w:t>
            </w:r>
          </w:p>
        </w:tc>
        <w:tc>
          <w:tcPr>
            <w:tcW w:w="178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150</w:t>
            </w:r>
          </w:p>
        </w:tc>
        <w:tc>
          <w:tcPr>
            <w:tcW w:w="194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50</w:t>
            </w:r>
          </w:p>
        </w:tc>
      </w:tr>
      <w:tr>
        <w:trPr>
          <w:trHeight w:val="255" w:hRule="atLeast"/>
        </w:trPr>
        <w:tc>
          <w:tcPr>
            <w:tcW w:w="62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11</w:t>
            </w:r>
          </w:p>
        </w:tc>
        <w:tc>
          <w:tcPr>
            <w:tcW w:w="31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Библиотеки</w:t>
            </w:r>
          </w:p>
        </w:tc>
        <w:tc>
          <w:tcPr>
            <w:tcW w:w="15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тыс.экз-ов</w:t>
            </w:r>
          </w:p>
        </w:tc>
        <w:tc>
          <w:tcPr>
            <w:tcW w:w="306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6 тыс.экз. на 1000 чел.</w:t>
            </w:r>
          </w:p>
        </w:tc>
        <w:tc>
          <w:tcPr>
            <w:tcW w:w="172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6</w:t>
            </w:r>
          </w:p>
        </w:tc>
        <w:tc>
          <w:tcPr>
            <w:tcW w:w="178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10,3</w:t>
            </w:r>
          </w:p>
        </w:tc>
        <w:tc>
          <w:tcPr>
            <w:tcW w:w="194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172</w:t>
            </w:r>
          </w:p>
        </w:tc>
      </w:tr>
      <w:tr>
        <w:trPr>
          <w:trHeight w:val="255" w:hRule="atLeast"/>
        </w:trPr>
        <w:tc>
          <w:tcPr>
            <w:tcW w:w="62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12</w:t>
            </w:r>
          </w:p>
        </w:tc>
        <w:tc>
          <w:tcPr>
            <w:tcW w:w="31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Магазины</w:t>
            </w:r>
          </w:p>
        </w:tc>
        <w:tc>
          <w:tcPr>
            <w:tcW w:w="15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кв.м торг.пл.</w:t>
            </w:r>
          </w:p>
        </w:tc>
        <w:tc>
          <w:tcPr>
            <w:tcW w:w="306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300 кв.м на 1000 чел.</w:t>
            </w:r>
          </w:p>
        </w:tc>
        <w:tc>
          <w:tcPr>
            <w:tcW w:w="172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119</w:t>
            </w:r>
          </w:p>
        </w:tc>
        <w:tc>
          <w:tcPr>
            <w:tcW w:w="178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631</w:t>
            </w:r>
          </w:p>
        </w:tc>
        <w:tc>
          <w:tcPr>
            <w:tcW w:w="194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530</w:t>
            </w:r>
          </w:p>
        </w:tc>
      </w:tr>
      <w:tr>
        <w:trPr>
          <w:trHeight w:val="255" w:hRule="atLeast"/>
        </w:trPr>
        <w:tc>
          <w:tcPr>
            <w:tcW w:w="62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13</w:t>
            </w:r>
          </w:p>
        </w:tc>
        <w:tc>
          <w:tcPr>
            <w:tcW w:w="31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Предприятия общепита</w:t>
            </w:r>
          </w:p>
        </w:tc>
        <w:tc>
          <w:tcPr>
            <w:tcW w:w="15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место</w:t>
            </w:r>
          </w:p>
        </w:tc>
        <w:tc>
          <w:tcPr>
            <w:tcW w:w="306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40 мест на 1000 чел.</w:t>
            </w:r>
          </w:p>
        </w:tc>
        <w:tc>
          <w:tcPr>
            <w:tcW w:w="172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16</w:t>
            </w:r>
          </w:p>
        </w:tc>
        <w:tc>
          <w:tcPr>
            <w:tcW w:w="178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194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r>
      <w:tr>
        <w:trPr>
          <w:trHeight w:val="510" w:hRule="atLeast"/>
        </w:trPr>
        <w:tc>
          <w:tcPr>
            <w:tcW w:w="62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14</w:t>
            </w:r>
          </w:p>
        </w:tc>
        <w:tc>
          <w:tcPr>
            <w:tcW w:w="31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Предприятия бытового обслуживания</w:t>
            </w:r>
          </w:p>
        </w:tc>
        <w:tc>
          <w:tcPr>
            <w:tcW w:w="15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раб. место</w:t>
            </w:r>
          </w:p>
        </w:tc>
        <w:tc>
          <w:tcPr>
            <w:tcW w:w="306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7 раб.мест на 1000 чел.</w:t>
            </w:r>
          </w:p>
        </w:tc>
        <w:tc>
          <w:tcPr>
            <w:tcW w:w="172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w:t>
            </w:r>
          </w:p>
        </w:tc>
        <w:tc>
          <w:tcPr>
            <w:tcW w:w="178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194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r>
      <w:tr>
        <w:trPr>
          <w:trHeight w:val="255" w:hRule="atLeast"/>
        </w:trPr>
        <w:tc>
          <w:tcPr>
            <w:tcW w:w="62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15</w:t>
            </w:r>
          </w:p>
        </w:tc>
        <w:tc>
          <w:tcPr>
            <w:tcW w:w="31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Отделения связи</w:t>
            </w:r>
          </w:p>
        </w:tc>
        <w:tc>
          <w:tcPr>
            <w:tcW w:w="15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объект</w:t>
            </w:r>
          </w:p>
        </w:tc>
        <w:tc>
          <w:tcPr>
            <w:tcW w:w="306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1 объект на поселение</w:t>
            </w:r>
          </w:p>
        </w:tc>
        <w:tc>
          <w:tcPr>
            <w:tcW w:w="172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178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194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100</w:t>
            </w:r>
          </w:p>
        </w:tc>
      </w:tr>
      <w:tr>
        <w:trPr>
          <w:trHeight w:val="239" w:hRule="atLeast"/>
        </w:trPr>
        <w:tc>
          <w:tcPr>
            <w:tcW w:w="62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16</w:t>
            </w:r>
          </w:p>
        </w:tc>
        <w:tc>
          <w:tcPr>
            <w:tcW w:w="31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Отделения банков</w:t>
            </w:r>
          </w:p>
        </w:tc>
        <w:tc>
          <w:tcPr>
            <w:tcW w:w="15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операционное место</w:t>
            </w:r>
          </w:p>
        </w:tc>
        <w:tc>
          <w:tcPr>
            <w:tcW w:w="306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1 операц.место на 1-2 тыс.жителей</w:t>
            </w:r>
          </w:p>
        </w:tc>
        <w:tc>
          <w:tcPr>
            <w:tcW w:w="172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178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отсутствуют</w:t>
            </w:r>
          </w:p>
        </w:tc>
        <w:tc>
          <w:tcPr>
            <w:tcW w:w="194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r>
      <w:tr>
        <w:trPr>
          <w:trHeight w:val="90" w:hRule="atLeast"/>
        </w:trPr>
        <w:tc>
          <w:tcPr>
            <w:tcW w:w="62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17**</w:t>
            </w:r>
          </w:p>
        </w:tc>
        <w:tc>
          <w:tcPr>
            <w:tcW w:w="31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Полиция</w:t>
            </w:r>
          </w:p>
        </w:tc>
        <w:tc>
          <w:tcPr>
            <w:tcW w:w="15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объект</w:t>
            </w:r>
          </w:p>
        </w:tc>
        <w:tc>
          <w:tcPr>
            <w:tcW w:w="306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 на 1-4 участка, где адм.участок равен 2,8 тыс.чел.</w:t>
            </w:r>
          </w:p>
        </w:tc>
        <w:tc>
          <w:tcPr>
            <w:tcW w:w="172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178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отсутствуют</w:t>
            </w:r>
          </w:p>
        </w:tc>
        <w:tc>
          <w:tcPr>
            <w:tcW w:w="194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100</w:t>
            </w:r>
          </w:p>
        </w:tc>
      </w:tr>
      <w:tr>
        <w:trPr>
          <w:trHeight w:val="90" w:hRule="atLeast"/>
        </w:trPr>
        <w:tc>
          <w:tcPr>
            <w:tcW w:w="62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18</w:t>
            </w:r>
          </w:p>
        </w:tc>
        <w:tc>
          <w:tcPr>
            <w:tcW w:w="3183" w:type="dxa"/>
            <w:tcBorders>
              <w:top w:val="single" w:sz="4" w:space="0" w:color="000000"/>
              <w:left w:val="single" w:sz="4" w:space="0" w:color="000000"/>
              <w:bottom w:val="single" w:sz="4" w:space="0" w:color="000000"/>
              <w:right w:val="single" w:sz="4" w:space="0" w:color="000000"/>
            </w:tcBorders>
            <w:vAlign w:val="center"/>
          </w:tcPr>
          <w:p>
            <w:pPr>
              <w:pStyle w:val="Normal"/>
              <w:ind w:hanging="0"/>
              <w:rPr>
                <w:color w:val="000000"/>
                <w:sz w:val="20"/>
                <w:szCs w:val="20"/>
              </w:rPr>
            </w:pPr>
            <w:r>
              <w:rPr>
                <w:color w:val="000000"/>
                <w:sz w:val="20"/>
                <w:szCs w:val="20"/>
              </w:rPr>
              <w:t>Общественные уборные</w:t>
            </w:r>
          </w:p>
        </w:tc>
        <w:tc>
          <w:tcPr>
            <w:tcW w:w="15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прибор</w:t>
            </w:r>
          </w:p>
        </w:tc>
        <w:tc>
          <w:tcPr>
            <w:tcW w:w="306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 прибор на 1000 чел.</w:t>
            </w:r>
          </w:p>
        </w:tc>
        <w:tc>
          <w:tcPr>
            <w:tcW w:w="172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178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отсутствуют</w:t>
            </w:r>
          </w:p>
        </w:tc>
        <w:tc>
          <w:tcPr>
            <w:tcW w:w="194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r>
    </w:tbl>
    <w:p>
      <w:pPr>
        <w:pStyle w:val="Style78"/>
        <w:ind w:firstLine="700"/>
        <w:jc w:val="both"/>
        <w:rPr/>
      </w:pPr>
      <w:r>
        <w:rPr>
          <w:color w:val="000000"/>
          <w:sz w:val="24"/>
          <w:vertAlign w:val="superscript"/>
        </w:rPr>
        <w:t>*</w:t>
      </w:r>
      <w:r>
        <w:rPr>
          <w:color w:val="000000"/>
          <w:sz w:val="20"/>
          <w:szCs w:val="20"/>
        </w:rPr>
        <w:t>больницы, станции скорой медицинской помощи и бассейны имеют районный уровень обслуживания, обеспеченность рассчитывается на население района в целом.</w:t>
      </w:r>
    </w:p>
    <w:p>
      <w:pPr>
        <w:sectPr>
          <w:footerReference w:type="default" r:id="rId108"/>
          <w:footerReference w:type="first" r:id="rId109"/>
          <w:footnotePr>
            <w:numFmt w:val="decimal"/>
          </w:footnotePr>
          <w:type w:val="nextPage"/>
          <w:pgSz w:orient="landscape" w:w="16838" w:h="11906"/>
          <w:pgMar w:left="1134" w:right="851" w:gutter="0" w:header="0" w:top="851" w:footer="709" w:bottom="851"/>
          <w:pgNumType w:fmt="decimal"/>
          <w:formProt w:val="false"/>
          <w:textDirection w:val="lrTb"/>
          <w:docGrid w:type="default" w:linePitch="360" w:charSpace="0"/>
        </w:sectPr>
        <w:pStyle w:val="Style78"/>
        <w:ind w:firstLine="700"/>
        <w:jc w:val="left"/>
        <w:rPr>
          <w:color w:val="000000"/>
          <w:sz w:val="20"/>
        </w:rPr>
      </w:pPr>
      <w:r>
        <w:rPr>
          <w:color w:val="000000"/>
          <w:sz w:val="20"/>
        </w:rPr>
        <w:t xml:space="preserve">**сельское поселение обслуживается пунктом полиции в с.Шеланга </w:t>
      </w:r>
    </w:p>
    <w:p>
      <w:pPr>
        <w:pStyle w:val="2"/>
        <w:numPr>
          <w:ilvl w:val="1"/>
          <w:numId w:val="7"/>
        </w:numPr>
        <w:jc w:val="both"/>
        <w:rPr>
          <w:bCs w:val="false"/>
          <w:color w:val="000000"/>
          <w:szCs w:val="20"/>
        </w:rPr>
      </w:pPr>
      <w:bookmarkStart w:id="274" w:name="__RefHeading___Toc156489422"/>
      <w:bookmarkEnd w:id="274"/>
      <w:r>
        <w:rPr>
          <w:bCs w:val="false"/>
          <w:color w:val="000000"/>
          <w:szCs w:val="20"/>
        </w:rPr>
        <w:t>Кладбища</w:t>
      </w:r>
    </w:p>
    <w:p>
      <w:pPr>
        <w:pStyle w:val="Normal"/>
        <w:ind w:firstLine="700"/>
        <w:jc w:val="both"/>
        <w:rPr/>
      </w:pPr>
      <w:r>
        <w:rPr>
          <w:color w:val="000000"/>
          <w:szCs w:val="28"/>
        </w:rPr>
        <w:t>В Вахитовском сельском поселении имеются четыре действующих кладбища общей площадью 3,3266 га:</w:t>
      </w:r>
    </w:p>
    <w:p>
      <w:pPr>
        <w:pStyle w:val="Normal"/>
        <w:ind w:firstLine="700"/>
        <w:jc w:val="both"/>
        <w:rPr/>
      </w:pPr>
      <w:r>
        <w:rPr>
          <w:color w:val="000000"/>
          <w:szCs w:val="28"/>
        </w:rPr>
        <w:t xml:space="preserve">- </w:t>
      </w:r>
      <w:r>
        <w:rPr>
          <w:color w:val="000000"/>
        </w:rPr>
        <w:t xml:space="preserve">кладбище, расположенное в д.им. Мулланура Вахитова площадью 1,0905 га на земельном участке с кадастровым </w:t>
      </w:r>
      <w:r>
        <w:rPr>
          <w:color w:val="000000"/>
          <w:szCs w:val="28"/>
        </w:rPr>
        <w:t>номером</w:t>
      </w:r>
      <w:r>
        <w:rPr>
          <w:bCs/>
          <w:color w:val="000000"/>
          <w:shd w:fill="FFFFFF" w:val="clear"/>
        </w:rPr>
        <w:t xml:space="preserve"> 16:15:030101:78 </w:t>
      </w:r>
      <w:r>
        <w:rPr>
          <w:color w:val="000000"/>
        </w:rPr>
        <w:t>(категория земельного участка – «земли населенных пунктов</w:t>
      </w:r>
      <w:r>
        <w:rPr>
          <w:color w:val="000000"/>
          <w:szCs w:val="28"/>
        </w:rPr>
        <w:t xml:space="preserve">»). </w:t>
      </w:r>
      <w:r>
        <w:rPr>
          <w:color w:val="000000"/>
        </w:rPr>
        <w:t>Заполненность кладбища – 20%.</w:t>
      </w:r>
      <w:r>
        <w:rPr>
          <w:color w:val="FF0066"/>
        </w:rPr>
        <w:t xml:space="preserve"> </w:t>
      </w:r>
      <w:r>
        <w:rPr>
          <w:color w:val="000000"/>
        </w:rPr>
        <w:t>Свободные территории кладбища составляют 0,8724 га;</w:t>
      </w:r>
    </w:p>
    <w:p>
      <w:pPr>
        <w:pStyle w:val="Normal"/>
        <w:ind w:firstLine="700"/>
        <w:jc w:val="both"/>
        <w:rPr/>
      </w:pPr>
      <w:r>
        <w:rPr>
          <w:color w:val="000000"/>
          <w:szCs w:val="28"/>
        </w:rPr>
        <w:t>- кладбище, расположенное в д.Ватан площадью 0,5475 га на земельном участке с кадастровым номером 16:15:030701:348 (категория земельного участка – «земли промышленности, энергетики»). Заполненность кладбища</w:t>
      </w:r>
      <w:r>
        <w:rPr>
          <w:color w:val="000000"/>
        </w:rPr>
        <w:t xml:space="preserve"> – 20%.</w:t>
      </w:r>
      <w:r>
        <w:rPr>
          <w:color w:val="FF0066"/>
        </w:rPr>
        <w:t xml:space="preserve"> </w:t>
      </w:r>
      <w:r>
        <w:rPr>
          <w:color w:val="000000"/>
        </w:rPr>
        <w:t>Свободные территории кладбища составляют 0,438 га;</w:t>
      </w:r>
    </w:p>
    <w:p>
      <w:pPr>
        <w:pStyle w:val="Normal"/>
        <w:ind w:firstLine="700"/>
        <w:jc w:val="both"/>
        <w:rPr/>
      </w:pPr>
      <w:r>
        <w:rPr>
          <w:color w:val="000000"/>
        </w:rPr>
        <w:t xml:space="preserve">- кладбище, расположенное в п.Бакча-Сарай площадью 0,2308 га на земельном участке с кадастровым </w:t>
      </w:r>
      <w:r>
        <w:rPr>
          <w:color w:val="000000"/>
          <w:szCs w:val="28"/>
        </w:rPr>
        <w:t xml:space="preserve">номером </w:t>
      </w:r>
      <w:r>
        <w:rPr>
          <w:color w:val="000000"/>
        </w:rPr>
        <w:t>16:15:030201:149 (категория земельного участка – «земли населенных пунктов</w:t>
      </w:r>
      <w:r>
        <w:rPr>
          <w:color w:val="000000"/>
          <w:szCs w:val="28"/>
        </w:rPr>
        <w:t xml:space="preserve">»). </w:t>
      </w:r>
      <w:r>
        <w:rPr>
          <w:color w:val="000000"/>
        </w:rPr>
        <w:t>Заполненность кладбища – 50%.</w:t>
      </w:r>
      <w:r>
        <w:rPr>
          <w:color w:val="FF0066"/>
        </w:rPr>
        <w:t xml:space="preserve"> </w:t>
      </w:r>
      <w:r>
        <w:rPr>
          <w:color w:val="000000"/>
        </w:rPr>
        <w:t>Свободные территории кладбища составляют 0,1154 га;</w:t>
      </w:r>
    </w:p>
    <w:p>
      <w:pPr>
        <w:pStyle w:val="Normal"/>
        <w:ind w:firstLine="700"/>
        <w:jc w:val="both"/>
        <w:rPr/>
      </w:pPr>
      <w:r>
        <w:rPr>
          <w:color w:val="000000"/>
        </w:rPr>
        <w:t xml:space="preserve">- кладбище, расположенное в д.Гребени площадью 0,0802 га на земельном участке с кадастровым </w:t>
      </w:r>
      <w:r>
        <w:rPr>
          <w:color w:val="000000"/>
          <w:szCs w:val="28"/>
        </w:rPr>
        <w:t xml:space="preserve">номером </w:t>
      </w:r>
      <w:r>
        <w:rPr>
          <w:color w:val="000000"/>
        </w:rPr>
        <w:t>16:15:030401:127 (категория земельного участка – «земли населенных пунктов</w:t>
      </w:r>
      <w:r>
        <w:rPr>
          <w:color w:val="000000"/>
          <w:szCs w:val="28"/>
        </w:rPr>
        <w:t xml:space="preserve">»). </w:t>
      </w:r>
      <w:r>
        <w:rPr>
          <w:color w:val="000000"/>
        </w:rPr>
        <w:t>Заполненность кладбища – 20%. Свободные территории кладбища составляют 0,0642 га.</w:t>
      </w:r>
    </w:p>
    <w:p>
      <w:pPr>
        <w:pStyle w:val="Normal"/>
        <w:ind w:firstLine="700"/>
        <w:jc w:val="both"/>
        <w:rPr/>
      </w:pPr>
      <w:r>
        <w:rPr>
          <w:color w:val="000000"/>
        </w:rPr>
        <w:t xml:space="preserve">- кладбище, расположенное в с.Ташевка площадью 1,3776 га на земельных участках с кадастровыми </w:t>
      </w:r>
      <w:r>
        <w:rPr>
          <w:color w:val="000000"/>
          <w:szCs w:val="28"/>
        </w:rPr>
        <w:t xml:space="preserve">номерами </w:t>
      </w:r>
      <w:r>
        <w:rPr>
          <w:color w:val="000000"/>
        </w:rPr>
        <w:t>16:15:030502:182 и 16:15:030502:196 (категории земельных участков – «земли населенных пунктов</w:t>
      </w:r>
      <w:r>
        <w:rPr>
          <w:color w:val="000000"/>
          <w:szCs w:val="28"/>
        </w:rPr>
        <w:t xml:space="preserve">»). </w:t>
      </w:r>
      <w:r>
        <w:rPr>
          <w:color w:val="000000"/>
        </w:rPr>
        <w:t>Заполненность кладбища – 45%. Свободные территории кладбища составляют 0,7576 га.</w:t>
      </w:r>
    </w:p>
    <w:p>
      <w:pPr>
        <w:pStyle w:val="Normal"/>
        <w:ind w:firstLine="700"/>
        <w:jc w:val="both"/>
        <w:rPr/>
      </w:pPr>
      <w:r>
        <w:rPr>
          <w:color w:val="000000"/>
          <w:szCs w:val="28"/>
        </w:rPr>
        <w:t>Общая площадь незаполненных территорий всех действующих кладбищ сельского поселения составляет 2,2476 га.</w:t>
      </w:r>
    </w:p>
    <w:p>
      <w:pPr>
        <w:pStyle w:val="Normal"/>
        <w:ind w:firstLine="700"/>
        <w:jc w:val="both"/>
        <w:rPr/>
      </w:pPr>
      <w:r>
        <w:rPr>
          <w:color w:val="000000"/>
          <w:szCs w:val="28"/>
        </w:rPr>
        <w:t>Потребность существующего населения Вахитовского сельского поселения в территориях кладбищ рассчитывалась в соответствии с существующей демографической структурой населения, а также в соответствии с Местными нормативами градостроительного проектирования Вахитовского сельского поселения Верхнеуслонского муниципального района (утв. Решением Совета Вахитовского сельского поселения Верхнеуслонского муниципального района от 23.11.2017 №37-167) (0,24 га на 1000 человек).</w:t>
      </w:r>
    </w:p>
    <w:p>
      <w:pPr>
        <w:pStyle w:val="Normal"/>
        <w:ind w:firstLine="700"/>
        <w:jc w:val="both"/>
        <w:rPr/>
      </w:pPr>
      <w:r>
        <w:rPr>
          <w:color w:val="000000"/>
          <w:szCs w:val="28"/>
        </w:rPr>
        <w:t>Таким образом, нормативная потребность населения сельского поселения в кладбищах традиционного захоронения составляет 0,095 га. Обеспеченность кладбищами традиционного захоронения сельского поселения составляет 2366% от нормативной потребности населения.</w:t>
      </w:r>
    </w:p>
    <w:p>
      <w:pPr>
        <w:pStyle w:val="Normal"/>
        <w:ind w:firstLine="700"/>
        <w:jc w:val="both"/>
        <w:rPr>
          <w:color w:val="FF0066"/>
          <w:szCs w:val="28"/>
        </w:rPr>
      </w:pPr>
      <w:r>
        <w:rPr>
          <w:color w:val="FF0066"/>
          <w:szCs w:val="28"/>
        </w:rPr>
      </w:r>
    </w:p>
    <w:p>
      <w:pPr>
        <w:pStyle w:val="2"/>
        <w:numPr>
          <w:ilvl w:val="1"/>
          <w:numId w:val="7"/>
        </w:numPr>
        <w:jc w:val="both"/>
        <w:rPr/>
      </w:pPr>
      <w:bookmarkStart w:id="275" w:name="__RefHeading___Toc156489423"/>
      <w:bookmarkEnd w:id="275"/>
      <w:r>
        <w:rPr/>
        <w:t>Туристско-рекреационный потенциал</w:t>
      </w:r>
    </w:p>
    <w:p>
      <w:pPr>
        <w:pStyle w:val="Normal"/>
        <w:ind w:firstLine="700"/>
        <w:jc w:val="both"/>
        <w:rPr/>
      </w:pPr>
      <w:r>
        <w:rPr>
          <w:color w:val="000000"/>
          <w:szCs w:val="28"/>
        </w:rPr>
        <w:t>Гидрографическую сеть Вахитовского сельского поселения образуют реки Волга, Большая Ташевка, Малая Ташевка, а также пруды, притоки и ручьи.</w:t>
      </w:r>
    </w:p>
    <w:p>
      <w:pPr>
        <w:pStyle w:val="Normal"/>
        <w:ind w:firstLine="700"/>
        <w:jc w:val="both"/>
        <w:rPr/>
      </w:pPr>
      <w:r>
        <w:rPr>
          <w:color w:val="000000"/>
          <w:szCs w:val="28"/>
        </w:rPr>
        <w:t xml:space="preserve">На территории Вахитовского сельского поселения имеются: </w:t>
      </w:r>
    </w:p>
    <w:p>
      <w:pPr>
        <w:pStyle w:val="Normal"/>
        <w:ind w:firstLine="700"/>
        <w:jc w:val="both"/>
        <w:rPr/>
      </w:pPr>
      <w:r>
        <w:rPr>
          <w:color w:val="000000"/>
        </w:rPr>
        <w:t>- Парк культуры и отдыха «Зелёная поляна» в д.им. Мулланура Вахитова;</w:t>
      </w:r>
    </w:p>
    <w:p>
      <w:pPr>
        <w:pStyle w:val="Normal"/>
        <w:ind w:firstLine="700"/>
        <w:jc w:val="both"/>
        <w:rPr/>
      </w:pPr>
      <w:r>
        <w:rPr>
          <w:color w:val="000000"/>
        </w:rPr>
        <w:t>- Глэмпинг вблизи д.Ватан;</w:t>
      </w:r>
    </w:p>
    <w:p>
      <w:pPr>
        <w:pStyle w:val="Normal"/>
        <w:ind w:firstLine="700"/>
        <w:jc w:val="both"/>
        <w:rPr>
          <w:color w:val="000000"/>
        </w:rPr>
      </w:pPr>
      <w:r>
        <w:rPr>
          <w:color w:val="000000"/>
        </w:rPr>
        <w:t>- Мусульманский семейный лагерь вблизи с.Ташевка;</w:t>
      </w:r>
    </w:p>
    <w:p>
      <w:pPr>
        <w:pStyle w:val="Normal"/>
        <w:ind w:firstLine="700"/>
        <w:jc w:val="both"/>
        <w:rPr/>
      </w:pPr>
      <w:r>
        <w:rPr>
          <w:color w:val="000000"/>
        </w:rPr>
        <w:t xml:space="preserve">- Родники в деревнях им. Мулланура Вахитова, Гребени, Ватан.  </w:t>
      </w:r>
    </w:p>
    <w:p>
      <w:pPr>
        <w:pStyle w:val="Normal"/>
        <w:tabs>
          <w:tab w:val="clear" w:pos="709"/>
          <w:tab w:val="left" w:pos="6325" w:leader="none"/>
          <w:tab w:val="left" w:pos="7436" w:leader="none"/>
          <w:tab w:val="left" w:pos="7949" w:leader="none"/>
          <w:tab w:val="left" w:pos="8462" w:leader="none"/>
          <w:tab w:val="left" w:pos="8926" w:leader="none"/>
          <w:tab w:val="left" w:pos="9390" w:leader="none"/>
        </w:tabs>
        <w:ind w:firstLine="700"/>
        <w:jc w:val="both"/>
        <w:rPr/>
      </w:pPr>
      <w:r>
        <w:rPr>
          <w:color w:val="000000"/>
          <w:szCs w:val="28"/>
        </w:rPr>
        <w:t xml:space="preserve">На территории Вахитовского сельского поселения имеются площади земель сельскохозяйственного назначения, покрытые древесно-кустарниковой растительностью, луга и пастбища, также обладающие природно-рекреационными свойствами. </w:t>
      </w:r>
    </w:p>
    <w:p>
      <w:pPr>
        <w:pStyle w:val="Normal"/>
        <w:ind w:firstLine="720"/>
        <w:jc w:val="both"/>
        <w:rPr/>
      </w:pPr>
      <w:r>
        <w:rPr/>
        <w:t>На территории Вахитовского сельского поселения имеются четыре памятника павшим воинам Великой Отечественной войны, расположенные в д.им. Мулланура Вахитова, д.Ватан, с.Ташевка, п.Бакча-Сарай.</w:t>
      </w:r>
    </w:p>
    <w:p>
      <w:pPr>
        <w:pStyle w:val="Normal"/>
        <w:tabs>
          <w:tab w:val="clear" w:pos="709"/>
          <w:tab w:val="left" w:pos="6325" w:leader="none"/>
          <w:tab w:val="left" w:pos="7436" w:leader="none"/>
          <w:tab w:val="left" w:pos="7949" w:leader="none"/>
          <w:tab w:val="left" w:pos="8462" w:leader="none"/>
          <w:tab w:val="left" w:pos="8926" w:leader="none"/>
          <w:tab w:val="left" w:pos="9390" w:leader="none"/>
        </w:tabs>
        <w:ind w:firstLine="700"/>
        <w:jc w:val="both"/>
        <w:rPr>
          <w:color w:val="FF0066"/>
          <w:szCs w:val="28"/>
        </w:rPr>
      </w:pPr>
      <w:r>
        <w:rPr>
          <w:color w:val="FF0066"/>
          <w:szCs w:val="28"/>
        </w:rPr>
      </w:r>
    </w:p>
    <w:p>
      <w:pPr>
        <w:pStyle w:val="2"/>
        <w:numPr>
          <w:ilvl w:val="1"/>
          <w:numId w:val="7"/>
        </w:numPr>
        <w:jc w:val="both"/>
        <w:rPr/>
      </w:pPr>
      <w:hyperlink w:anchor="__RefHeading___Toc260476335">
        <w:bookmarkStart w:id="276" w:name="__RefHeading___Toc156489424"/>
        <w:bookmarkEnd w:id="276"/>
        <w:r>
          <w:rPr>
            <w:rStyle w:val="-"/>
            <w:color w:val="000000"/>
            <w:lang w:val="ru-RU"/>
          </w:rPr>
          <w:t>Объекты</w:t>
        </w:r>
      </w:hyperlink>
      <w:r>
        <w:rPr>
          <w:color w:val="000000"/>
          <w:lang w:val="ru-RU"/>
        </w:rPr>
        <w:t xml:space="preserve"> культурного наследия</w:t>
      </w:r>
    </w:p>
    <w:p>
      <w:pPr>
        <w:pStyle w:val="Normal"/>
        <w:ind w:firstLine="720"/>
        <w:jc w:val="both"/>
        <w:rPr/>
      </w:pPr>
      <w:r>
        <w:rPr>
          <w:szCs w:val="28"/>
        </w:rPr>
        <w:t>Согласно Федеральному Закону Российской Федерации от 25 июня 2002 г. №73-ФЗ "Об объектах культурного наследия (памятниках истории и культуры) народов Российской Федерации" (принят Государственной Думой 24 мая 2002 года, одобрен Советом Федерации 14 июня 2002 года), 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pPr>
        <w:pStyle w:val="Style84"/>
        <w:tabs>
          <w:tab w:val="clear" w:pos="709"/>
          <w:tab w:val="left" w:pos="1134" w:leader="none"/>
        </w:tabs>
        <w:spacing w:lineRule="auto" w:line="276"/>
        <w:ind w:left="0" w:firstLine="709"/>
        <w:jc w:val="both"/>
        <w:rPr/>
      </w:pPr>
      <w:r>
        <w:rPr>
          <w:sz w:val="28"/>
        </w:rPr>
        <w:t>На территории Вахитовского сельского поселения расположен</w:t>
      </w:r>
      <w:r>
        <w:rPr>
          <w:sz w:val="28"/>
          <w:lang w:val="ru-RU"/>
        </w:rPr>
        <w:t>ы:</w:t>
      </w:r>
      <w:r>
        <w:rPr>
          <w:sz w:val="28"/>
        </w:rPr>
        <w:t xml:space="preserve"> </w:t>
      </w:r>
    </w:p>
    <w:p>
      <w:pPr>
        <w:pStyle w:val="Style84"/>
        <w:tabs>
          <w:tab w:val="clear" w:pos="709"/>
          <w:tab w:val="left" w:pos="1134" w:leader="none"/>
        </w:tabs>
        <w:spacing w:lineRule="auto" w:line="276"/>
        <w:ind w:left="0" w:firstLine="709"/>
        <w:jc w:val="both"/>
        <w:rPr/>
      </w:pPr>
      <w:r>
        <w:rPr>
          <w:sz w:val="28"/>
          <w:szCs w:val="28"/>
          <w:lang w:val="ru-RU"/>
        </w:rPr>
        <w:t xml:space="preserve">- </w:t>
      </w:r>
      <w:r>
        <w:rPr>
          <w:sz w:val="28"/>
          <w:szCs w:val="28"/>
        </w:rPr>
        <w:t>объект культурного наследия федерального значения (памятник археологии) «Ташевское городище» по адресу: Республика Татарстан, Верхнеуслонский муниципальный район, к северу от с. Ташевка, за оврагом, границы территории не установлены</w:t>
      </w:r>
      <w:r>
        <w:rPr>
          <w:sz w:val="28"/>
          <w:szCs w:val="28"/>
          <w:lang w:val="ru-RU"/>
        </w:rPr>
        <w:t>.</w:t>
      </w:r>
    </w:p>
    <w:p>
      <w:pPr>
        <w:pStyle w:val="Normal"/>
        <w:jc w:val="both"/>
        <w:rPr>
          <w:color w:val="FF0066"/>
          <w:sz w:val="28"/>
          <w:szCs w:val="28"/>
          <w:lang w:val="ru-RU"/>
        </w:rPr>
      </w:pPr>
      <w:r>
        <w:rPr>
          <w:color w:val="FF0066"/>
          <w:sz w:val="28"/>
          <w:szCs w:val="28"/>
          <w:lang w:val="ru-RU"/>
        </w:rPr>
      </w:r>
    </w:p>
    <w:p>
      <w:pPr>
        <w:pStyle w:val="2"/>
        <w:numPr>
          <w:ilvl w:val="1"/>
          <w:numId w:val="7"/>
        </w:numPr>
        <w:jc w:val="both"/>
        <w:rPr/>
      </w:pPr>
      <w:hyperlink w:anchor="__RefHeading___Toc260476335">
        <w:bookmarkStart w:id="277" w:name="__RefHeading___Toc156489425"/>
        <w:bookmarkEnd w:id="277"/>
        <w:r>
          <w:rPr>
            <w:rStyle w:val="-"/>
            <w:color w:val="000000"/>
          </w:rPr>
          <w:t>Транспортно</w:t>
        </w:r>
      </w:hyperlink>
      <w:r>
        <w:rPr>
          <w:color w:val="000000"/>
        </w:rPr>
        <w:t>-коммуникационная инфраструктура</w:t>
      </w:r>
    </w:p>
    <w:p>
      <w:pPr>
        <w:pStyle w:val="Style85"/>
        <w:spacing w:before="0" w:after="0"/>
        <w:ind w:firstLine="709"/>
        <w:jc w:val="both"/>
        <w:rPr/>
      </w:pPr>
      <w:r>
        <w:rPr>
          <w:color w:val="000000"/>
          <w:szCs w:val="28"/>
        </w:rPr>
        <w:t>Транспорт, наряду с другими инфраструктурными отраслями, обеспечивает базовые условия жизнедеятельности общества, являясь важным инструментом достижения социальных и экономических целей.</w:t>
      </w:r>
    </w:p>
    <w:p>
      <w:pPr>
        <w:pStyle w:val="Style86"/>
        <w:ind w:firstLine="709"/>
        <w:jc w:val="both"/>
        <w:rPr/>
      </w:pPr>
      <w:r>
        <w:rPr>
          <w:rStyle w:val="Style21"/>
          <w:rFonts w:cs="Times New Roman" w:ascii="Times New Roman" w:hAnsi="Times New Roman"/>
          <w:color w:val="000000"/>
          <w:sz w:val="28"/>
          <w:szCs w:val="28"/>
        </w:rPr>
        <w:t xml:space="preserve">Транспортная структура </w:t>
      </w:r>
      <w:r>
        <w:rPr>
          <w:rFonts w:cs="Times New Roman" w:ascii="Times New Roman" w:hAnsi="Times New Roman"/>
          <w:color w:val="000000"/>
          <w:sz w:val="28"/>
          <w:szCs w:val="28"/>
        </w:rPr>
        <w:t>Вахитовского</w:t>
      </w:r>
      <w:r>
        <w:rPr>
          <w:rStyle w:val="Style21"/>
          <w:rFonts w:cs="Times New Roman" w:ascii="Times New Roman" w:hAnsi="Times New Roman"/>
          <w:color w:val="000000"/>
          <w:sz w:val="28"/>
          <w:szCs w:val="28"/>
        </w:rPr>
        <w:t xml:space="preserve"> сельского поселения является частью транспортной структуры Верхнеуслонского муниципального района, которая в свою очередь интегрирована в транспортную сеть Республики Татарстан и представлена речным и автомобильным транспортом.</w:t>
      </w:r>
    </w:p>
    <w:p>
      <w:pPr>
        <w:pStyle w:val="Style86"/>
        <w:jc w:val="both"/>
        <w:rPr>
          <w:rStyle w:val="Style21"/>
          <w:rFonts w:ascii="Times New Roman" w:hAnsi="Times New Roman" w:cs="Times New Roman"/>
          <w:color w:val="000000"/>
          <w:sz w:val="28"/>
          <w:szCs w:val="28"/>
        </w:rPr>
      </w:pPr>
      <w:r>
        <w:rPr/>
      </w:r>
    </w:p>
    <w:p>
      <w:pPr>
        <w:pStyle w:val="Style86"/>
        <w:jc w:val="both"/>
        <w:rPr/>
      </w:pPr>
      <w:r>
        <w:rPr>
          <w:rStyle w:val="Style21"/>
          <w:rFonts w:cs="Times New Roman" w:ascii="Times New Roman" w:hAnsi="Times New Roman"/>
          <w:b/>
          <w:color w:val="000000"/>
          <w:sz w:val="28"/>
          <w:szCs w:val="28"/>
        </w:rPr>
        <w:t xml:space="preserve">Автомобильные дороги общего пользования </w:t>
      </w:r>
    </w:p>
    <w:p>
      <w:pPr>
        <w:pStyle w:val="Style86"/>
        <w:ind w:firstLine="567"/>
        <w:jc w:val="both"/>
        <w:rPr/>
      </w:pPr>
      <w:r>
        <w:rPr>
          <w:rStyle w:val="Style21"/>
          <w:rFonts w:cs="Times New Roman" w:ascii="Times New Roman" w:hAnsi="Times New Roman"/>
          <w:color w:val="000000"/>
          <w:sz w:val="28"/>
          <w:szCs w:val="28"/>
        </w:rPr>
        <w:t xml:space="preserve">По форме собственности существующие автомобильные дороги общего пользования </w:t>
      </w:r>
      <w:r>
        <w:rPr>
          <w:rFonts w:cs="Times New Roman" w:ascii="Times New Roman" w:hAnsi="Times New Roman"/>
          <w:color w:val="000000"/>
          <w:sz w:val="28"/>
          <w:szCs w:val="28"/>
        </w:rPr>
        <w:t>Вахитовского</w:t>
      </w:r>
      <w:r>
        <w:rPr>
          <w:rStyle w:val="Style21"/>
          <w:rFonts w:cs="Times New Roman" w:ascii="Times New Roman" w:hAnsi="Times New Roman"/>
          <w:color w:val="000000"/>
          <w:sz w:val="28"/>
          <w:szCs w:val="28"/>
        </w:rPr>
        <w:t xml:space="preserve"> сельского поселения представлены автомобильными дорогами регионального или межмуниципального и местного значения. </w:t>
      </w:r>
    </w:p>
    <w:p>
      <w:pPr>
        <w:pStyle w:val="Style86"/>
        <w:ind w:firstLine="709"/>
        <w:jc w:val="both"/>
        <w:rPr/>
      </w:pPr>
      <w:r>
        <w:rPr>
          <w:rStyle w:val="Style21"/>
          <w:rFonts w:cs="Times New Roman" w:ascii="Times New Roman" w:hAnsi="Times New Roman"/>
          <w:color w:val="000000"/>
          <w:sz w:val="28"/>
          <w:szCs w:val="28"/>
        </w:rPr>
        <w:t>По территории сельского поселения проходят автомобильные дороги общего пользования регионального или межмуниципального значения общей протяженностью 13,12 км, автомобильные дороги местного значения общей протяженностью 3,90 км.</w:t>
      </w:r>
    </w:p>
    <w:p>
      <w:pPr>
        <w:pStyle w:val="Style87"/>
        <w:ind w:hanging="0"/>
        <w:rPr/>
      </w:pPr>
      <w:r>
        <w:rPr>
          <w:i w:val="false"/>
          <w:color w:val="000000"/>
        </w:rPr>
        <w:tab/>
      </w:r>
      <w:r>
        <w:rPr>
          <w:rStyle w:val="Style21"/>
          <w:rFonts w:cs="Times New Roman" w:ascii="Times New Roman" w:hAnsi="Times New Roman"/>
          <w:i/>
          <w:color w:val="000000"/>
          <w:sz w:val="28"/>
          <w:szCs w:val="28"/>
        </w:rPr>
        <w:t>Перечень и протяженность автомобильных дорог</w:t>
      </w:r>
      <w:r>
        <w:rPr>
          <w:rStyle w:val="Style21"/>
          <w:rFonts w:cs="Times New Roman" w:ascii="Times New Roman" w:hAnsi="Times New Roman"/>
          <w:i/>
          <w:color w:val="000000"/>
          <w:sz w:val="28"/>
          <w:szCs w:val="28"/>
          <w:lang w:val="ru-RU"/>
        </w:rPr>
        <w:t xml:space="preserve"> </w:t>
      </w:r>
      <w:r>
        <w:rPr>
          <w:rStyle w:val="Style21"/>
          <w:rFonts w:cs="Times New Roman" w:ascii="Times New Roman" w:hAnsi="Times New Roman"/>
          <w:i/>
          <w:color w:val="000000"/>
          <w:sz w:val="28"/>
          <w:szCs w:val="28"/>
        </w:rPr>
        <w:t>регионального</w:t>
      </w:r>
      <w:r>
        <w:rPr>
          <w:rStyle w:val="Style21"/>
          <w:rFonts w:cs="Times New Roman" w:ascii="Times New Roman" w:hAnsi="Times New Roman"/>
          <w:i/>
          <w:color w:val="000000"/>
          <w:sz w:val="28"/>
          <w:szCs w:val="28"/>
          <w:lang w:val="ru-RU"/>
        </w:rPr>
        <w:t xml:space="preserve"> или межмуниципального</w:t>
      </w:r>
      <w:r>
        <w:rPr>
          <w:rStyle w:val="Style21"/>
          <w:rFonts w:cs="Times New Roman" w:ascii="Times New Roman" w:hAnsi="Times New Roman"/>
          <w:i/>
          <w:color w:val="000000"/>
          <w:sz w:val="28"/>
          <w:szCs w:val="28"/>
        </w:rPr>
        <w:t xml:space="preserve"> и местного значени</w:t>
      </w:r>
      <w:r>
        <w:rPr>
          <w:rStyle w:val="Style21"/>
          <w:rFonts w:cs="Times New Roman" w:ascii="Times New Roman" w:hAnsi="Times New Roman"/>
          <w:i/>
          <w:color w:val="000000"/>
          <w:sz w:val="28"/>
          <w:szCs w:val="28"/>
          <w:lang w:val="ru-RU"/>
        </w:rPr>
        <w:t>я</w:t>
      </w:r>
      <w:r>
        <w:rPr>
          <w:rStyle w:val="Style21"/>
          <w:rFonts w:cs="Times New Roman" w:ascii="Times New Roman" w:hAnsi="Times New Roman"/>
          <w:i/>
          <w:color w:val="000000"/>
          <w:sz w:val="28"/>
          <w:szCs w:val="28"/>
        </w:rPr>
        <w:t xml:space="preserve"> </w:t>
      </w:r>
      <w:r>
        <w:rPr>
          <w:rStyle w:val="Style21"/>
          <w:rFonts w:cs="Times New Roman" w:ascii="Times New Roman" w:hAnsi="Times New Roman"/>
          <w:i/>
          <w:color w:val="000000"/>
          <w:sz w:val="28"/>
          <w:szCs w:val="28"/>
          <w:lang w:val="ru-RU"/>
        </w:rPr>
        <w:t xml:space="preserve">общего пользования </w:t>
      </w:r>
      <w:r>
        <w:rPr>
          <w:rStyle w:val="Style21"/>
          <w:rFonts w:cs="Times New Roman" w:ascii="Times New Roman" w:hAnsi="Times New Roman"/>
          <w:i/>
          <w:color w:val="000000"/>
          <w:sz w:val="28"/>
          <w:szCs w:val="28"/>
        </w:rPr>
        <w:t>в границах</w:t>
      </w:r>
      <w:r>
        <w:rPr>
          <w:color w:val="000000"/>
          <w:szCs w:val="28"/>
        </w:rPr>
        <w:t xml:space="preserve"> </w:t>
      </w:r>
      <w:r>
        <w:rPr>
          <w:i w:val="false"/>
          <w:color w:val="000000"/>
          <w:szCs w:val="28"/>
          <w:lang w:val="ru-RU"/>
        </w:rPr>
        <w:t>Вахитовского</w:t>
      </w:r>
      <w:r>
        <w:rPr>
          <w:rStyle w:val="Style21"/>
          <w:rFonts w:cs="Times New Roman" w:ascii="Times New Roman" w:hAnsi="Times New Roman"/>
          <w:i/>
          <w:color w:val="000000"/>
          <w:sz w:val="28"/>
          <w:szCs w:val="28"/>
        </w:rPr>
        <w:t xml:space="preserve"> сельского поселения представлен в таблице 3.</w:t>
      </w:r>
      <w:r>
        <w:rPr>
          <w:rStyle w:val="Style21"/>
          <w:rFonts w:cs="Times New Roman" w:ascii="Times New Roman" w:hAnsi="Times New Roman"/>
          <w:i/>
          <w:color w:val="000000"/>
          <w:sz w:val="28"/>
          <w:szCs w:val="28"/>
          <w:lang w:val="ru-RU"/>
        </w:rPr>
        <w:t>12</w:t>
      </w:r>
      <w:r>
        <w:rPr>
          <w:rStyle w:val="Style21"/>
          <w:rFonts w:cs="Times New Roman" w:ascii="Times New Roman" w:hAnsi="Times New Roman"/>
          <w:i/>
          <w:color w:val="000000"/>
          <w:sz w:val="28"/>
          <w:szCs w:val="28"/>
        </w:rPr>
        <w:t>.1.</w:t>
      </w:r>
    </w:p>
    <w:p>
      <w:pPr>
        <w:pStyle w:val="Normal"/>
        <w:ind w:hanging="0"/>
        <w:rPr>
          <w:rStyle w:val="Style21"/>
          <w:rFonts w:ascii="Times New Roman" w:hAnsi="Times New Roman" w:cs="Times New Roman"/>
          <w:i/>
          <w:i/>
          <w:color w:val="FF0066"/>
          <w:sz w:val="28"/>
          <w:szCs w:val="28"/>
          <w:lang w:val="ru-RU"/>
        </w:rPr>
      </w:pPr>
      <w:r>
        <w:rPr/>
      </w:r>
    </w:p>
    <w:p>
      <w:pPr>
        <w:pStyle w:val="Style86"/>
        <w:ind w:firstLine="567"/>
        <w:jc w:val="right"/>
        <w:rPr/>
      </w:pPr>
      <w:r>
        <w:rPr>
          <w:rStyle w:val="Style21"/>
          <w:rFonts w:cs="Times New Roman" w:ascii="Times New Roman" w:hAnsi="Times New Roman"/>
          <w:color w:val="000000"/>
          <w:sz w:val="28"/>
          <w:szCs w:val="28"/>
        </w:rPr>
        <w:t>Таблица 3.12.1</w:t>
      </w:r>
    </w:p>
    <w:p>
      <w:pPr>
        <w:pStyle w:val="Style86"/>
        <w:spacing w:lineRule="auto" w:line="276"/>
        <w:jc w:val="center"/>
        <w:rPr/>
      </w:pPr>
      <w:r>
        <w:rPr>
          <w:rStyle w:val="Style21"/>
          <w:rFonts w:cs="Times New Roman" w:ascii="Times New Roman" w:hAnsi="Times New Roman"/>
          <w:color w:val="000000"/>
          <w:sz w:val="28"/>
          <w:szCs w:val="28"/>
        </w:rPr>
        <w:t>Перечень автомобильных дорог общего пользования в границах Вахитовского сельского поселения Верхнеуслонского</w:t>
      </w:r>
      <w:r>
        <w:rPr/>
        <w:t xml:space="preserve"> муниципального района Республики Татарстан </w:t>
      </w:r>
    </w:p>
    <w:tbl>
      <w:tblPr>
        <w:tblW w:w="5000" w:type="pct"/>
        <w:jc w:val="center"/>
        <w:tblInd w:w="0" w:type="dxa"/>
        <w:tblLayout w:type="fixed"/>
        <w:tblCellMar>
          <w:top w:w="0" w:type="dxa"/>
          <w:left w:w="108" w:type="dxa"/>
          <w:bottom w:w="0" w:type="dxa"/>
          <w:right w:w="108" w:type="dxa"/>
        </w:tblCellMar>
      </w:tblPr>
      <w:tblGrid>
        <w:gridCol w:w="505"/>
        <w:gridCol w:w="2654"/>
        <w:gridCol w:w="1313"/>
        <w:gridCol w:w="1609"/>
        <w:gridCol w:w="1379"/>
        <w:gridCol w:w="1346"/>
        <w:gridCol w:w="1115"/>
      </w:tblGrid>
      <w:tr>
        <w:trPr>
          <w:tblHeader w:val="true"/>
        </w:trPr>
        <w:tc>
          <w:tcPr>
            <w:tcW w:w="505" w:type="dxa"/>
            <w:vMerge w:val="restart"/>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w:t>
            </w:r>
            <w:r>
              <w:rPr>
                <w:rStyle w:val="Style21"/>
                <w:rFonts w:eastAsia="Times New Roman" w:cs="Times New Roman" w:ascii="Times New Roman" w:hAnsi="Times New Roman"/>
                <w:color w:val="000000"/>
                <w:sz w:val="20"/>
                <w:szCs w:val="20"/>
              </w:rPr>
              <w:t xml:space="preserve"> </w:t>
            </w:r>
            <w:r>
              <w:rPr>
                <w:rStyle w:val="Style21"/>
                <w:rFonts w:cs="Times New Roman" w:ascii="Times New Roman" w:hAnsi="Times New Roman"/>
                <w:color w:val="000000"/>
                <w:sz w:val="20"/>
                <w:szCs w:val="20"/>
              </w:rPr>
              <w:t>п/п</w:t>
            </w:r>
          </w:p>
        </w:tc>
        <w:tc>
          <w:tcPr>
            <w:tcW w:w="2654" w:type="dxa"/>
            <w:vMerge w:val="restart"/>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Наименование дорог</w:t>
            </w:r>
          </w:p>
        </w:tc>
        <w:tc>
          <w:tcPr>
            <w:tcW w:w="1313" w:type="dxa"/>
            <w:vMerge w:val="restart"/>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Категория дорог</w:t>
            </w:r>
          </w:p>
        </w:tc>
        <w:tc>
          <w:tcPr>
            <w:tcW w:w="1609" w:type="dxa"/>
            <w:vMerge w:val="restart"/>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Протяженность</w:t>
            </w:r>
          </w:p>
          <w:p>
            <w:pPr>
              <w:pStyle w:val="Style86"/>
              <w:tabs>
                <w:tab w:val="clear" w:pos="709"/>
                <w:tab w:val="right" w:pos="9345" w:leader="dot"/>
              </w:tabs>
              <w:jc w:val="center"/>
              <w:rPr/>
            </w:pPr>
            <w:r>
              <w:rPr>
                <w:rStyle w:val="Style21"/>
                <w:rFonts w:cs="Times New Roman" w:ascii="Times New Roman" w:hAnsi="Times New Roman"/>
                <w:color w:val="000000"/>
                <w:sz w:val="20"/>
                <w:szCs w:val="20"/>
              </w:rPr>
              <w:t>(в границах поселения), км</w:t>
            </w:r>
          </w:p>
        </w:tc>
        <w:tc>
          <w:tcPr>
            <w:tcW w:w="3840" w:type="dxa"/>
            <w:gridSpan w:val="3"/>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в том числе</w:t>
            </w:r>
          </w:p>
        </w:tc>
      </w:tr>
      <w:tr>
        <w:trPr>
          <w:tblHeader w:val="true"/>
        </w:trPr>
        <w:tc>
          <w:tcPr>
            <w:tcW w:w="505" w:type="dxa"/>
            <w:vMerge w:val="continue"/>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napToGrid w:val="false"/>
              <w:jc w:val="center"/>
              <w:rPr>
                <w:rStyle w:val="Style21"/>
                <w:rFonts w:ascii="Times New Roman" w:hAnsi="Times New Roman" w:cs="Times New Roman"/>
                <w:color w:val="000000"/>
                <w:sz w:val="20"/>
                <w:szCs w:val="20"/>
              </w:rPr>
            </w:pPr>
            <w:r>
              <w:rPr/>
            </w:r>
          </w:p>
        </w:tc>
        <w:tc>
          <w:tcPr>
            <w:tcW w:w="2654" w:type="dxa"/>
            <w:vMerge w:val="continue"/>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napToGrid w:val="false"/>
              <w:jc w:val="center"/>
              <w:rPr>
                <w:rStyle w:val="Style21"/>
                <w:rFonts w:ascii="Times New Roman" w:hAnsi="Times New Roman" w:cs="Times New Roman"/>
                <w:color w:val="000000"/>
                <w:sz w:val="20"/>
                <w:szCs w:val="20"/>
              </w:rPr>
            </w:pPr>
            <w:r>
              <w:rPr/>
            </w:r>
          </w:p>
        </w:tc>
        <w:tc>
          <w:tcPr>
            <w:tcW w:w="1313" w:type="dxa"/>
            <w:vMerge w:val="continue"/>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napToGrid w:val="false"/>
              <w:jc w:val="center"/>
              <w:rPr>
                <w:rStyle w:val="Style21"/>
                <w:rFonts w:ascii="Times New Roman" w:hAnsi="Times New Roman" w:cs="Times New Roman"/>
                <w:color w:val="000000"/>
                <w:sz w:val="20"/>
                <w:szCs w:val="20"/>
              </w:rPr>
            </w:pPr>
            <w:r>
              <w:rPr/>
            </w:r>
          </w:p>
        </w:tc>
        <w:tc>
          <w:tcPr>
            <w:tcW w:w="1609" w:type="dxa"/>
            <w:vMerge w:val="continue"/>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napToGrid w:val="false"/>
              <w:jc w:val="center"/>
              <w:rPr>
                <w:rStyle w:val="Style21"/>
                <w:rFonts w:ascii="Times New Roman" w:hAnsi="Times New Roman" w:cs="Times New Roman"/>
                <w:color w:val="000000"/>
                <w:sz w:val="20"/>
                <w:szCs w:val="20"/>
              </w:rPr>
            </w:pPr>
            <w:r>
              <w:rPr/>
            </w:r>
          </w:p>
        </w:tc>
        <w:tc>
          <w:tcPr>
            <w:tcW w:w="137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асфальто-бетонное</w:t>
            </w:r>
          </w:p>
        </w:tc>
        <w:tc>
          <w:tcPr>
            <w:tcW w:w="1346"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переходное</w:t>
            </w:r>
          </w:p>
        </w:tc>
        <w:tc>
          <w:tcPr>
            <w:tcW w:w="1115"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грунтовое</w:t>
            </w:r>
          </w:p>
        </w:tc>
      </w:tr>
      <w:tr>
        <w:trPr/>
        <w:tc>
          <w:tcPr>
            <w:tcW w:w="9921" w:type="dxa"/>
            <w:gridSpan w:val="7"/>
            <w:tcBorders>
              <w:top w:val="single" w:sz="4" w:space="0" w:color="000000"/>
              <w:left w:val="single" w:sz="4" w:space="0" w:color="000000"/>
              <w:bottom w:val="single" w:sz="4" w:space="0" w:color="000000"/>
              <w:right w:val="single" w:sz="4" w:space="0" w:color="000000"/>
            </w:tcBorders>
          </w:tcPr>
          <w:p>
            <w:pPr>
              <w:pStyle w:val="Style86"/>
              <w:tabs>
                <w:tab w:val="clear" w:pos="709"/>
                <w:tab w:val="right" w:pos="9345" w:leader="dot"/>
              </w:tabs>
              <w:jc w:val="center"/>
              <w:rPr/>
            </w:pPr>
            <w:r>
              <w:rPr>
                <w:rStyle w:val="Style21"/>
                <w:rFonts w:cs="Times New Roman" w:ascii="Times New Roman" w:hAnsi="Times New Roman"/>
                <w:color w:val="000000"/>
                <w:sz w:val="20"/>
                <w:szCs w:val="20"/>
              </w:rPr>
              <w:t>Автомобильные дороги регионального или межмуниципального значения</w:t>
            </w:r>
          </w:p>
        </w:tc>
      </w:tr>
      <w:tr>
        <w:trPr/>
        <w:tc>
          <w:tcPr>
            <w:tcW w:w="505"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1</w:t>
            </w:r>
          </w:p>
        </w:tc>
        <w:tc>
          <w:tcPr>
            <w:tcW w:w="2654" w:type="dxa"/>
            <w:tcBorders>
              <w:top w:val="single" w:sz="4" w:space="0" w:color="000000"/>
              <w:left w:val="single" w:sz="4" w:space="0" w:color="000000"/>
              <w:bottom w:val="single" w:sz="4" w:space="0" w:color="000000"/>
              <w:right w:val="single" w:sz="4" w:space="0" w:color="000000"/>
            </w:tcBorders>
          </w:tcPr>
          <w:p>
            <w:pPr>
              <w:pStyle w:val="TableParagraph"/>
              <w:rPr/>
            </w:pPr>
            <w:r>
              <w:rPr>
                <w:color w:val="000000"/>
                <w:sz w:val="20"/>
                <w:szCs w:val="20"/>
              </w:rPr>
              <w:t>«Казань - Ульяновск - Камское Устье»</w:t>
            </w:r>
          </w:p>
        </w:tc>
        <w:tc>
          <w:tcPr>
            <w:tcW w:w="1313"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rFonts w:ascii="Times New Roman" w:hAnsi="Times New Roman" w:cs="Times New Roman"/>
                <w:color w:val="000000"/>
                <w:sz w:val="20"/>
                <w:szCs w:val="20"/>
                <w:lang w:val="en-US"/>
              </w:rPr>
            </w:pPr>
            <w:r>
              <w:rPr>
                <w:rFonts w:cs="Times New Roman" w:ascii="Times New Roman" w:hAnsi="Times New Roman"/>
                <w:color w:val="000000"/>
                <w:sz w:val="20"/>
                <w:szCs w:val="20"/>
                <w:lang w:val="en-US"/>
              </w:rPr>
              <w:t>IV</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4,95</w:t>
            </w:r>
          </w:p>
        </w:tc>
        <w:tc>
          <w:tcPr>
            <w:tcW w:w="137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4,95</w:t>
            </w:r>
          </w:p>
        </w:tc>
        <w:tc>
          <w:tcPr>
            <w:tcW w:w="1346"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w:t>
            </w:r>
          </w:p>
        </w:tc>
        <w:tc>
          <w:tcPr>
            <w:tcW w:w="1115"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w:t>
            </w:r>
          </w:p>
        </w:tc>
      </w:tr>
      <w:tr>
        <w:trPr/>
        <w:tc>
          <w:tcPr>
            <w:tcW w:w="505"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2</w:t>
            </w:r>
          </w:p>
        </w:tc>
        <w:tc>
          <w:tcPr>
            <w:tcW w:w="2654" w:type="dxa"/>
            <w:tcBorders>
              <w:top w:val="single" w:sz="4" w:space="0" w:color="000000"/>
              <w:left w:val="single" w:sz="4" w:space="0" w:color="000000"/>
              <w:bottom w:val="single" w:sz="4" w:space="0" w:color="000000"/>
              <w:right w:val="single" w:sz="4" w:space="0" w:color="000000"/>
            </w:tcBorders>
          </w:tcPr>
          <w:p>
            <w:pPr>
              <w:pStyle w:val="TableParagraph"/>
              <w:rPr/>
            </w:pPr>
            <w:r>
              <w:rPr>
                <w:color w:val="000000"/>
                <w:sz w:val="20"/>
                <w:szCs w:val="20"/>
              </w:rPr>
              <w:t>«Казань - Ульяновск - Камское Устье - Гребени»</w:t>
            </w:r>
          </w:p>
        </w:tc>
        <w:tc>
          <w:tcPr>
            <w:tcW w:w="1313"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rFonts w:ascii="Times New Roman" w:hAnsi="Times New Roman" w:cs="Times New Roman"/>
                <w:color w:val="000000"/>
                <w:sz w:val="20"/>
                <w:szCs w:val="20"/>
                <w:lang w:val="en-US"/>
              </w:rPr>
            </w:pPr>
            <w:r>
              <w:rPr>
                <w:rFonts w:cs="Times New Roman" w:ascii="Times New Roman" w:hAnsi="Times New Roman"/>
                <w:color w:val="000000"/>
                <w:sz w:val="20"/>
                <w:szCs w:val="20"/>
                <w:lang w:val="en-US"/>
              </w:rPr>
              <w:t>V</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1,95</w:t>
            </w:r>
          </w:p>
        </w:tc>
        <w:tc>
          <w:tcPr>
            <w:tcW w:w="137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w:t>
            </w:r>
          </w:p>
        </w:tc>
        <w:tc>
          <w:tcPr>
            <w:tcW w:w="1346"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w:t>
            </w:r>
          </w:p>
        </w:tc>
        <w:tc>
          <w:tcPr>
            <w:tcW w:w="1115"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1,95</w:t>
            </w:r>
          </w:p>
        </w:tc>
      </w:tr>
      <w:tr>
        <w:trPr/>
        <w:tc>
          <w:tcPr>
            <w:tcW w:w="505"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3</w:t>
            </w:r>
          </w:p>
        </w:tc>
        <w:tc>
          <w:tcPr>
            <w:tcW w:w="2654" w:type="dxa"/>
            <w:tcBorders>
              <w:top w:val="single" w:sz="4" w:space="0" w:color="000000"/>
              <w:left w:val="single" w:sz="4" w:space="0" w:color="000000"/>
              <w:bottom w:val="single" w:sz="4" w:space="0" w:color="000000"/>
              <w:right w:val="single" w:sz="4" w:space="0" w:color="000000"/>
            </w:tcBorders>
          </w:tcPr>
          <w:p>
            <w:pPr>
              <w:pStyle w:val="TableParagraph"/>
              <w:rPr/>
            </w:pPr>
            <w:r>
              <w:rPr>
                <w:color w:val="000000"/>
                <w:sz w:val="20"/>
                <w:szCs w:val="20"/>
              </w:rPr>
              <w:t>«Янга-Болгар - Матюшино - Бакча-Сарай»</w:t>
            </w:r>
          </w:p>
        </w:tc>
        <w:tc>
          <w:tcPr>
            <w:tcW w:w="1313"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rFonts w:ascii="Times New Roman" w:hAnsi="Times New Roman" w:cs="Times New Roman"/>
                <w:color w:val="000000"/>
                <w:sz w:val="20"/>
                <w:szCs w:val="20"/>
                <w:lang w:val="en-US"/>
              </w:rPr>
            </w:pPr>
            <w:r>
              <w:rPr>
                <w:rFonts w:cs="Times New Roman" w:ascii="Times New Roman" w:hAnsi="Times New Roman"/>
                <w:color w:val="000000"/>
                <w:sz w:val="20"/>
                <w:szCs w:val="20"/>
                <w:lang w:val="en-US"/>
              </w:rPr>
              <w:t>IV</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1,06</w:t>
            </w:r>
          </w:p>
        </w:tc>
        <w:tc>
          <w:tcPr>
            <w:tcW w:w="137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w:t>
            </w:r>
          </w:p>
        </w:tc>
        <w:tc>
          <w:tcPr>
            <w:tcW w:w="1346"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1,06</w:t>
            </w:r>
          </w:p>
        </w:tc>
        <w:tc>
          <w:tcPr>
            <w:tcW w:w="1115"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w:t>
            </w:r>
          </w:p>
        </w:tc>
      </w:tr>
      <w:tr>
        <w:trPr/>
        <w:tc>
          <w:tcPr>
            <w:tcW w:w="505"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4</w:t>
            </w:r>
          </w:p>
        </w:tc>
        <w:tc>
          <w:tcPr>
            <w:tcW w:w="2654" w:type="dxa"/>
            <w:tcBorders>
              <w:top w:val="single" w:sz="4" w:space="0" w:color="000000"/>
              <w:left w:val="single" w:sz="4" w:space="0" w:color="000000"/>
              <w:bottom w:val="single" w:sz="4" w:space="0" w:color="000000"/>
              <w:right w:val="single" w:sz="4" w:space="0" w:color="000000"/>
            </w:tcBorders>
          </w:tcPr>
          <w:p>
            <w:pPr>
              <w:pStyle w:val="TableParagraph"/>
              <w:rPr/>
            </w:pPr>
            <w:r>
              <w:rPr>
                <w:color w:val="000000"/>
                <w:sz w:val="20"/>
                <w:szCs w:val="20"/>
              </w:rPr>
              <w:t>«Вахитово - Ташевка»</w:t>
            </w:r>
          </w:p>
        </w:tc>
        <w:tc>
          <w:tcPr>
            <w:tcW w:w="1313"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rFonts w:ascii="Times New Roman" w:hAnsi="Times New Roman" w:cs="Times New Roman"/>
                <w:color w:val="000000"/>
                <w:sz w:val="20"/>
                <w:szCs w:val="20"/>
                <w:lang w:val="en-US"/>
              </w:rPr>
            </w:pPr>
            <w:r>
              <w:rPr>
                <w:rFonts w:cs="Times New Roman" w:ascii="Times New Roman" w:hAnsi="Times New Roman"/>
                <w:color w:val="000000"/>
                <w:sz w:val="20"/>
                <w:szCs w:val="20"/>
                <w:lang w:val="en-US"/>
              </w:rPr>
              <w:t>V</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4,39</w:t>
            </w:r>
          </w:p>
        </w:tc>
        <w:tc>
          <w:tcPr>
            <w:tcW w:w="137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w:t>
            </w:r>
          </w:p>
        </w:tc>
        <w:tc>
          <w:tcPr>
            <w:tcW w:w="1346"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4,39</w:t>
            </w:r>
          </w:p>
        </w:tc>
        <w:tc>
          <w:tcPr>
            <w:tcW w:w="1115"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w:t>
            </w:r>
          </w:p>
        </w:tc>
      </w:tr>
      <w:tr>
        <w:trPr/>
        <w:tc>
          <w:tcPr>
            <w:tcW w:w="505"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5</w:t>
            </w:r>
          </w:p>
        </w:tc>
        <w:tc>
          <w:tcPr>
            <w:tcW w:w="2654" w:type="dxa"/>
            <w:tcBorders>
              <w:top w:val="single" w:sz="4" w:space="0" w:color="000000"/>
              <w:left w:val="single" w:sz="4" w:space="0" w:color="000000"/>
              <w:bottom w:val="single" w:sz="4" w:space="0" w:color="000000"/>
              <w:right w:val="single" w:sz="4" w:space="0" w:color="000000"/>
            </w:tcBorders>
          </w:tcPr>
          <w:p>
            <w:pPr>
              <w:pStyle w:val="TableParagraph"/>
              <w:rPr/>
            </w:pPr>
            <w:r>
              <w:rPr>
                <w:color w:val="000000"/>
                <w:sz w:val="20"/>
                <w:szCs w:val="20"/>
              </w:rPr>
              <w:t>«Подъезд к д. Ватан»</w:t>
            </w:r>
          </w:p>
        </w:tc>
        <w:tc>
          <w:tcPr>
            <w:tcW w:w="1313"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rFonts w:ascii="Times New Roman" w:hAnsi="Times New Roman" w:cs="Times New Roman"/>
                <w:color w:val="000000"/>
                <w:sz w:val="20"/>
                <w:szCs w:val="20"/>
                <w:lang w:val="en-US"/>
              </w:rPr>
            </w:pPr>
            <w:r>
              <w:rPr>
                <w:rFonts w:cs="Times New Roman" w:ascii="Times New Roman" w:hAnsi="Times New Roman"/>
                <w:color w:val="000000"/>
                <w:sz w:val="20"/>
                <w:szCs w:val="20"/>
                <w:lang w:val="en-US"/>
              </w:rPr>
              <w:t>V</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0,76</w:t>
            </w:r>
          </w:p>
        </w:tc>
        <w:tc>
          <w:tcPr>
            <w:tcW w:w="137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w:t>
            </w:r>
          </w:p>
        </w:tc>
        <w:tc>
          <w:tcPr>
            <w:tcW w:w="1346"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0,76</w:t>
            </w:r>
          </w:p>
        </w:tc>
        <w:tc>
          <w:tcPr>
            <w:tcW w:w="1115"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w:t>
            </w:r>
          </w:p>
        </w:tc>
      </w:tr>
      <w:tr>
        <w:trPr/>
        <w:tc>
          <w:tcPr>
            <w:tcW w:w="505"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napToGrid w:val="false"/>
              <w:jc w:val="center"/>
              <w:rPr>
                <w:rStyle w:val="Style21"/>
                <w:rFonts w:ascii="Times New Roman" w:hAnsi="Times New Roman" w:cs="Times New Roman"/>
                <w:color w:val="000000"/>
                <w:sz w:val="20"/>
                <w:szCs w:val="20"/>
              </w:rPr>
            </w:pPr>
            <w:r>
              <w:rPr/>
            </w:r>
          </w:p>
        </w:tc>
        <w:tc>
          <w:tcPr>
            <w:tcW w:w="2654" w:type="dxa"/>
            <w:tcBorders>
              <w:top w:val="single" w:sz="4" w:space="0" w:color="000000"/>
              <w:left w:val="single" w:sz="4" w:space="0" w:color="000000"/>
              <w:bottom w:val="single" w:sz="4" w:space="0" w:color="000000"/>
              <w:right w:val="single" w:sz="4" w:space="0" w:color="000000"/>
            </w:tcBorders>
          </w:tcPr>
          <w:p>
            <w:pPr>
              <w:pStyle w:val="Style86"/>
              <w:tabs>
                <w:tab w:val="clear" w:pos="709"/>
                <w:tab w:val="right" w:pos="9345" w:leader="dot"/>
              </w:tabs>
              <w:jc w:val="center"/>
              <w:rPr/>
            </w:pPr>
            <w:r>
              <w:rPr>
                <w:rStyle w:val="Style21"/>
                <w:rFonts w:cs="Times New Roman" w:ascii="Times New Roman" w:hAnsi="Times New Roman"/>
                <w:color w:val="000000"/>
                <w:sz w:val="20"/>
                <w:szCs w:val="20"/>
              </w:rPr>
              <w:t>Всего</w:t>
            </w:r>
          </w:p>
        </w:tc>
        <w:tc>
          <w:tcPr>
            <w:tcW w:w="1313"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napToGrid w:val="false"/>
              <w:jc w:val="center"/>
              <w:rPr>
                <w:rStyle w:val="Style21"/>
                <w:rFonts w:ascii="Times New Roman" w:hAnsi="Times New Roman" w:cs="Times New Roman"/>
                <w:color w:val="000000"/>
                <w:sz w:val="20"/>
                <w:szCs w:val="20"/>
              </w:rPr>
            </w:pPr>
            <w:r>
              <w:rPr/>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11,59</w:t>
            </w:r>
          </w:p>
        </w:tc>
        <w:tc>
          <w:tcPr>
            <w:tcW w:w="137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4,95</w:t>
            </w:r>
          </w:p>
        </w:tc>
        <w:tc>
          <w:tcPr>
            <w:tcW w:w="1346"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6,21</w:t>
            </w:r>
          </w:p>
        </w:tc>
        <w:tc>
          <w:tcPr>
            <w:tcW w:w="1115"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1,95</w:t>
            </w:r>
          </w:p>
        </w:tc>
      </w:tr>
      <w:tr>
        <w:trPr/>
        <w:tc>
          <w:tcPr>
            <w:tcW w:w="9921" w:type="dxa"/>
            <w:gridSpan w:val="7"/>
            <w:tcBorders>
              <w:top w:val="single" w:sz="4" w:space="0" w:color="000000"/>
              <w:left w:val="single" w:sz="4" w:space="0" w:color="000000"/>
              <w:bottom w:val="single" w:sz="4" w:space="0" w:color="000000"/>
              <w:right w:val="single" w:sz="4" w:space="0" w:color="000000"/>
            </w:tcBorders>
          </w:tcPr>
          <w:p>
            <w:pPr>
              <w:pStyle w:val="Style86"/>
              <w:tabs>
                <w:tab w:val="clear" w:pos="709"/>
                <w:tab w:val="right" w:pos="9345" w:leader="dot"/>
              </w:tabs>
              <w:jc w:val="center"/>
              <w:rPr/>
            </w:pPr>
            <w:r>
              <w:rPr>
                <w:rStyle w:val="Style21"/>
                <w:rFonts w:cs="Times New Roman" w:ascii="Times New Roman" w:hAnsi="Times New Roman"/>
                <w:color w:val="000000"/>
                <w:sz w:val="20"/>
                <w:szCs w:val="20"/>
              </w:rPr>
              <w:t xml:space="preserve">Автомобильные дороги местного значения </w:t>
            </w:r>
          </w:p>
          <w:p>
            <w:pPr>
              <w:pStyle w:val="Style86"/>
              <w:tabs>
                <w:tab w:val="clear" w:pos="709"/>
                <w:tab w:val="right" w:pos="9345" w:leader="dot"/>
              </w:tabs>
              <w:jc w:val="center"/>
              <w:rPr/>
            </w:pPr>
            <w:r>
              <w:rPr>
                <w:rStyle w:val="Style21"/>
                <w:rFonts w:cs="Times New Roman" w:ascii="Times New Roman" w:hAnsi="Times New Roman"/>
                <w:color w:val="000000"/>
                <w:sz w:val="20"/>
                <w:szCs w:val="20"/>
              </w:rPr>
              <w:t>(за исключением улично-дорожной сети населенных пунктов)</w:t>
            </w:r>
          </w:p>
        </w:tc>
      </w:tr>
      <w:tr>
        <w:trPr/>
        <w:tc>
          <w:tcPr>
            <w:tcW w:w="505"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1</w:t>
            </w:r>
          </w:p>
        </w:tc>
        <w:tc>
          <w:tcPr>
            <w:tcW w:w="2654" w:type="dxa"/>
            <w:tcBorders>
              <w:top w:val="single" w:sz="4" w:space="0" w:color="000000"/>
              <w:left w:val="single" w:sz="4" w:space="0" w:color="000000"/>
              <w:bottom w:val="single" w:sz="4" w:space="0" w:color="000000"/>
              <w:right w:val="single" w:sz="4" w:space="0" w:color="000000"/>
            </w:tcBorders>
          </w:tcPr>
          <w:p>
            <w:pPr>
              <w:pStyle w:val="TableParagraph"/>
              <w:rPr/>
            </w:pPr>
            <w:r>
              <w:rPr>
                <w:color w:val="000000"/>
                <w:sz w:val="20"/>
                <w:szCs w:val="20"/>
              </w:rPr>
              <w:t>«Подъезд к п.Бакча-Сарай»</w:t>
            </w:r>
          </w:p>
        </w:tc>
        <w:tc>
          <w:tcPr>
            <w:tcW w:w="1313"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0,45</w:t>
            </w:r>
          </w:p>
        </w:tc>
        <w:tc>
          <w:tcPr>
            <w:tcW w:w="137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w:t>
            </w:r>
          </w:p>
        </w:tc>
        <w:tc>
          <w:tcPr>
            <w:tcW w:w="1346"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w:t>
            </w:r>
          </w:p>
        </w:tc>
        <w:tc>
          <w:tcPr>
            <w:tcW w:w="1115"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0,45</w:t>
            </w:r>
          </w:p>
        </w:tc>
      </w:tr>
      <w:tr>
        <w:trPr/>
        <w:tc>
          <w:tcPr>
            <w:tcW w:w="505"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2</w:t>
            </w:r>
          </w:p>
        </w:tc>
        <w:tc>
          <w:tcPr>
            <w:tcW w:w="2654"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rPr/>
            </w:pPr>
            <w:r>
              <w:rPr>
                <w:rStyle w:val="Style21"/>
                <w:rFonts w:cs="Times New Roman" w:ascii="Times New Roman" w:hAnsi="Times New Roman"/>
                <w:color w:val="000000"/>
                <w:sz w:val="20"/>
                <w:szCs w:val="20"/>
              </w:rPr>
              <w:t>«Подъезд к кладбищу д.Ватан»</w:t>
            </w:r>
          </w:p>
        </w:tc>
        <w:tc>
          <w:tcPr>
            <w:tcW w:w="1313"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0,34</w:t>
            </w:r>
          </w:p>
        </w:tc>
        <w:tc>
          <w:tcPr>
            <w:tcW w:w="137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w:t>
            </w:r>
          </w:p>
        </w:tc>
        <w:tc>
          <w:tcPr>
            <w:tcW w:w="1346"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w:t>
            </w:r>
          </w:p>
        </w:tc>
        <w:tc>
          <w:tcPr>
            <w:tcW w:w="1115"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0,34</w:t>
            </w:r>
          </w:p>
        </w:tc>
      </w:tr>
      <w:tr>
        <w:trPr/>
        <w:tc>
          <w:tcPr>
            <w:tcW w:w="505"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3</w:t>
            </w:r>
          </w:p>
        </w:tc>
        <w:tc>
          <w:tcPr>
            <w:tcW w:w="2654"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rPr/>
            </w:pPr>
            <w:r>
              <w:rPr>
                <w:rStyle w:val="Style21"/>
                <w:rFonts w:cs="Times New Roman" w:ascii="Times New Roman" w:hAnsi="Times New Roman"/>
                <w:color w:val="000000"/>
                <w:sz w:val="20"/>
                <w:szCs w:val="20"/>
              </w:rPr>
              <w:t>«Подъезд к причалу п.Бакча-Сарай»</w:t>
            </w:r>
          </w:p>
        </w:tc>
        <w:tc>
          <w:tcPr>
            <w:tcW w:w="1313"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0,28</w:t>
            </w:r>
          </w:p>
        </w:tc>
        <w:tc>
          <w:tcPr>
            <w:tcW w:w="137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w:t>
            </w:r>
          </w:p>
        </w:tc>
        <w:tc>
          <w:tcPr>
            <w:tcW w:w="1346"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w:t>
            </w:r>
          </w:p>
        </w:tc>
        <w:tc>
          <w:tcPr>
            <w:tcW w:w="1115"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0,28</w:t>
            </w:r>
          </w:p>
        </w:tc>
      </w:tr>
      <w:tr>
        <w:trPr/>
        <w:tc>
          <w:tcPr>
            <w:tcW w:w="505"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4</w:t>
            </w:r>
          </w:p>
        </w:tc>
        <w:tc>
          <w:tcPr>
            <w:tcW w:w="2654"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rPr/>
            </w:pPr>
            <w:r>
              <w:rPr>
                <w:rStyle w:val="Style21"/>
                <w:rFonts w:cs="Times New Roman" w:ascii="Times New Roman" w:hAnsi="Times New Roman"/>
                <w:color w:val="000000"/>
                <w:sz w:val="20"/>
                <w:szCs w:val="20"/>
              </w:rPr>
              <w:t>«Объезд с.Ташевка»</w:t>
            </w:r>
          </w:p>
        </w:tc>
        <w:tc>
          <w:tcPr>
            <w:tcW w:w="1313"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2,24</w:t>
            </w:r>
          </w:p>
        </w:tc>
        <w:tc>
          <w:tcPr>
            <w:tcW w:w="137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w:t>
            </w:r>
          </w:p>
        </w:tc>
        <w:tc>
          <w:tcPr>
            <w:tcW w:w="1346"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w:t>
            </w:r>
          </w:p>
        </w:tc>
        <w:tc>
          <w:tcPr>
            <w:tcW w:w="1115"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2,24</w:t>
            </w:r>
          </w:p>
        </w:tc>
      </w:tr>
      <w:tr>
        <w:trPr/>
        <w:tc>
          <w:tcPr>
            <w:tcW w:w="505"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5</w:t>
            </w:r>
          </w:p>
        </w:tc>
        <w:tc>
          <w:tcPr>
            <w:tcW w:w="2654"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rPr/>
            </w:pPr>
            <w:r>
              <w:rPr>
                <w:rStyle w:val="Style21"/>
                <w:rFonts w:cs="Times New Roman" w:ascii="Times New Roman" w:hAnsi="Times New Roman"/>
                <w:color w:val="000000"/>
                <w:sz w:val="20"/>
                <w:szCs w:val="20"/>
              </w:rPr>
              <w:t>«Подъезд к дачным участкам д.Гребени»</w:t>
            </w:r>
          </w:p>
        </w:tc>
        <w:tc>
          <w:tcPr>
            <w:tcW w:w="1313"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0,42</w:t>
            </w:r>
          </w:p>
        </w:tc>
        <w:tc>
          <w:tcPr>
            <w:tcW w:w="137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w:t>
            </w:r>
          </w:p>
        </w:tc>
        <w:tc>
          <w:tcPr>
            <w:tcW w:w="1346"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w:t>
            </w:r>
          </w:p>
        </w:tc>
        <w:tc>
          <w:tcPr>
            <w:tcW w:w="1115"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0,42</w:t>
            </w:r>
          </w:p>
        </w:tc>
      </w:tr>
      <w:tr>
        <w:trPr/>
        <w:tc>
          <w:tcPr>
            <w:tcW w:w="505"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napToGrid w:val="false"/>
              <w:jc w:val="center"/>
              <w:rPr>
                <w:rStyle w:val="Style21"/>
                <w:rFonts w:ascii="Times New Roman" w:hAnsi="Times New Roman" w:cs="Times New Roman"/>
                <w:color w:val="000000"/>
                <w:sz w:val="20"/>
                <w:szCs w:val="20"/>
              </w:rPr>
            </w:pPr>
            <w:r>
              <w:rPr/>
            </w:r>
          </w:p>
        </w:tc>
        <w:tc>
          <w:tcPr>
            <w:tcW w:w="2654"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Всего</w:t>
            </w:r>
          </w:p>
        </w:tc>
        <w:tc>
          <w:tcPr>
            <w:tcW w:w="1313"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napToGrid w:val="false"/>
              <w:jc w:val="center"/>
              <w:rPr>
                <w:rStyle w:val="Style21"/>
                <w:rFonts w:ascii="Times New Roman" w:hAnsi="Times New Roman" w:cs="Times New Roman"/>
                <w:color w:val="000000"/>
                <w:sz w:val="20"/>
                <w:szCs w:val="20"/>
              </w:rPr>
            </w:pPr>
            <w:r>
              <w:rPr/>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3,73</w:t>
            </w:r>
          </w:p>
        </w:tc>
        <w:tc>
          <w:tcPr>
            <w:tcW w:w="137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w:t>
            </w:r>
          </w:p>
        </w:tc>
        <w:tc>
          <w:tcPr>
            <w:tcW w:w="1346"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w:t>
            </w:r>
          </w:p>
        </w:tc>
        <w:tc>
          <w:tcPr>
            <w:tcW w:w="1115"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3,73</w:t>
            </w:r>
          </w:p>
        </w:tc>
      </w:tr>
      <w:tr>
        <w:trPr/>
        <w:tc>
          <w:tcPr>
            <w:tcW w:w="505"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napToGrid w:val="false"/>
              <w:jc w:val="center"/>
              <w:rPr>
                <w:rStyle w:val="Style21"/>
                <w:rFonts w:ascii="Times New Roman" w:hAnsi="Times New Roman" w:cs="Times New Roman"/>
                <w:color w:val="000000"/>
                <w:sz w:val="20"/>
                <w:szCs w:val="20"/>
              </w:rPr>
            </w:pPr>
            <w:r>
              <w:rPr/>
            </w:r>
          </w:p>
        </w:tc>
        <w:tc>
          <w:tcPr>
            <w:tcW w:w="2654"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ИТОГО</w:t>
            </w:r>
          </w:p>
        </w:tc>
        <w:tc>
          <w:tcPr>
            <w:tcW w:w="1313"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napToGrid w:val="false"/>
              <w:jc w:val="center"/>
              <w:rPr>
                <w:rStyle w:val="Style21"/>
                <w:rFonts w:ascii="Times New Roman" w:hAnsi="Times New Roman" w:cs="Times New Roman"/>
                <w:color w:val="000000"/>
                <w:sz w:val="20"/>
                <w:szCs w:val="20"/>
              </w:rPr>
            </w:pPr>
            <w:r>
              <w:rPr/>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15,32</w:t>
            </w:r>
          </w:p>
        </w:tc>
        <w:tc>
          <w:tcPr>
            <w:tcW w:w="137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4,95</w:t>
            </w:r>
          </w:p>
        </w:tc>
        <w:tc>
          <w:tcPr>
            <w:tcW w:w="1346"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6,21</w:t>
            </w:r>
          </w:p>
        </w:tc>
        <w:tc>
          <w:tcPr>
            <w:tcW w:w="1115"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5,68</w:t>
            </w:r>
          </w:p>
        </w:tc>
      </w:tr>
    </w:tbl>
    <w:p>
      <w:pPr>
        <w:pStyle w:val="Style86"/>
        <w:rPr>
          <w:rStyle w:val="Style21"/>
          <w:rFonts w:ascii="Times New Roman" w:hAnsi="Times New Roman" w:cs="Times New Roman"/>
          <w:color w:val="FF0066"/>
          <w:sz w:val="28"/>
          <w:szCs w:val="28"/>
        </w:rPr>
      </w:pPr>
      <w:r>
        <w:rPr/>
      </w:r>
    </w:p>
    <w:p>
      <w:pPr>
        <w:pStyle w:val="Style86"/>
        <w:jc w:val="center"/>
        <w:rPr/>
      </w:pPr>
      <w:r>
        <w:rPr>
          <w:rStyle w:val="Style21"/>
          <w:rFonts w:cs="Times New Roman" w:ascii="Times New Roman" w:hAnsi="Times New Roman"/>
          <w:b/>
          <w:color w:val="000000"/>
          <w:sz w:val="28"/>
          <w:szCs w:val="28"/>
        </w:rPr>
        <w:t>Трубопроводный транспорт</w:t>
      </w:r>
    </w:p>
    <w:p>
      <w:pPr>
        <w:pStyle w:val="Style86"/>
        <w:ind w:firstLine="700"/>
        <w:jc w:val="both"/>
        <w:rPr/>
      </w:pPr>
      <w:r>
        <w:rPr>
          <w:rStyle w:val="Style21"/>
          <w:rFonts w:cs="Times New Roman" w:ascii="Times New Roman" w:hAnsi="Times New Roman"/>
          <w:color w:val="000000"/>
          <w:sz w:val="28"/>
          <w:szCs w:val="28"/>
        </w:rPr>
        <w:t>Трубопроводный транспорт – специфический узкоспециализированный вид транспорта, осуществляющий передачу (перекачку) по трубопроводам жидких, газообразных или твердых полупродуктов. По территории Вахитовского сельского поселения проходит магистральный нефтепродуктопровод Альметьевск-Н.Новгород.</w:t>
      </w:r>
    </w:p>
    <w:p>
      <w:pPr>
        <w:pStyle w:val="Style86"/>
        <w:ind w:firstLine="700"/>
        <w:jc w:val="both"/>
        <w:rPr>
          <w:rStyle w:val="Style21"/>
          <w:rFonts w:ascii="Times New Roman" w:hAnsi="Times New Roman" w:cs="Times New Roman"/>
          <w:color w:val="000000"/>
          <w:sz w:val="28"/>
          <w:szCs w:val="28"/>
        </w:rPr>
      </w:pPr>
      <w:r>
        <w:rPr/>
      </w:r>
    </w:p>
    <w:p>
      <w:pPr>
        <w:pStyle w:val="Style86"/>
        <w:ind w:firstLine="700"/>
        <w:jc w:val="center"/>
        <w:rPr/>
      </w:pPr>
      <w:r>
        <w:rPr>
          <w:rStyle w:val="Style21"/>
          <w:rFonts w:cs="Times New Roman" w:ascii="Times New Roman" w:hAnsi="Times New Roman"/>
          <w:b/>
          <w:color w:val="000000"/>
          <w:sz w:val="28"/>
          <w:szCs w:val="28"/>
        </w:rPr>
        <w:t>Водный транспорт</w:t>
      </w:r>
    </w:p>
    <w:p>
      <w:pPr>
        <w:pStyle w:val="Style30"/>
        <w:rPr/>
      </w:pPr>
      <w:r>
        <w:rPr>
          <w:szCs w:val="28"/>
        </w:rPr>
        <w:t>Водный транспорт представлен несколькими судоходными маршрутами, проходящими по Куйбышевскому водохранилищу</w:t>
      </w:r>
      <w:r>
        <w:rPr>
          <w:szCs w:val="28"/>
          <w:lang w:val="ru-RU"/>
        </w:rPr>
        <w:t xml:space="preserve"> в</w:t>
      </w:r>
      <w:r>
        <w:rPr>
          <w:szCs w:val="28"/>
        </w:rPr>
        <w:t xml:space="preserve"> восточной част</w:t>
      </w:r>
      <w:r>
        <w:rPr>
          <w:szCs w:val="28"/>
          <w:lang w:val="ru-RU"/>
        </w:rPr>
        <w:t>и</w:t>
      </w:r>
      <w:r>
        <w:rPr>
          <w:szCs w:val="28"/>
        </w:rPr>
        <w:t xml:space="preserve"> поселения.</w:t>
      </w:r>
    </w:p>
    <w:p>
      <w:pPr>
        <w:pStyle w:val="Style30"/>
        <w:rPr/>
      </w:pPr>
      <w:r>
        <w:rPr>
          <w:szCs w:val="28"/>
        </w:rPr>
        <w:t xml:space="preserve">В </w:t>
      </w:r>
      <w:r>
        <w:rPr>
          <w:szCs w:val="28"/>
          <w:lang w:val="ru-RU"/>
        </w:rPr>
        <w:t>населенных пунктах Ташевка и Бакча-Сарай</w:t>
      </w:r>
      <w:r>
        <w:rPr>
          <w:szCs w:val="28"/>
        </w:rPr>
        <w:t xml:space="preserve"> располага</w:t>
      </w:r>
      <w:r>
        <w:rPr>
          <w:szCs w:val="28"/>
          <w:lang w:val="ru-RU"/>
        </w:rPr>
        <w:t>ю</w:t>
      </w:r>
      <w:r>
        <w:rPr>
          <w:szCs w:val="28"/>
        </w:rPr>
        <w:t>тся при</w:t>
      </w:r>
      <w:r>
        <w:rPr>
          <w:szCs w:val="28"/>
          <w:lang w:val="ru-RU"/>
        </w:rPr>
        <w:t>чалы</w:t>
      </w:r>
      <w:r>
        <w:rPr>
          <w:szCs w:val="28"/>
        </w:rPr>
        <w:t xml:space="preserve"> для пассажирских</w:t>
      </w:r>
      <w:r>
        <w:rPr>
          <w:szCs w:val="28"/>
          <w:lang w:val="ru-RU"/>
        </w:rPr>
        <w:t xml:space="preserve"> и грузовых</w:t>
      </w:r>
      <w:r>
        <w:rPr>
          <w:szCs w:val="28"/>
        </w:rPr>
        <w:t xml:space="preserve"> судов.</w:t>
      </w:r>
    </w:p>
    <w:p>
      <w:pPr>
        <w:pStyle w:val="Style86"/>
        <w:jc w:val="center"/>
        <w:rPr/>
      </w:pPr>
      <w:r>
        <w:rPr>
          <w:rStyle w:val="Style21"/>
          <w:rFonts w:cs="Times New Roman" w:ascii="Times New Roman" w:hAnsi="Times New Roman"/>
          <w:b/>
          <w:color w:val="000000"/>
          <w:sz w:val="28"/>
          <w:szCs w:val="28"/>
        </w:rPr>
        <w:t>Улично-дорожная сеть населенных пунктов</w:t>
      </w:r>
    </w:p>
    <w:p>
      <w:pPr>
        <w:pStyle w:val="Normal"/>
        <w:tabs>
          <w:tab w:val="clear" w:pos="709"/>
          <w:tab w:val="left" w:pos="993" w:leader="none"/>
        </w:tabs>
        <w:ind w:firstLine="720"/>
        <w:jc w:val="both"/>
        <w:rPr/>
      </w:pPr>
      <w:r>
        <w:rPr>
          <w:color w:val="000000"/>
          <w:szCs w:val="28"/>
        </w:rPr>
        <w:t>Автомобильные дороги, расположенные в границах населенных пунктов, делятся на главную улицу и улицу в жилой застройке. Главная улица осуществляет связь жилых территорий с общественным центром. Улица в жилой застройке осуществляет связь внутри жилых территорий с главной улицей.</w:t>
      </w:r>
    </w:p>
    <w:p>
      <w:pPr>
        <w:pStyle w:val="Normal"/>
        <w:jc w:val="both"/>
        <w:rPr/>
      </w:pPr>
      <w:r>
        <w:rPr>
          <w:color w:val="000000"/>
        </w:rPr>
        <w:t>Административным центром Вахитовского сельского поселения является д.им. Мулланура Вахитова. Главной улицей населенного пункта является ул. Центральная, по которой осуществляется въезд в д.им. Мулланура Вахитова.</w:t>
      </w:r>
    </w:p>
    <w:p>
      <w:pPr>
        <w:pStyle w:val="Normal"/>
        <w:tabs>
          <w:tab w:val="clear" w:pos="709"/>
          <w:tab w:val="left" w:pos="993" w:leader="none"/>
        </w:tabs>
        <w:ind w:firstLine="720"/>
        <w:jc w:val="both"/>
        <w:rPr/>
      </w:pPr>
      <w:r>
        <w:rPr>
          <w:color w:val="000000"/>
          <w:szCs w:val="28"/>
        </w:rPr>
        <w:t>Информация об улично-дорожной сети населенных пунктов представлена в таблице 3.12.2.</w:t>
      </w:r>
    </w:p>
    <w:p>
      <w:pPr>
        <w:pStyle w:val="Normal"/>
        <w:tabs>
          <w:tab w:val="clear" w:pos="709"/>
          <w:tab w:val="left" w:pos="993" w:leader="none"/>
        </w:tabs>
        <w:jc w:val="both"/>
        <w:rPr>
          <w:color w:val="000000"/>
          <w:szCs w:val="28"/>
        </w:rPr>
      </w:pPr>
      <w:r>
        <w:rPr>
          <w:color w:val="000000"/>
          <w:szCs w:val="28"/>
        </w:rPr>
      </w:r>
    </w:p>
    <w:p>
      <w:pPr>
        <w:pStyle w:val="Style78"/>
        <w:jc w:val="both"/>
        <w:rPr/>
      </w:pPr>
      <w:r>
        <w:rPr>
          <w:color w:val="000000"/>
          <w:szCs w:val="28"/>
        </w:rPr>
        <w:t>Таблица 3.12.2</w:t>
      </w:r>
    </w:p>
    <w:p>
      <w:pPr>
        <w:pStyle w:val="Style56"/>
        <w:spacing w:lineRule="auto" w:line="276"/>
        <w:ind w:firstLine="700"/>
        <w:jc w:val="both"/>
        <w:rPr/>
      </w:pPr>
      <w:r>
        <w:rPr>
          <w:i w:val="false"/>
          <w:color w:val="000000"/>
        </w:rPr>
        <w:t xml:space="preserve">Характеристика состояния улично-дорожной сети населенных пунктов, входящих в состав Вахитовского сельского поселения </w:t>
      </w:r>
      <w:r>
        <w:rPr>
          <w:i w:val="false"/>
          <w:color w:val="000000"/>
          <w:szCs w:val="28"/>
        </w:rPr>
        <w:t>Верхнеуслонского</w:t>
      </w:r>
      <w:r>
        <w:rPr/>
        <w:t xml:space="preserve"> муниципального района Республики Татарстан</w:t>
      </w:r>
    </w:p>
    <w:tbl>
      <w:tblPr>
        <w:tblW w:w="9675" w:type="dxa"/>
        <w:jc w:val="center"/>
        <w:tblInd w:w="0" w:type="dxa"/>
        <w:tblLayout w:type="fixed"/>
        <w:tblCellMar>
          <w:top w:w="0" w:type="dxa"/>
          <w:left w:w="108" w:type="dxa"/>
          <w:bottom w:w="0" w:type="dxa"/>
          <w:right w:w="108" w:type="dxa"/>
        </w:tblCellMar>
      </w:tblPr>
      <w:tblGrid>
        <w:gridCol w:w="728"/>
        <w:gridCol w:w="22"/>
        <w:gridCol w:w="2671"/>
        <w:gridCol w:w="1843"/>
        <w:gridCol w:w="1559"/>
        <w:gridCol w:w="1418"/>
        <w:gridCol w:w="1434"/>
      </w:tblGrid>
      <w:tr>
        <w:trPr>
          <w:tblHeader w:val="true"/>
          <w:trHeight w:val="285" w:hRule="atLeast"/>
        </w:trPr>
        <w:tc>
          <w:tcPr>
            <w:tcW w:w="728" w:type="dxa"/>
            <w:vMerge w:val="restart"/>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both"/>
              <w:rPr/>
            </w:pPr>
            <w:r>
              <w:rPr>
                <w:rStyle w:val="Style21"/>
                <w:rFonts w:cs="Times New Roman" w:ascii="Times New Roman" w:hAnsi="Times New Roman"/>
                <w:color w:val="000000"/>
                <w:sz w:val="20"/>
                <w:szCs w:val="20"/>
              </w:rPr>
              <w:t>№</w:t>
            </w:r>
            <w:r>
              <w:rPr>
                <w:rStyle w:val="Style21"/>
                <w:rFonts w:eastAsia="Times New Roman" w:cs="Times New Roman" w:ascii="Times New Roman" w:hAnsi="Times New Roman"/>
                <w:color w:val="000000"/>
                <w:sz w:val="20"/>
                <w:szCs w:val="20"/>
              </w:rPr>
              <w:t xml:space="preserve"> </w:t>
            </w:r>
            <w:r>
              <w:rPr>
                <w:rStyle w:val="Style21"/>
                <w:rFonts w:cs="Times New Roman" w:ascii="Times New Roman" w:hAnsi="Times New Roman"/>
                <w:color w:val="000000"/>
                <w:sz w:val="20"/>
                <w:szCs w:val="20"/>
              </w:rPr>
              <w:t>п/п</w:t>
            </w:r>
          </w:p>
        </w:tc>
        <w:tc>
          <w:tcPr>
            <w:tcW w:w="2693"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both"/>
              <w:rPr/>
            </w:pPr>
            <w:r>
              <w:rPr>
                <w:rStyle w:val="Style21"/>
                <w:rFonts w:cs="Times New Roman" w:ascii="Times New Roman" w:hAnsi="Times New Roman"/>
                <w:color w:val="000000"/>
                <w:sz w:val="20"/>
                <w:szCs w:val="20"/>
              </w:rPr>
              <w:t>Название улиц</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both"/>
              <w:rPr/>
            </w:pPr>
            <w:r>
              <w:rPr>
                <w:rStyle w:val="Style21"/>
                <w:rFonts w:cs="Times New Roman" w:ascii="Times New Roman" w:hAnsi="Times New Roman"/>
                <w:color w:val="000000"/>
                <w:sz w:val="20"/>
                <w:szCs w:val="20"/>
              </w:rPr>
              <w:t>Протяженность,</w:t>
            </w:r>
          </w:p>
          <w:p>
            <w:pPr>
              <w:pStyle w:val="Style86"/>
              <w:tabs>
                <w:tab w:val="clear" w:pos="709"/>
                <w:tab w:val="right" w:pos="9345" w:leader="dot"/>
              </w:tabs>
              <w:jc w:val="both"/>
              <w:rPr/>
            </w:pPr>
            <w:r>
              <w:rPr>
                <w:rStyle w:val="Style21"/>
                <w:rFonts w:cs="Times New Roman" w:ascii="Times New Roman" w:hAnsi="Times New Roman"/>
                <w:color w:val="000000"/>
                <w:sz w:val="20"/>
                <w:szCs w:val="20"/>
              </w:rPr>
              <w:t>км</w:t>
            </w:r>
          </w:p>
        </w:tc>
        <w:tc>
          <w:tcPr>
            <w:tcW w:w="4411" w:type="dxa"/>
            <w:gridSpan w:val="3"/>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both"/>
              <w:rPr/>
            </w:pPr>
            <w:r>
              <w:rPr>
                <w:rStyle w:val="Style21"/>
                <w:rFonts w:cs="Times New Roman" w:ascii="Times New Roman" w:hAnsi="Times New Roman"/>
                <w:color w:val="000000"/>
                <w:sz w:val="20"/>
                <w:szCs w:val="20"/>
              </w:rPr>
              <w:t>В том числе:</w:t>
            </w:r>
          </w:p>
        </w:tc>
      </w:tr>
      <w:tr>
        <w:trPr>
          <w:tblHeader w:val="true"/>
          <w:trHeight w:val="183" w:hRule="atLeast"/>
        </w:trPr>
        <w:tc>
          <w:tcPr>
            <w:tcW w:w="72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both"/>
              <w:rPr>
                <w:rStyle w:val="Style21"/>
                <w:color w:val="000000"/>
                <w:sz w:val="20"/>
                <w:szCs w:val="20"/>
              </w:rPr>
            </w:pPr>
            <w:r>
              <w:rPr/>
            </w:r>
          </w:p>
        </w:tc>
        <w:tc>
          <w:tcPr>
            <w:tcW w:w="2693"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napToGrid w:val="false"/>
              <w:jc w:val="both"/>
              <w:rPr>
                <w:rStyle w:val="Style21"/>
                <w:rFonts w:ascii="Times New Roman" w:hAnsi="Times New Roman" w:cs="Times New Roman"/>
                <w:color w:val="000000"/>
                <w:sz w:val="20"/>
                <w:szCs w:val="20"/>
              </w:rPr>
            </w:pPr>
            <w:r>
              <w:rPr/>
            </w:r>
          </w:p>
        </w:tc>
        <w:tc>
          <w:tcPr>
            <w:tcW w:w="184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both"/>
              <w:rPr>
                <w:rStyle w:val="Style21"/>
                <w:color w:val="000000"/>
                <w:sz w:val="20"/>
                <w:szCs w:val="20"/>
              </w:rPr>
            </w:pPr>
            <w:r>
              <w:rPr/>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both"/>
              <w:rPr/>
            </w:pPr>
            <w:r>
              <w:rPr>
                <w:rStyle w:val="Style21"/>
                <w:rFonts w:cs="Times New Roman" w:ascii="Times New Roman" w:hAnsi="Times New Roman"/>
                <w:color w:val="000000"/>
                <w:sz w:val="20"/>
                <w:szCs w:val="20"/>
              </w:rPr>
              <w:t>асфальто</w:t>
            </w:r>
            <w:r>
              <w:rPr>
                <w:rStyle w:val="Style21"/>
                <w:rFonts w:cs="Times New Roman" w:ascii="Times New Roman" w:hAnsi="Times New Roman"/>
                <w:color w:val="000000"/>
                <w:sz w:val="20"/>
                <w:szCs w:val="20"/>
                <w:lang w:val="en-US"/>
              </w:rPr>
              <w:t xml:space="preserve">- </w:t>
            </w:r>
            <w:r>
              <w:rPr>
                <w:rStyle w:val="Style21"/>
                <w:rFonts w:cs="Times New Roman" w:ascii="Times New Roman" w:hAnsi="Times New Roman"/>
                <w:color w:val="000000"/>
                <w:sz w:val="20"/>
                <w:szCs w:val="20"/>
              </w:rPr>
              <w:t>бетонное покрытие, км</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both"/>
              <w:rPr/>
            </w:pPr>
            <w:r>
              <w:rPr>
                <w:rStyle w:val="Style21"/>
                <w:rFonts w:cs="Times New Roman" w:ascii="Times New Roman" w:hAnsi="Times New Roman"/>
                <w:color w:val="000000"/>
                <w:sz w:val="20"/>
                <w:szCs w:val="20"/>
              </w:rPr>
              <w:t>переходное</w:t>
            </w:r>
          </w:p>
          <w:p>
            <w:pPr>
              <w:pStyle w:val="Style86"/>
              <w:tabs>
                <w:tab w:val="clear" w:pos="709"/>
                <w:tab w:val="right" w:pos="9345" w:leader="dot"/>
              </w:tabs>
              <w:jc w:val="both"/>
              <w:rPr/>
            </w:pPr>
            <w:r>
              <w:rPr>
                <w:rStyle w:val="Style21"/>
                <w:rFonts w:cs="Times New Roman" w:ascii="Times New Roman" w:hAnsi="Times New Roman"/>
                <w:color w:val="000000"/>
                <w:sz w:val="20"/>
                <w:szCs w:val="20"/>
              </w:rPr>
              <w:t>покрытие, км</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both"/>
              <w:rPr/>
            </w:pPr>
            <w:r>
              <w:rPr>
                <w:rStyle w:val="Style21"/>
                <w:rFonts w:cs="Times New Roman" w:ascii="Times New Roman" w:hAnsi="Times New Roman"/>
                <w:color w:val="000000"/>
                <w:sz w:val="20"/>
                <w:szCs w:val="20"/>
              </w:rPr>
              <w:t>грунтовое покрытие, км</w:t>
            </w:r>
          </w:p>
        </w:tc>
      </w:tr>
      <w:tr>
        <w:trPr>
          <w:trHeight w:val="351" w:hRule="atLeast"/>
        </w:trPr>
        <w:tc>
          <w:tcPr>
            <w:tcW w:w="72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both"/>
              <w:rPr/>
            </w:pPr>
            <w:r>
              <w:rPr>
                <w:rStyle w:val="Style21"/>
                <w:rFonts w:cs="Times New Roman" w:ascii="Times New Roman" w:hAnsi="Times New Roman"/>
                <w:color w:val="000000"/>
                <w:sz w:val="20"/>
                <w:szCs w:val="20"/>
              </w:rPr>
              <w:t>1</w:t>
            </w:r>
          </w:p>
        </w:tc>
        <w:tc>
          <w:tcPr>
            <w:tcW w:w="8947" w:type="dxa"/>
            <w:gridSpan w:val="6"/>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both"/>
              <w:rPr/>
            </w:pPr>
            <w:r>
              <w:rPr>
                <w:rStyle w:val="Style21"/>
                <w:rFonts w:cs="Times New Roman" w:ascii="Times New Roman" w:hAnsi="Times New Roman"/>
                <w:color w:val="000000"/>
                <w:sz w:val="20"/>
                <w:szCs w:val="20"/>
              </w:rPr>
              <w:t>д.им. Мулланура Вахитова</w:t>
            </w:r>
          </w:p>
        </w:tc>
      </w:tr>
      <w:tr>
        <w:trPr>
          <w:trHeight w:val="329" w:hRule="atLeast"/>
        </w:trPr>
        <w:tc>
          <w:tcPr>
            <w:tcW w:w="72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both"/>
              <w:rPr/>
            </w:pPr>
            <w:r>
              <w:rPr>
                <w:rStyle w:val="Style21"/>
                <w:rFonts w:cs="Times New Roman" w:ascii="Times New Roman" w:hAnsi="Times New Roman"/>
                <w:color w:val="000000"/>
                <w:sz w:val="20"/>
                <w:szCs w:val="20"/>
              </w:rPr>
              <w:t>1.1</w:t>
            </w:r>
          </w:p>
        </w:tc>
        <w:tc>
          <w:tcPr>
            <w:tcW w:w="2693"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262"/>
              <w:ind w:left="107" w:hanging="0"/>
              <w:jc w:val="both"/>
              <w:rPr/>
            </w:pPr>
            <w:r>
              <w:rPr>
                <w:color w:val="000000"/>
                <w:sz w:val="20"/>
                <w:szCs w:val="20"/>
              </w:rPr>
              <w:t>ул.Центральная</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1,07</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1,07</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r>
      <w:tr>
        <w:trPr>
          <w:trHeight w:val="329" w:hRule="atLeast"/>
        </w:trPr>
        <w:tc>
          <w:tcPr>
            <w:tcW w:w="72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both"/>
              <w:rPr/>
            </w:pPr>
            <w:r>
              <w:rPr>
                <w:rStyle w:val="Style21"/>
                <w:rFonts w:cs="Times New Roman" w:ascii="Times New Roman" w:hAnsi="Times New Roman"/>
                <w:color w:val="000000"/>
                <w:sz w:val="20"/>
                <w:szCs w:val="20"/>
              </w:rPr>
              <w:t>1.2</w:t>
            </w:r>
          </w:p>
        </w:tc>
        <w:tc>
          <w:tcPr>
            <w:tcW w:w="2693"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262"/>
              <w:ind w:left="107" w:hanging="0"/>
              <w:jc w:val="both"/>
              <w:rPr/>
            </w:pPr>
            <w:r>
              <w:rPr>
                <w:color w:val="000000"/>
                <w:sz w:val="20"/>
                <w:szCs w:val="20"/>
              </w:rPr>
              <w:t>ул.Молодежная</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0,52</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0,52</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r>
      <w:tr>
        <w:trPr>
          <w:trHeight w:val="329" w:hRule="atLeast"/>
        </w:trPr>
        <w:tc>
          <w:tcPr>
            <w:tcW w:w="72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both"/>
              <w:rPr/>
            </w:pPr>
            <w:r>
              <w:rPr>
                <w:rStyle w:val="Style21"/>
                <w:rFonts w:cs="Times New Roman" w:ascii="Times New Roman" w:hAnsi="Times New Roman"/>
                <w:color w:val="000000"/>
                <w:sz w:val="20"/>
                <w:szCs w:val="20"/>
              </w:rPr>
              <w:t>1.3</w:t>
            </w:r>
          </w:p>
        </w:tc>
        <w:tc>
          <w:tcPr>
            <w:tcW w:w="2693"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256"/>
              <w:ind w:left="107" w:hanging="0"/>
              <w:jc w:val="both"/>
              <w:rPr/>
            </w:pPr>
            <w:r>
              <w:rPr>
                <w:color w:val="000000"/>
                <w:sz w:val="20"/>
                <w:szCs w:val="20"/>
              </w:rPr>
              <w:t>ул.Новая</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0,99</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0,99</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r>
      <w:tr>
        <w:trPr>
          <w:trHeight w:val="329" w:hRule="atLeast"/>
        </w:trPr>
        <w:tc>
          <w:tcPr>
            <w:tcW w:w="72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both"/>
              <w:rPr/>
            </w:pPr>
            <w:r>
              <w:rPr>
                <w:rStyle w:val="Style21"/>
                <w:rFonts w:cs="Times New Roman" w:ascii="Times New Roman" w:hAnsi="Times New Roman"/>
                <w:color w:val="000000"/>
                <w:sz w:val="20"/>
                <w:szCs w:val="20"/>
              </w:rPr>
              <w:t>1.4</w:t>
            </w:r>
          </w:p>
        </w:tc>
        <w:tc>
          <w:tcPr>
            <w:tcW w:w="2693"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256"/>
              <w:ind w:left="107" w:hanging="0"/>
              <w:jc w:val="both"/>
              <w:rPr/>
            </w:pPr>
            <w:r>
              <w:rPr>
                <w:color w:val="000000"/>
                <w:sz w:val="20"/>
                <w:szCs w:val="20"/>
              </w:rPr>
              <w:t>ул.Верхняя</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0,30</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0,30</w:t>
            </w:r>
          </w:p>
        </w:tc>
      </w:tr>
      <w:tr>
        <w:trPr>
          <w:trHeight w:val="329" w:hRule="atLeast"/>
        </w:trPr>
        <w:tc>
          <w:tcPr>
            <w:tcW w:w="72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both"/>
              <w:rPr/>
            </w:pPr>
            <w:r>
              <w:rPr>
                <w:rStyle w:val="Style21"/>
                <w:rFonts w:cs="Times New Roman" w:ascii="Times New Roman" w:hAnsi="Times New Roman"/>
                <w:color w:val="000000"/>
                <w:sz w:val="20"/>
                <w:szCs w:val="20"/>
              </w:rPr>
              <w:t>1.5</w:t>
            </w:r>
          </w:p>
        </w:tc>
        <w:tc>
          <w:tcPr>
            <w:tcW w:w="2693"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256"/>
              <w:ind w:left="107" w:hanging="0"/>
              <w:jc w:val="both"/>
              <w:rPr/>
            </w:pPr>
            <w:r>
              <w:rPr>
                <w:color w:val="000000"/>
                <w:sz w:val="20"/>
                <w:szCs w:val="20"/>
              </w:rPr>
              <w:t>пер.Школьный</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1,00</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1,00</w:t>
            </w:r>
          </w:p>
        </w:tc>
      </w:tr>
      <w:tr>
        <w:trPr>
          <w:trHeight w:val="329" w:hRule="atLeast"/>
        </w:trPr>
        <w:tc>
          <w:tcPr>
            <w:tcW w:w="3421" w:type="dxa"/>
            <w:gridSpan w:val="3"/>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Всего</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3,88</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2,58</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1,30</w:t>
            </w:r>
          </w:p>
        </w:tc>
      </w:tr>
      <w:tr>
        <w:trPr>
          <w:trHeight w:val="351" w:hRule="atLeast"/>
        </w:trPr>
        <w:tc>
          <w:tcPr>
            <w:tcW w:w="72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both"/>
              <w:rPr/>
            </w:pPr>
            <w:r>
              <w:rPr>
                <w:rStyle w:val="Style21"/>
                <w:rFonts w:cs="Times New Roman" w:ascii="Times New Roman" w:hAnsi="Times New Roman"/>
                <w:color w:val="000000"/>
                <w:sz w:val="20"/>
                <w:szCs w:val="20"/>
              </w:rPr>
              <w:t>2</w:t>
            </w:r>
          </w:p>
        </w:tc>
        <w:tc>
          <w:tcPr>
            <w:tcW w:w="8947" w:type="dxa"/>
            <w:gridSpan w:val="6"/>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both"/>
              <w:rPr/>
            </w:pPr>
            <w:r>
              <w:rPr>
                <w:rStyle w:val="Style21"/>
                <w:rFonts w:cs="Times New Roman" w:ascii="Times New Roman" w:hAnsi="Times New Roman"/>
                <w:color w:val="000000"/>
                <w:sz w:val="20"/>
                <w:szCs w:val="20"/>
              </w:rPr>
              <w:t>п.Бакча-Сарай</w:t>
            </w:r>
          </w:p>
        </w:tc>
      </w:tr>
      <w:tr>
        <w:trPr>
          <w:trHeight w:val="329" w:hRule="atLeast"/>
        </w:trPr>
        <w:tc>
          <w:tcPr>
            <w:tcW w:w="72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both"/>
              <w:rPr/>
            </w:pPr>
            <w:r>
              <w:rPr>
                <w:rStyle w:val="Style21"/>
                <w:rFonts w:cs="Times New Roman" w:ascii="Times New Roman" w:hAnsi="Times New Roman"/>
                <w:color w:val="000000"/>
                <w:sz w:val="20"/>
                <w:szCs w:val="20"/>
              </w:rPr>
              <w:t>2.1</w:t>
            </w:r>
          </w:p>
        </w:tc>
        <w:tc>
          <w:tcPr>
            <w:tcW w:w="2693"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256"/>
              <w:ind w:left="107" w:hanging="0"/>
              <w:jc w:val="both"/>
              <w:rPr/>
            </w:pPr>
            <w:r>
              <w:rPr>
                <w:color w:val="000000"/>
                <w:sz w:val="20"/>
                <w:szCs w:val="20"/>
              </w:rPr>
              <w:t>ул.Молодежная</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0,78</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0,78</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r>
      <w:tr>
        <w:trPr>
          <w:trHeight w:val="329" w:hRule="atLeast"/>
        </w:trPr>
        <w:tc>
          <w:tcPr>
            <w:tcW w:w="72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both"/>
              <w:rPr/>
            </w:pPr>
            <w:r>
              <w:rPr>
                <w:rStyle w:val="Style21"/>
                <w:rFonts w:cs="Times New Roman" w:ascii="Times New Roman" w:hAnsi="Times New Roman"/>
                <w:color w:val="000000"/>
                <w:sz w:val="20"/>
                <w:szCs w:val="20"/>
              </w:rPr>
              <w:t>2.2</w:t>
            </w:r>
          </w:p>
        </w:tc>
        <w:tc>
          <w:tcPr>
            <w:tcW w:w="2693"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256"/>
              <w:ind w:left="107" w:hanging="0"/>
              <w:jc w:val="both"/>
              <w:rPr/>
            </w:pPr>
            <w:r>
              <w:rPr>
                <w:color w:val="000000"/>
                <w:sz w:val="20"/>
                <w:szCs w:val="20"/>
              </w:rPr>
              <w:t>ул.Лесная</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0,28</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0,28</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r>
      <w:tr>
        <w:trPr>
          <w:trHeight w:val="329" w:hRule="atLeast"/>
        </w:trPr>
        <w:tc>
          <w:tcPr>
            <w:tcW w:w="72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both"/>
              <w:rPr/>
            </w:pPr>
            <w:r>
              <w:rPr>
                <w:rStyle w:val="Style21"/>
                <w:rFonts w:cs="Times New Roman" w:ascii="Times New Roman" w:hAnsi="Times New Roman"/>
                <w:color w:val="000000"/>
                <w:sz w:val="20"/>
                <w:szCs w:val="20"/>
              </w:rPr>
              <w:t>2.3</w:t>
            </w:r>
          </w:p>
        </w:tc>
        <w:tc>
          <w:tcPr>
            <w:tcW w:w="2693"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256"/>
              <w:ind w:left="107" w:hanging="0"/>
              <w:jc w:val="both"/>
              <w:rPr/>
            </w:pPr>
            <w:r>
              <w:rPr>
                <w:color w:val="000000"/>
                <w:sz w:val="20"/>
                <w:szCs w:val="20"/>
              </w:rPr>
              <w:t>ул.Школьная</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0,35</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0,35</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r>
      <w:tr>
        <w:trPr>
          <w:trHeight w:val="329" w:hRule="atLeast"/>
        </w:trPr>
        <w:tc>
          <w:tcPr>
            <w:tcW w:w="72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both"/>
              <w:rPr/>
            </w:pPr>
            <w:r>
              <w:rPr>
                <w:rStyle w:val="Style21"/>
                <w:rFonts w:cs="Times New Roman" w:ascii="Times New Roman" w:hAnsi="Times New Roman"/>
                <w:color w:val="000000"/>
                <w:sz w:val="20"/>
                <w:szCs w:val="20"/>
              </w:rPr>
              <w:t>2.4</w:t>
            </w:r>
          </w:p>
        </w:tc>
        <w:tc>
          <w:tcPr>
            <w:tcW w:w="2693"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256"/>
              <w:ind w:left="107" w:hanging="0"/>
              <w:jc w:val="both"/>
              <w:rPr/>
            </w:pPr>
            <w:r>
              <w:rPr>
                <w:color w:val="000000"/>
                <w:sz w:val="20"/>
                <w:szCs w:val="20"/>
              </w:rPr>
              <w:t>Ул.Лесная поляна</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0,32</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0,32</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r>
      <w:tr>
        <w:trPr>
          <w:trHeight w:val="329" w:hRule="atLeast"/>
        </w:trPr>
        <w:tc>
          <w:tcPr>
            <w:tcW w:w="72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both"/>
              <w:rPr/>
            </w:pPr>
            <w:r>
              <w:rPr>
                <w:rStyle w:val="Style21"/>
                <w:rFonts w:cs="Times New Roman" w:ascii="Times New Roman" w:hAnsi="Times New Roman"/>
                <w:color w:val="000000"/>
                <w:sz w:val="20"/>
                <w:szCs w:val="20"/>
              </w:rPr>
              <w:t>2.5</w:t>
            </w:r>
          </w:p>
        </w:tc>
        <w:tc>
          <w:tcPr>
            <w:tcW w:w="2693"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256"/>
              <w:ind w:left="107" w:hanging="0"/>
              <w:jc w:val="both"/>
              <w:rPr/>
            </w:pPr>
            <w:r>
              <w:rPr>
                <w:color w:val="000000"/>
                <w:sz w:val="20"/>
                <w:szCs w:val="20"/>
              </w:rPr>
              <w:t>Ул.Нагорная</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0,30</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0,30</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r>
      <w:tr>
        <w:trPr>
          <w:trHeight w:val="329" w:hRule="atLeast"/>
        </w:trPr>
        <w:tc>
          <w:tcPr>
            <w:tcW w:w="72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both"/>
              <w:rPr/>
            </w:pPr>
            <w:r>
              <w:rPr>
                <w:rStyle w:val="Style21"/>
                <w:rFonts w:cs="Times New Roman" w:ascii="Times New Roman" w:hAnsi="Times New Roman"/>
                <w:color w:val="000000"/>
                <w:sz w:val="20"/>
                <w:szCs w:val="20"/>
              </w:rPr>
              <w:t>2.6</w:t>
            </w:r>
          </w:p>
        </w:tc>
        <w:tc>
          <w:tcPr>
            <w:tcW w:w="2693"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256"/>
              <w:ind w:left="107" w:hanging="0"/>
              <w:jc w:val="both"/>
              <w:rPr/>
            </w:pPr>
            <w:r>
              <w:rPr>
                <w:color w:val="000000"/>
                <w:sz w:val="20"/>
                <w:szCs w:val="20"/>
              </w:rPr>
              <w:t>Ул.Центральная</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0,33</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0,33</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r>
      <w:tr>
        <w:trPr>
          <w:trHeight w:val="329" w:hRule="atLeast"/>
        </w:trPr>
        <w:tc>
          <w:tcPr>
            <w:tcW w:w="72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both"/>
              <w:rPr/>
            </w:pPr>
            <w:r>
              <w:rPr>
                <w:rStyle w:val="Style21"/>
                <w:rFonts w:cs="Times New Roman" w:ascii="Times New Roman" w:hAnsi="Times New Roman"/>
                <w:color w:val="000000"/>
                <w:sz w:val="20"/>
                <w:szCs w:val="20"/>
              </w:rPr>
              <w:t>2.7</w:t>
            </w:r>
          </w:p>
        </w:tc>
        <w:tc>
          <w:tcPr>
            <w:tcW w:w="2693"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256"/>
              <w:ind w:left="107" w:hanging="0"/>
              <w:jc w:val="both"/>
              <w:rPr/>
            </w:pPr>
            <w:r>
              <w:rPr>
                <w:color w:val="000000"/>
                <w:sz w:val="20"/>
                <w:szCs w:val="20"/>
              </w:rPr>
              <w:t>Ул.Приволжская</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0,91</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0,91</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r>
      <w:tr>
        <w:trPr>
          <w:trHeight w:val="329" w:hRule="atLeast"/>
        </w:trPr>
        <w:tc>
          <w:tcPr>
            <w:tcW w:w="72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both"/>
              <w:rPr/>
            </w:pPr>
            <w:r>
              <w:rPr>
                <w:rStyle w:val="Style21"/>
                <w:rFonts w:cs="Times New Roman" w:ascii="Times New Roman" w:hAnsi="Times New Roman"/>
                <w:color w:val="000000"/>
                <w:sz w:val="20"/>
                <w:szCs w:val="20"/>
              </w:rPr>
              <w:t>2.8</w:t>
            </w:r>
          </w:p>
        </w:tc>
        <w:tc>
          <w:tcPr>
            <w:tcW w:w="2693"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256"/>
              <w:ind w:left="107" w:hanging="0"/>
              <w:jc w:val="both"/>
              <w:rPr/>
            </w:pPr>
            <w:r>
              <w:rPr>
                <w:color w:val="000000"/>
                <w:sz w:val="20"/>
                <w:szCs w:val="20"/>
              </w:rPr>
              <w:t>Ул.Дальняя</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0,80</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0,80</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r>
      <w:tr>
        <w:trPr>
          <w:trHeight w:val="329" w:hRule="atLeast"/>
        </w:trPr>
        <w:tc>
          <w:tcPr>
            <w:tcW w:w="3421" w:type="dxa"/>
            <w:gridSpan w:val="3"/>
            <w:tcBorders>
              <w:top w:val="single" w:sz="4" w:space="0" w:color="000000"/>
              <w:left w:val="single" w:sz="4" w:space="0" w:color="000000"/>
              <w:bottom w:val="single" w:sz="4" w:space="0" w:color="000000"/>
              <w:right w:val="single" w:sz="4" w:space="0" w:color="000000"/>
            </w:tcBorders>
            <w:vAlign w:val="center"/>
          </w:tcPr>
          <w:p>
            <w:pPr>
              <w:pStyle w:val="TableParagraph"/>
              <w:spacing w:lineRule="exact" w:line="256"/>
              <w:ind w:left="107" w:hanging="0"/>
              <w:jc w:val="both"/>
              <w:rPr/>
            </w:pPr>
            <w:r>
              <w:rPr>
                <w:color w:val="000000"/>
                <w:sz w:val="20"/>
                <w:szCs w:val="20"/>
              </w:rPr>
              <w:t>Всего</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4,07</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4,07</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r>
      <w:tr>
        <w:trPr>
          <w:trHeight w:val="329" w:hRule="atLeast"/>
        </w:trPr>
        <w:tc>
          <w:tcPr>
            <w:tcW w:w="72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both"/>
              <w:rPr/>
            </w:pPr>
            <w:r>
              <w:rPr>
                <w:rStyle w:val="Style21"/>
                <w:rFonts w:cs="Times New Roman" w:ascii="Times New Roman" w:hAnsi="Times New Roman"/>
                <w:color w:val="000000"/>
                <w:sz w:val="20"/>
                <w:szCs w:val="20"/>
              </w:rPr>
              <w:t>3</w:t>
            </w:r>
          </w:p>
        </w:tc>
        <w:tc>
          <w:tcPr>
            <w:tcW w:w="8947" w:type="dxa"/>
            <w:gridSpan w:val="6"/>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д.Ватан</w:t>
            </w:r>
          </w:p>
        </w:tc>
      </w:tr>
      <w:tr>
        <w:trPr>
          <w:trHeight w:val="329" w:hRule="atLeast"/>
        </w:trPr>
        <w:tc>
          <w:tcPr>
            <w:tcW w:w="72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both"/>
              <w:rPr/>
            </w:pPr>
            <w:r>
              <w:rPr>
                <w:rStyle w:val="Style21"/>
                <w:rFonts w:cs="Times New Roman" w:ascii="Times New Roman" w:hAnsi="Times New Roman"/>
                <w:color w:val="000000"/>
                <w:sz w:val="20"/>
                <w:szCs w:val="20"/>
              </w:rPr>
              <w:t>3.1</w:t>
            </w:r>
          </w:p>
        </w:tc>
        <w:tc>
          <w:tcPr>
            <w:tcW w:w="2693"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256"/>
              <w:ind w:left="107" w:hanging="0"/>
              <w:jc w:val="both"/>
              <w:rPr/>
            </w:pPr>
            <w:r>
              <w:rPr>
                <w:color w:val="000000"/>
                <w:sz w:val="20"/>
                <w:szCs w:val="20"/>
              </w:rPr>
              <w:t>ул.Полевая</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0,95</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0,95</w:t>
            </w:r>
          </w:p>
        </w:tc>
      </w:tr>
      <w:tr>
        <w:trPr>
          <w:trHeight w:val="329" w:hRule="atLeast"/>
        </w:trPr>
        <w:tc>
          <w:tcPr>
            <w:tcW w:w="72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both"/>
              <w:rPr/>
            </w:pPr>
            <w:r>
              <w:rPr>
                <w:rStyle w:val="Style21"/>
                <w:rFonts w:cs="Times New Roman" w:ascii="Times New Roman" w:hAnsi="Times New Roman"/>
                <w:color w:val="000000"/>
                <w:sz w:val="20"/>
                <w:szCs w:val="20"/>
              </w:rPr>
              <w:t>3.2</w:t>
            </w:r>
          </w:p>
        </w:tc>
        <w:tc>
          <w:tcPr>
            <w:tcW w:w="2693"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256"/>
              <w:ind w:left="107" w:hanging="0"/>
              <w:jc w:val="both"/>
              <w:rPr/>
            </w:pPr>
            <w:r>
              <w:rPr>
                <w:color w:val="000000"/>
                <w:sz w:val="20"/>
                <w:szCs w:val="20"/>
              </w:rPr>
              <w:t>ул.Лесная</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0,24</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0,24</w:t>
            </w:r>
          </w:p>
        </w:tc>
      </w:tr>
      <w:tr>
        <w:trPr>
          <w:trHeight w:val="329" w:hRule="atLeast"/>
        </w:trPr>
        <w:tc>
          <w:tcPr>
            <w:tcW w:w="3421" w:type="dxa"/>
            <w:gridSpan w:val="3"/>
            <w:tcBorders>
              <w:top w:val="single" w:sz="4" w:space="0" w:color="000000"/>
              <w:left w:val="single" w:sz="4" w:space="0" w:color="000000"/>
              <w:bottom w:val="single" w:sz="4" w:space="0" w:color="000000"/>
              <w:right w:val="single" w:sz="4" w:space="0" w:color="000000"/>
            </w:tcBorders>
            <w:vAlign w:val="center"/>
          </w:tcPr>
          <w:p>
            <w:pPr>
              <w:pStyle w:val="TableParagraph"/>
              <w:spacing w:lineRule="exact" w:line="256"/>
              <w:ind w:left="107" w:hanging="0"/>
              <w:jc w:val="both"/>
              <w:rPr/>
            </w:pPr>
            <w:r>
              <w:rPr>
                <w:color w:val="000000"/>
                <w:sz w:val="20"/>
                <w:szCs w:val="20"/>
              </w:rPr>
              <w:t>Всего</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1,19</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1,19</w:t>
            </w:r>
          </w:p>
        </w:tc>
      </w:tr>
      <w:tr>
        <w:trPr>
          <w:trHeight w:val="329" w:hRule="atLeast"/>
        </w:trPr>
        <w:tc>
          <w:tcPr>
            <w:tcW w:w="72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both"/>
              <w:rPr/>
            </w:pPr>
            <w:r>
              <w:rPr>
                <w:rStyle w:val="Style21"/>
                <w:rFonts w:cs="Times New Roman" w:ascii="Times New Roman" w:hAnsi="Times New Roman"/>
                <w:color w:val="000000"/>
                <w:sz w:val="20"/>
                <w:szCs w:val="20"/>
              </w:rPr>
              <w:t>4</w:t>
            </w:r>
          </w:p>
        </w:tc>
        <w:tc>
          <w:tcPr>
            <w:tcW w:w="8947" w:type="dxa"/>
            <w:gridSpan w:val="6"/>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д.Гребени</w:t>
            </w:r>
          </w:p>
        </w:tc>
      </w:tr>
      <w:tr>
        <w:trPr>
          <w:trHeight w:val="329" w:hRule="atLeast"/>
        </w:trPr>
        <w:tc>
          <w:tcPr>
            <w:tcW w:w="72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both"/>
              <w:rPr/>
            </w:pPr>
            <w:r>
              <w:rPr>
                <w:rStyle w:val="Style21"/>
                <w:rFonts w:cs="Times New Roman" w:ascii="Times New Roman" w:hAnsi="Times New Roman"/>
                <w:color w:val="000000"/>
                <w:sz w:val="20"/>
                <w:szCs w:val="20"/>
              </w:rPr>
              <w:t>4.1</w:t>
            </w:r>
          </w:p>
        </w:tc>
        <w:tc>
          <w:tcPr>
            <w:tcW w:w="2693"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256"/>
              <w:ind w:left="107" w:hanging="0"/>
              <w:jc w:val="both"/>
              <w:rPr/>
            </w:pPr>
            <w:r>
              <w:rPr>
                <w:color w:val="000000"/>
                <w:sz w:val="20"/>
                <w:szCs w:val="20"/>
              </w:rPr>
              <w:t>ул.Центральная</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1,13</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1,13</w:t>
            </w:r>
          </w:p>
        </w:tc>
      </w:tr>
      <w:tr>
        <w:trPr>
          <w:trHeight w:val="329" w:hRule="atLeast"/>
        </w:trPr>
        <w:tc>
          <w:tcPr>
            <w:tcW w:w="72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both"/>
              <w:rPr/>
            </w:pPr>
            <w:r>
              <w:rPr>
                <w:rStyle w:val="Style21"/>
                <w:rFonts w:cs="Times New Roman" w:ascii="Times New Roman" w:hAnsi="Times New Roman"/>
                <w:color w:val="000000"/>
                <w:sz w:val="20"/>
                <w:szCs w:val="20"/>
              </w:rPr>
              <w:t>4.2</w:t>
            </w:r>
          </w:p>
        </w:tc>
        <w:tc>
          <w:tcPr>
            <w:tcW w:w="2693"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256"/>
              <w:ind w:left="107" w:hanging="0"/>
              <w:jc w:val="both"/>
              <w:rPr/>
            </w:pPr>
            <w:r>
              <w:rPr>
                <w:color w:val="000000"/>
                <w:sz w:val="20"/>
                <w:szCs w:val="20"/>
              </w:rPr>
              <w:t>ул.Прибрежная</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0,95</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0,95</w:t>
            </w:r>
          </w:p>
        </w:tc>
      </w:tr>
      <w:tr>
        <w:trPr>
          <w:trHeight w:val="329" w:hRule="atLeast"/>
        </w:trPr>
        <w:tc>
          <w:tcPr>
            <w:tcW w:w="72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both"/>
              <w:rPr/>
            </w:pPr>
            <w:r>
              <w:rPr>
                <w:rStyle w:val="Style21"/>
                <w:rFonts w:cs="Times New Roman" w:ascii="Times New Roman" w:hAnsi="Times New Roman"/>
                <w:color w:val="000000"/>
                <w:sz w:val="20"/>
                <w:szCs w:val="20"/>
              </w:rPr>
              <w:t>4.3</w:t>
            </w:r>
          </w:p>
        </w:tc>
        <w:tc>
          <w:tcPr>
            <w:tcW w:w="2693" w:type="dxa"/>
            <w:gridSpan w:val="2"/>
            <w:tcBorders>
              <w:top w:val="single" w:sz="4" w:space="0" w:color="000000"/>
              <w:left w:val="single" w:sz="4" w:space="0" w:color="000000"/>
              <w:bottom w:val="single" w:sz="4" w:space="0" w:color="000000"/>
              <w:right w:val="single" w:sz="4" w:space="0" w:color="000000"/>
            </w:tcBorders>
          </w:tcPr>
          <w:p>
            <w:pPr>
              <w:pStyle w:val="TableParagraph"/>
              <w:spacing w:lineRule="exact" w:line="256"/>
              <w:ind w:left="107" w:hanging="0"/>
              <w:jc w:val="both"/>
              <w:rPr/>
            </w:pPr>
            <w:r>
              <w:rPr>
                <w:color w:val="000000"/>
                <w:sz w:val="20"/>
                <w:szCs w:val="20"/>
              </w:rPr>
              <w:t>Ул.Нагорная</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0,68</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0,68</w:t>
            </w:r>
          </w:p>
        </w:tc>
      </w:tr>
      <w:tr>
        <w:trPr>
          <w:trHeight w:val="329" w:hRule="atLeast"/>
        </w:trPr>
        <w:tc>
          <w:tcPr>
            <w:tcW w:w="3421" w:type="dxa"/>
            <w:gridSpan w:val="3"/>
            <w:tcBorders>
              <w:top w:val="single" w:sz="4" w:space="0" w:color="000000"/>
              <w:left w:val="single" w:sz="4" w:space="0" w:color="000000"/>
              <w:bottom w:val="single" w:sz="4" w:space="0" w:color="000000"/>
              <w:right w:val="single" w:sz="4" w:space="0" w:color="000000"/>
            </w:tcBorders>
            <w:vAlign w:val="center"/>
          </w:tcPr>
          <w:p>
            <w:pPr>
              <w:pStyle w:val="TableParagraph"/>
              <w:spacing w:lineRule="exact" w:line="256"/>
              <w:ind w:left="107" w:hanging="0"/>
              <w:jc w:val="both"/>
              <w:rPr/>
            </w:pPr>
            <w:r>
              <w:rPr>
                <w:rStyle w:val="Style21"/>
                <w:rFonts w:cs="Times New Roman" w:ascii="Times New Roman" w:hAnsi="Times New Roman"/>
                <w:color w:val="000000"/>
                <w:sz w:val="20"/>
                <w:szCs w:val="20"/>
              </w:rPr>
              <w:t>Всего</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2,76</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2,76</w:t>
            </w:r>
          </w:p>
        </w:tc>
      </w:tr>
      <w:tr>
        <w:trPr>
          <w:trHeight w:val="329" w:hRule="atLeast"/>
        </w:trPr>
        <w:tc>
          <w:tcPr>
            <w:tcW w:w="750" w:type="dxa"/>
            <w:gridSpan w:val="2"/>
            <w:tcBorders>
              <w:top w:val="single" w:sz="4" w:space="0" w:color="000000"/>
              <w:left w:val="single" w:sz="4" w:space="0" w:color="000000"/>
              <w:bottom w:val="single" w:sz="4" w:space="0" w:color="000000"/>
              <w:right w:val="single" w:sz="4" w:space="0" w:color="000000"/>
            </w:tcBorders>
            <w:vAlign w:val="center"/>
          </w:tcPr>
          <w:p>
            <w:pPr>
              <w:pStyle w:val="TableParagraph"/>
              <w:spacing w:lineRule="exact" w:line="256"/>
              <w:ind w:left="107" w:hanging="0"/>
              <w:jc w:val="both"/>
              <w:rPr/>
            </w:pPr>
            <w:r>
              <w:rPr>
                <w:rStyle w:val="Style21"/>
                <w:rFonts w:cs="Times New Roman" w:ascii="Times New Roman" w:hAnsi="Times New Roman"/>
                <w:color w:val="000000"/>
                <w:sz w:val="20"/>
                <w:szCs w:val="20"/>
              </w:rPr>
              <w:t>5</w:t>
            </w:r>
          </w:p>
        </w:tc>
        <w:tc>
          <w:tcPr>
            <w:tcW w:w="8925" w:type="dxa"/>
            <w:gridSpan w:val="5"/>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с.Ташевка</w:t>
            </w:r>
          </w:p>
        </w:tc>
      </w:tr>
      <w:tr>
        <w:trPr>
          <w:trHeight w:val="329" w:hRule="atLeast"/>
        </w:trPr>
        <w:tc>
          <w:tcPr>
            <w:tcW w:w="750" w:type="dxa"/>
            <w:gridSpan w:val="2"/>
            <w:tcBorders>
              <w:top w:val="single" w:sz="4" w:space="0" w:color="000000"/>
              <w:left w:val="single" w:sz="4" w:space="0" w:color="000000"/>
              <w:bottom w:val="single" w:sz="4" w:space="0" w:color="000000"/>
              <w:right w:val="single" w:sz="4" w:space="0" w:color="000000"/>
            </w:tcBorders>
            <w:vAlign w:val="center"/>
          </w:tcPr>
          <w:p>
            <w:pPr>
              <w:pStyle w:val="TableParagraph"/>
              <w:spacing w:lineRule="exact" w:line="256"/>
              <w:ind w:left="107" w:hanging="0"/>
              <w:jc w:val="both"/>
              <w:rPr/>
            </w:pPr>
            <w:r>
              <w:rPr>
                <w:rStyle w:val="Style21"/>
                <w:rFonts w:cs="Times New Roman" w:ascii="Times New Roman" w:hAnsi="Times New Roman"/>
                <w:color w:val="000000"/>
                <w:sz w:val="20"/>
                <w:szCs w:val="20"/>
              </w:rPr>
              <w:t>5.1</w:t>
            </w:r>
          </w:p>
        </w:tc>
        <w:tc>
          <w:tcPr>
            <w:tcW w:w="2671" w:type="dxa"/>
            <w:tcBorders>
              <w:top w:val="single" w:sz="4" w:space="0" w:color="000000"/>
              <w:left w:val="single" w:sz="4" w:space="0" w:color="000000"/>
              <w:bottom w:val="single" w:sz="4" w:space="0" w:color="000000"/>
              <w:right w:val="single" w:sz="4" w:space="0" w:color="000000"/>
            </w:tcBorders>
            <w:vAlign w:val="center"/>
          </w:tcPr>
          <w:p>
            <w:pPr>
              <w:pStyle w:val="TableParagraph"/>
              <w:spacing w:lineRule="exact" w:line="256"/>
              <w:ind w:left="107" w:hanging="0"/>
              <w:jc w:val="both"/>
              <w:rPr/>
            </w:pPr>
            <w:r>
              <w:rPr>
                <w:color w:val="000000"/>
                <w:sz w:val="20"/>
              </w:rPr>
              <w:t>Ул.Набережная</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TableParagraph"/>
              <w:jc w:val="both"/>
              <w:rPr/>
            </w:pPr>
            <w:r>
              <w:rPr>
                <w:rStyle w:val="Style21"/>
                <w:rFonts w:cs="Times New Roman" w:ascii="Times New Roman" w:hAnsi="Times New Roman"/>
                <w:color w:val="000000"/>
                <w:sz w:val="20"/>
                <w:szCs w:val="20"/>
              </w:rPr>
              <w:t>0,96</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0,96</w:t>
            </w:r>
          </w:p>
        </w:tc>
      </w:tr>
      <w:tr>
        <w:trPr>
          <w:trHeight w:val="329" w:hRule="atLeast"/>
        </w:trPr>
        <w:tc>
          <w:tcPr>
            <w:tcW w:w="750" w:type="dxa"/>
            <w:gridSpan w:val="2"/>
            <w:tcBorders>
              <w:top w:val="single" w:sz="4" w:space="0" w:color="000000"/>
              <w:left w:val="single" w:sz="4" w:space="0" w:color="000000"/>
              <w:bottom w:val="single" w:sz="4" w:space="0" w:color="000000"/>
              <w:right w:val="single" w:sz="4" w:space="0" w:color="000000"/>
            </w:tcBorders>
            <w:vAlign w:val="center"/>
          </w:tcPr>
          <w:p>
            <w:pPr>
              <w:pStyle w:val="TableParagraph"/>
              <w:spacing w:lineRule="exact" w:line="256"/>
              <w:ind w:left="107" w:hanging="0"/>
              <w:jc w:val="both"/>
              <w:rPr/>
            </w:pPr>
            <w:r>
              <w:rPr>
                <w:rStyle w:val="Style21"/>
                <w:rFonts w:cs="Times New Roman" w:ascii="Times New Roman" w:hAnsi="Times New Roman"/>
                <w:color w:val="000000"/>
                <w:sz w:val="20"/>
                <w:szCs w:val="20"/>
              </w:rPr>
              <w:t>5.2</w:t>
            </w:r>
          </w:p>
        </w:tc>
        <w:tc>
          <w:tcPr>
            <w:tcW w:w="2671" w:type="dxa"/>
            <w:tcBorders>
              <w:top w:val="single" w:sz="4" w:space="0" w:color="000000"/>
              <w:left w:val="single" w:sz="4" w:space="0" w:color="000000"/>
              <w:bottom w:val="single" w:sz="4" w:space="0" w:color="000000"/>
              <w:right w:val="single" w:sz="4" w:space="0" w:color="000000"/>
            </w:tcBorders>
            <w:vAlign w:val="center"/>
          </w:tcPr>
          <w:p>
            <w:pPr>
              <w:pStyle w:val="TableParagraph"/>
              <w:spacing w:lineRule="exact" w:line="256"/>
              <w:ind w:left="107" w:hanging="0"/>
              <w:jc w:val="both"/>
              <w:rPr/>
            </w:pPr>
            <w:r>
              <w:rPr>
                <w:color w:val="000000"/>
                <w:sz w:val="20"/>
              </w:rPr>
              <w:t>Ул.Тракторная</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TableParagraph"/>
              <w:jc w:val="both"/>
              <w:rPr/>
            </w:pPr>
            <w:r>
              <w:rPr>
                <w:rStyle w:val="Style21"/>
                <w:rFonts w:cs="Times New Roman" w:ascii="Times New Roman" w:hAnsi="Times New Roman"/>
                <w:color w:val="000000"/>
                <w:sz w:val="20"/>
                <w:szCs w:val="20"/>
              </w:rPr>
              <w:t>0,85</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0,85</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r>
      <w:tr>
        <w:trPr>
          <w:trHeight w:val="329" w:hRule="atLeast"/>
        </w:trPr>
        <w:tc>
          <w:tcPr>
            <w:tcW w:w="750" w:type="dxa"/>
            <w:gridSpan w:val="2"/>
            <w:tcBorders>
              <w:top w:val="single" w:sz="4" w:space="0" w:color="000000"/>
              <w:left w:val="single" w:sz="4" w:space="0" w:color="000000"/>
              <w:bottom w:val="single" w:sz="4" w:space="0" w:color="000000"/>
              <w:right w:val="single" w:sz="4" w:space="0" w:color="000000"/>
            </w:tcBorders>
            <w:vAlign w:val="center"/>
          </w:tcPr>
          <w:p>
            <w:pPr>
              <w:pStyle w:val="TableParagraph"/>
              <w:spacing w:lineRule="exact" w:line="256"/>
              <w:ind w:left="107" w:hanging="0"/>
              <w:jc w:val="both"/>
              <w:rPr/>
            </w:pPr>
            <w:r>
              <w:rPr>
                <w:rStyle w:val="Style21"/>
                <w:rFonts w:cs="Times New Roman" w:ascii="Times New Roman" w:hAnsi="Times New Roman"/>
                <w:color w:val="000000"/>
                <w:sz w:val="20"/>
                <w:szCs w:val="20"/>
              </w:rPr>
              <w:t>5.3</w:t>
            </w:r>
          </w:p>
        </w:tc>
        <w:tc>
          <w:tcPr>
            <w:tcW w:w="2671" w:type="dxa"/>
            <w:tcBorders>
              <w:top w:val="single" w:sz="4" w:space="0" w:color="000000"/>
              <w:left w:val="single" w:sz="4" w:space="0" w:color="000000"/>
              <w:bottom w:val="single" w:sz="4" w:space="0" w:color="000000"/>
              <w:right w:val="single" w:sz="4" w:space="0" w:color="000000"/>
            </w:tcBorders>
            <w:vAlign w:val="center"/>
          </w:tcPr>
          <w:p>
            <w:pPr>
              <w:pStyle w:val="TableParagraph"/>
              <w:spacing w:lineRule="exact" w:line="256"/>
              <w:ind w:left="107" w:hanging="0"/>
              <w:jc w:val="both"/>
              <w:rPr/>
            </w:pPr>
            <w:r>
              <w:rPr>
                <w:color w:val="000000"/>
                <w:sz w:val="20"/>
              </w:rPr>
              <w:t>Ул.Зеленая</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TableParagraph"/>
              <w:jc w:val="both"/>
              <w:rPr/>
            </w:pPr>
            <w:r>
              <w:rPr>
                <w:rStyle w:val="Style21"/>
                <w:rFonts w:cs="Times New Roman" w:ascii="Times New Roman" w:hAnsi="Times New Roman"/>
                <w:color w:val="000000"/>
                <w:sz w:val="20"/>
                <w:szCs w:val="20"/>
              </w:rPr>
              <w:t>0,58</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0,58</w:t>
            </w:r>
          </w:p>
        </w:tc>
      </w:tr>
      <w:tr>
        <w:trPr>
          <w:trHeight w:val="329" w:hRule="atLeast"/>
        </w:trPr>
        <w:tc>
          <w:tcPr>
            <w:tcW w:w="750" w:type="dxa"/>
            <w:gridSpan w:val="2"/>
            <w:tcBorders>
              <w:top w:val="single" w:sz="4" w:space="0" w:color="000000"/>
              <w:left w:val="single" w:sz="4" w:space="0" w:color="000000"/>
              <w:bottom w:val="single" w:sz="4" w:space="0" w:color="000000"/>
              <w:right w:val="single" w:sz="4" w:space="0" w:color="000000"/>
            </w:tcBorders>
            <w:vAlign w:val="center"/>
          </w:tcPr>
          <w:p>
            <w:pPr>
              <w:pStyle w:val="TableParagraph"/>
              <w:spacing w:lineRule="exact" w:line="256"/>
              <w:ind w:left="107" w:hanging="0"/>
              <w:jc w:val="both"/>
              <w:rPr/>
            </w:pPr>
            <w:r>
              <w:rPr>
                <w:rStyle w:val="Style21"/>
                <w:rFonts w:cs="Times New Roman" w:ascii="Times New Roman" w:hAnsi="Times New Roman"/>
                <w:color w:val="000000"/>
                <w:sz w:val="20"/>
                <w:szCs w:val="20"/>
              </w:rPr>
              <w:t>5.4</w:t>
            </w:r>
          </w:p>
        </w:tc>
        <w:tc>
          <w:tcPr>
            <w:tcW w:w="2671" w:type="dxa"/>
            <w:tcBorders>
              <w:top w:val="single" w:sz="4" w:space="0" w:color="000000"/>
              <w:left w:val="single" w:sz="4" w:space="0" w:color="000000"/>
              <w:bottom w:val="single" w:sz="4" w:space="0" w:color="000000"/>
              <w:right w:val="single" w:sz="4" w:space="0" w:color="000000"/>
            </w:tcBorders>
            <w:vAlign w:val="center"/>
          </w:tcPr>
          <w:p>
            <w:pPr>
              <w:pStyle w:val="TableParagraph"/>
              <w:spacing w:lineRule="exact" w:line="256"/>
              <w:ind w:left="107" w:hanging="0"/>
              <w:jc w:val="both"/>
              <w:rPr/>
            </w:pPr>
            <w:r>
              <w:rPr>
                <w:color w:val="000000"/>
                <w:sz w:val="20"/>
              </w:rPr>
              <w:t>Ул.Заречная</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TableParagraph"/>
              <w:jc w:val="both"/>
              <w:rPr/>
            </w:pPr>
            <w:r>
              <w:rPr>
                <w:rStyle w:val="Style21"/>
                <w:rFonts w:cs="Times New Roman" w:ascii="Times New Roman" w:hAnsi="Times New Roman"/>
                <w:color w:val="000000"/>
                <w:sz w:val="20"/>
                <w:szCs w:val="20"/>
              </w:rPr>
              <w:t>0,52</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0,52</w:t>
            </w:r>
          </w:p>
        </w:tc>
      </w:tr>
      <w:tr>
        <w:trPr>
          <w:trHeight w:val="329" w:hRule="atLeast"/>
        </w:trPr>
        <w:tc>
          <w:tcPr>
            <w:tcW w:w="750" w:type="dxa"/>
            <w:gridSpan w:val="2"/>
            <w:tcBorders>
              <w:top w:val="single" w:sz="4" w:space="0" w:color="000000"/>
              <w:left w:val="single" w:sz="4" w:space="0" w:color="000000"/>
              <w:bottom w:val="single" w:sz="4" w:space="0" w:color="000000"/>
              <w:right w:val="single" w:sz="4" w:space="0" w:color="000000"/>
            </w:tcBorders>
            <w:vAlign w:val="center"/>
          </w:tcPr>
          <w:p>
            <w:pPr>
              <w:pStyle w:val="TableParagraph"/>
              <w:spacing w:lineRule="exact" w:line="256"/>
              <w:ind w:left="107" w:hanging="0"/>
              <w:jc w:val="both"/>
              <w:rPr/>
            </w:pPr>
            <w:r>
              <w:rPr>
                <w:rStyle w:val="Style21"/>
                <w:rFonts w:cs="Times New Roman" w:ascii="Times New Roman" w:hAnsi="Times New Roman"/>
                <w:color w:val="000000"/>
                <w:sz w:val="20"/>
                <w:szCs w:val="20"/>
              </w:rPr>
              <w:t>5.5</w:t>
            </w:r>
          </w:p>
        </w:tc>
        <w:tc>
          <w:tcPr>
            <w:tcW w:w="2671" w:type="dxa"/>
            <w:tcBorders>
              <w:top w:val="single" w:sz="4" w:space="0" w:color="000000"/>
              <w:left w:val="single" w:sz="4" w:space="0" w:color="000000"/>
              <w:bottom w:val="single" w:sz="4" w:space="0" w:color="000000"/>
              <w:right w:val="single" w:sz="4" w:space="0" w:color="000000"/>
            </w:tcBorders>
            <w:vAlign w:val="center"/>
          </w:tcPr>
          <w:p>
            <w:pPr>
              <w:pStyle w:val="TableParagraph"/>
              <w:spacing w:lineRule="exact" w:line="256"/>
              <w:ind w:left="107" w:hanging="0"/>
              <w:jc w:val="both"/>
              <w:rPr/>
            </w:pPr>
            <w:r>
              <w:rPr>
                <w:color w:val="000000"/>
                <w:sz w:val="20"/>
              </w:rPr>
              <w:t>Ул.Рабочая</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TableParagraph"/>
              <w:jc w:val="both"/>
              <w:rPr/>
            </w:pPr>
            <w:r>
              <w:rPr>
                <w:rStyle w:val="Style21"/>
                <w:rFonts w:cs="Times New Roman" w:ascii="Times New Roman" w:hAnsi="Times New Roman"/>
                <w:color w:val="000000"/>
                <w:sz w:val="20"/>
                <w:szCs w:val="20"/>
              </w:rPr>
              <w:t>0,28</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0,28</w:t>
            </w:r>
          </w:p>
        </w:tc>
      </w:tr>
      <w:tr>
        <w:trPr>
          <w:trHeight w:val="329" w:hRule="atLeast"/>
        </w:trPr>
        <w:tc>
          <w:tcPr>
            <w:tcW w:w="750" w:type="dxa"/>
            <w:gridSpan w:val="2"/>
            <w:tcBorders>
              <w:top w:val="single" w:sz="4" w:space="0" w:color="000000"/>
              <w:left w:val="single" w:sz="4" w:space="0" w:color="000000"/>
              <w:bottom w:val="single" w:sz="4" w:space="0" w:color="000000"/>
              <w:right w:val="single" w:sz="4" w:space="0" w:color="000000"/>
            </w:tcBorders>
            <w:vAlign w:val="center"/>
          </w:tcPr>
          <w:p>
            <w:pPr>
              <w:pStyle w:val="TableParagraph"/>
              <w:spacing w:lineRule="exact" w:line="256"/>
              <w:ind w:left="107" w:hanging="0"/>
              <w:jc w:val="both"/>
              <w:rPr/>
            </w:pPr>
            <w:r>
              <w:rPr>
                <w:rStyle w:val="Style21"/>
                <w:rFonts w:cs="Times New Roman" w:ascii="Times New Roman" w:hAnsi="Times New Roman"/>
                <w:color w:val="000000"/>
                <w:sz w:val="20"/>
                <w:szCs w:val="20"/>
              </w:rPr>
              <w:t>5.6</w:t>
            </w:r>
          </w:p>
        </w:tc>
        <w:tc>
          <w:tcPr>
            <w:tcW w:w="2671" w:type="dxa"/>
            <w:tcBorders>
              <w:top w:val="single" w:sz="4" w:space="0" w:color="000000"/>
              <w:left w:val="single" w:sz="4" w:space="0" w:color="000000"/>
              <w:bottom w:val="single" w:sz="4" w:space="0" w:color="000000"/>
              <w:right w:val="single" w:sz="4" w:space="0" w:color="000000"/>
            </w:tcBorders>
            <w:vAlign w:val="center"/>
          </w:tcPr>
          <w:p>
            <w:pPr>
              <w:pStyle w:val="TableParagraph"/>
              <w:spacing w:lineRule="exact" w:line="256"/>
              <w:ind w:left="107" w:hanging="0"/>
              <w:jc w:val="both"/>
              <w:rPr/>
            </w:pPr>
            <w:r>
              <w:rPr>
                <w:color w:val="000000"/>
                <w:sz w:val="20"/>
              </w:rPr>
              <w:t>Пер.Набережный</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TableParagraph"/>
              <w:jc w:val="both"/>
              <w:rPr/>
            </w:pPr>
            <w:r>
              <w:rPr>
                <w:rStyle w:val="Style21"/>
                <w:rFonts w:cs="Times New Roman" w:ascii="Times New Roman" w:hAnsi="Times New Roman"/>
                <w:color w:val="000000"/>
                <w:sz w:val="20"/>
                <w:szCs w:val="20"/>
              </w:rPr>
              <w:t>0,58</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0,58</w:t>
            </w:r>
          </w:p>
        </w:tc>
      </w:tr>
      <w:tr>
        <w:trPr>
          <w:trHeight w:val="329" w:hRule="atLeast"/>
        </w:trPr>
        <w:tc>
          <w:tcPr>
            <w:tcW w:w="3421" w:type="dxa"/>
            <w:gridSpan w:val="3"/>
            <w:tcBorders>
              <w:top w:val="single" w:sz="4" w:space="0" w:color="000000"/>
              <w:left w:val="single" w:sz="4" w:space="0" w:color="000000"/>
              <w:bottom w:val="single" w:sz="4" w:space="0" w:color="000000"/>
              <w:right w:val="single" w:sz="4" w:space="0" w:color="000000"/>
            </w:tcBorders>
            <w:vAlign w:val="center"/>
          </w:tcPr>
          <w:p>
            <w:pPr>
              <w:pStyle w:val="TableParagraph"/>
              <w:spacing w:lineRule="exact" w:line="256"/>
              <w:ind w:left="107" w:hanging="0"/>
              <w:jc w:val="both"/>
              <w:rPr/>
            </w:pPr>
            <w:r>
              <w:rPr>
                <w:rStyle w:val="Style21"/>
                <w:rFonts w:cs="Times New Roman" w:ascii="Times New Roman" w:hAnsi="Times New Roman"/>
                <w:color w:val="000000"/>
                <w:sz w:val="20"/>
                <w:szCs w:val="20"/>
              </w:rPr>
              <w:t>Всего</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TableParagraph"/>
              <w:jc w:val="both"/>
              <w:rPr/>
            </w:pPr>
            <w:r>
              <w:rPr>
                <w:rStyle w:val="Style21"/>
                <w:rFonts w:cs="Times New Roman" w:ascii="Times New Roman" w:hAnsi="Times New Roman"/>
                <w:color w:val="000000"/>
                <w:sz w:val="20"/>
                <w:szCs w:val="20"/>
              </w:rPr>
              <w:t>3,77</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0,85</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2,92</w:t>
            </w:r>
          </w:p>
        </w:tc>
      </w:tr>
      <w:tr>
        <w:trPr>
          <w:trHeight w:val="329" w:hRule="atLeast"/>
        </w:trPr>
        <w:tc>
          <w:tcPr>
            <w:tcW w:w="3421" w:type="dxa"/>
            <w:gridSpan w:val="3"/>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both"/>
              <w:rPr/>
            </w:pPr>
            <w:r>
              <w:rPr>
                <w:rStyle w:val="Style21"/>
                <w:rFonts w:cs="Times New Roman" w:ascii="Times New Roman" w:hAnsi="Times New Roman"/>
                <w:color w:val="000000"/>
                <w:sz w:val="20"/>
                <w:szCs w:val="20"/>
              </w:rPr>
              <w:t>Всего по поселению</w:t>
            </w:r>
          </w:p>
        </w:tc>
        <w:tc>
          <w:tcPr>
            <w:tcW w:w="1843"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15,67</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7,5</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spacing w:lineRule="auto" w:line="276"/>
              <w:jc w:val="both"/>
              <w:rPr/>
            </w:pPr>
            <w:r>
              <w:rPr>
                <w:rStyle w:val="Style21"/>
                <w:rFonts w:cs="Times New Roman" w:ascii="Times New Roman" w:hAnsi="Times New Roman"/>
                <w:color w:val="000000"/>
                <w:sz w:val="20"/>
                <w:szCs w:val="20"/>
              </w:rPr>
              <w:t>8,17</w:t>
            </w:r>
          </w:p>
        </w:tc>
      </w:tr>
    </w:tbl>
    <w:p>
      <w:pPr>
        <w:pStyle w:val="Normal"/>
        <w:tabs>
          <w:tab w:val="clear" w:pos="709"/>
          <w:tab w:val="left" w:pos="993" w:leader="none"/>
        </w:tabs>
        <w:ind w:firstLine="720"/>
        <w:jc w:val="both"/>
        <w:rPr>
          <w:rStyle w:val="Style21"/>
          <w:rFonts w:ascii="Times New Roman" w:hAnsi="Times New Roman" w:cs="Times New Roman"/>
          <w:color w:val="FF0066"/>
          <w:sz w:val="20"/>
          <w:szCs w:val="28"/>
        </w:rPr>
      </w:pPr>
      <w:r>
        <w:rPr/>
      </w:r>
    </w:p>
    <w:p>
      <w:pPr>
        <w:pStyle w:val="Normal"/>
        <w:tabs>
          <w:tab w:val="clear" w:pos="709"/>
          <w:tab w:val="left" w:pos="993" w:leader="none"/>
        </w:tabs>
        <w:ind w:firstLine="720"/>
        <w:jc w:val="both"/>
        <w:rPr/>
      </w:pPr>
      <w:r>
        <w:rPr>
          <w:color w:val="000000"/>
          <w:szCs w:val="28"/>
        </w:rPr>
        <w:t>Недостатком улично-дорожной сети является неудовлетворительное состояние покрытия проезжей части основных и вспомогательных улиц. Анализ существующего транспортного каркаса выявил ряд проблем, требующих решения. Учитывая тот факт, что население Вахитовского сельского поселения пользуется услугами медицинских организаций, объектов культуры и искусства, образования, специализированными предприятиями торговли и бытового обслуживания, используя личный и общественный транспорт, необходимо улучшение качества дорог за границами и в границах населенных пунктов.</w:t>
      </w:r>
    </w:p>
    <w:p>
      <w:pPr>
        <w:pStyle w:val="Normal"/>
        <w:tabs>
          <w:tab w:val="clear" w:pos="709"/>
          <w:tab w:val="left" w:pos="993" w:leader="none"/>
        </w:tabs>
        <w:ind w:firstLine="720"/>
        <w:jc w:val="both"/>
        <w:rPr>
          <w:color w:val="FF0066"/>
          <w:szCs w:val="28"/>
        </w:rPr>
      </w:pPr>
      <w:r>
        <w:rPr>
          <w:color w:val="FF0066"/>
          <w:szCs w:val="28"/>
        </w:rPr>
      </w:r>
    </w:p>
    <w:p>
      <w:pPr>
        <w:pStyle w:val="2"/>
        <w:numPr>
          <w:ilvl w:val="1"/>
          <w:numId w:val="7"/>
        </w:numPr>
        <w:jc w:val="both"/>
        <w:rPr/>
      </w:pPr>
      <w:bookmarkStart w:id="278" w:name="__RefHeading___Toc156489426"/>
      <w:bookmarkEnd w:id="278"/>
      <w:r>
        <w:rPr/>
        <w:t>Инженерная инфраструктура</w:t>
      </w:r>
    </w:p>
    <w:p>
      <w:pPr>
        <w:pStyle w:val="Style85"/>
        <w:spacing w:before="0" w:after="0"/>
        <w:jc w:val="both"/>
        <w:rPr>
          <w:szCs w:val="28"/>
        </w:rPr>
      </w:pPr>
      <w:r>
        <w:rPr>
          <w:szCs w:val="28"/>
        </w:rPr>
        <w:t>Водоснабжение</w:t>
      </w:r>
    </w:p>
    <w:p>
      <w:pPr>
        <w:pStyle w:val="Style85"/>
        <w:spacing w:before="0" w:after="0"/>
        <w:ind w:firstLine="709"/>
        <w:jc w:val="both"/>
        <w:rPr/>
      </w:pPr>
      <w:r>
        <w:rPr>
          <w:szCs w:val="28"/>
        </w:rPr>
        <w:t>Основным источником хозяйственно-питьевого водоснабжения Вахитовского сельского поселения являются подземные воды. Население пользуется водой как из артезианских скважин, так и из родников.</w:t>
      </w:r>
    </w:p>
    <w:p>
      <w:pPr>
        <w:pStyle w:val="Style85"/>
        <w:spacing w:before="0" w:after="0"/>
        <w:ind w:firstLine="709"/>
        <w:jc w:val="both"/>
        <w:rPr/>
      </w:pPr>
      <w:r>
        <w:rPr>
          <w:szCs w:val="28"/>
        </w:rPr>
        <w:t>Общие данные о сооружениях системы водоснабжения Вахитовского сельского поселения представлены в таблице 3.13.1.</w:t>
      </w:r>
    </w:p>
    <w:p>
      <w:pPr>
        <w:pStyle w:val="Style85"/>
        <w:spacing w:before="0" w:after="0"/>
        <w:ind w:hanging="0"/>
        <w:jc w:val="both"/>
        <w:rPr>
          <w:szCs w:val="28"/>
        </w:rPr>
      </w:pPr>
      <w:r>
        <w:rPr>
          <w:szCs w:val="28"/>
        </w:rPr>
      </w:r>
    </w:p>
    <w:p>
      <w:pPr>
        <w:pStyle w:val="Style85"/>
        <w:spacing w:before="0" w:after="0"/>
        <w:ind w:firstLine="709"/>
        <w:jc w:val="right"/>
        <w:rPr/>
      </w:pPr>
      <w:r>
        <w:rPr>
          <w:szCs w:val="28"/>
        </w:rPr>
        <w:t>Таблица 3.13.1</w:t>
      </w:r>
    </w:p>
    <w:p>
      <w:pPr>
        <w:pStyle w:val="Normal"/>
        <w:ind w:firstLine="851"/>
        <w:jc w:val="center"/>
        <w:rPr/>
      </w:pPr>
      <w:r>
        <w:rPr>
          <w:rFonts w:eastAsia="Calibri"/>
          <w:szCs w:val="28"/>
        </w:rPr>
        <w:t>Характеристика сооружений системы водоснабжения Вахитовского сельского поселения Верхнеуслонского</w:t>
      </w:r>
      <w:r>
        <w:rPr/>
        <w:t xml:space="preserve"> муниципального района Республики Татарстан</w:t>
      </w:r>
    </w:p>
    <w:tbl>
      <w:tblPr>
        <w:tblW w:w="10281" w:type="dxa"/>
        <w:jc w:val="center"/>
        <w:tblInd w:w="0" w:type="dxa"/>
        <w:tblLayout w:type="fixed"/>
        <w:tblCellMar>
          <w:top w:w="0" w:type="dxa"/>
          <w:left w:w="108" w:type="dxa"/>
          <w:bottom w:w="0" w:type="dxa"/>
          <w:right w:w="108" w:type="dxa"/>
        </w:tblCellMar>
      </w:tblPr>
      <w:tblGrid>
        <w:gridCol w:w="675"/>
        <w:gridCol w:w="2518"/>
        <w:gridCol w:w="1276"/>
        <w:gridCol w:w="1276"/>
        <w:gridCol w:w="1275"/>
        <w:gridCol w:w="1560"/>
        <w:gridCol w:w="1701"/>
      </w:tblGrid>
      <w:tr>
        <w:trPr>
          <w:tblHeader w:val="true"/>
          <w:trHeight w:val="421" w:hRule="atLeast"/>
        </w:trPr>
        <w:tc>
          <w:tcPr>
            <w:tcW w:w="6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 xml:space="preserve">№ </w:t>
            </w:r>
            <w:r>
              <w:rPr>
                <w:sz w:val="20"/>
                <w:szCs w:val="20"/>
              </w:rPr>
              <w:t>п/п</w:t>
            </w:r>
          </w:p>
        </w:tc>
        <w:tc>
          <w:tcPr>
            <w:tcW w:w="251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 xml:space="preserve">Наименования населенных пунктов, входящих в состав поселения </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sz w:val="20"/>
                <w:szCs w:val="20"/>
              </w:rPr>
              <w:t>Источник водоснабжения, единиц</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Количество башен,</w:t>
            </w:r>
          </w:p>
          <w:p>
            <w:pPr>
              <w:pStyle w:val="Normal"/>
              <w:ind w:hanging="0"/>
              <w:jc w:val="center"/>
              <w:rPr>
                <w:sz w:val="20"/>
                <w:szCs w:val="20"/>
              </w:rPr>
            </w:pPr>
            <w:r>
              <w:rPr>
                <w:sz w:val="20"/>
                <w:szCs w:val="20"/>
              </w:rPr>
              <w:t>единиц</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Мощность водозабора м³/сут</w:t>
            </w:r>
          </w:p>
        </w:tc>
        <w:tc>
          <w:tcPr>
            <w:tcW w:w="156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sz w:val="20"/>
                <w:szCs w:val="20"/>
              </w:rPr>
              <w:t>Размер первого пояса зоны санитарной охраны, м</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Протяженность</w:t>
            </w:r>
          </w:p>
          <w:p>
            <w:pPr>
              <w:pStyle w:val="Normal"/>
              <w:ind w:hanging="0"/>
              <w:jc w:val="center"/>
              <w:rPr>
                <w:sz w:val="20"/>
                <w:szCs w:val="20"/>
              </w:rPr>
            </w:pPr>
            <w:r>
              <w:rPr>
                <w:sz w:val="20"/>
                <w:szCs w:val="20"/>
              </w:rPr>
              <w:t>водопроводных</w:t>
            </w:r>
          </w:p>
          <w:p>
            <w:pPr>
              <w:pStyle w:val="Normal"/>
              <w:ind w:hanging="0"/>
              <w:jc w:val="center"/>
              <w:rPr>
                <w:sz w:val="20"/>
                <w:szCs w:val="20"/>
              </w:rPr>
            </w:pPr>
            <w:r>
              <w:rPr>
                <w:sz w:val="20"/>
                <w:szCs w:val="20"/>
              </w:rPr>
              <w:t>сетей, км</w:t>
            </w:r>
          </w:p>
        </w:tc>
      </w:tr>
      <w:tr>
        <w:trPr>
          <w:trHeight w:val="47" w:hRule="atLeast"/>
        </w:trPr>
        <w:tc>
          <w:tcPr>
            <w:tcW w:w="67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center"/>
              <w:rPr>
                <w:rFonts w:eastAsia="Calibri"/>
                <w:bCs/>
                <w:color w:val="FF0066"/>
                <w:sz w:val="20"/>
                <w:szCs w:val="20"/>
              </w:rPr>
            </w:pPr>
            <w:r>
              <w:rPr>
                <w:rFonts w:eastAsia="Calibri"/>
                <w:bCs/>
                <w:color w:val="FF0066"/>
                <w:sz w:val="20"/>
                <w:szCs w:val="20"/>
              </w:rPr>
            </w:r>
          </w:p>
        </w:tc>
        <w:tc>
          <w:tcPr>
            <w:tcW w:w="2518" w:type="dxa"/>
            <w:tcBorders>
              <w:top w:val="single" w:sz="4" w:space="0" w:color="000000"/>
              <w:left w:val="single" w:sz="4" w:space="0" w:color="000000"/>
              <w:bottom w:val="single" w:sz="4" w:space="0" w:color="000000"/>
              <w:right w:val="single" w:sz="4" w:space="0" w:color="000000"/>
            </w:tcBorders>
            <w:vAlign w:val="center"/>
          </w:tcPr>
          <w:p>
            <w:pPr>
              <w:pStyle w:val="Normal"/>
              <w:ind w:hanging="0"/>
              <w:rPr/>
            </w:pPr>
            <w:r>
              <w:rPr>
                <w:rFonts w:eastAsia="Calibri"/>
                <w:bCs/>
                <w:sz w:val="20"/>
                <w:szCs w:val="20"/>
              </w:rPr>
              <w:t>Вахитовское СП</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bCs/>
                <w:sz w:val="20"/>
                <w:szCs w:val="20"/>
              </w:rPr>
            </w:pPr>
            <w:r>
              <w:rPr>
                <w:rFonts w:eastAsia="Calibri"/>
                <w:bCs/>
                <w:sz w:val="20"/>
                <w:szCs w:val="20"/>
              </w:rPr>
              <w:t>4</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bCs/>
                <w:sz w:val="20"/>
                <w:szCs w:val="20"/>
              </w:rPr>
            </w:pPr>
            <w:r>
              <w:rPr>
                <w:rFonts w:eastAsia="Calibri"/>
                <w:bCs/>
                <w:sz w:val="20"/>
                <w:szCs w:val="20"/>
              </w:rPr>
              <w:t>5</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bCs/>
                <w:sz w:val="20"/>
                <w:szCs w:val="20"/>
              </w:rPr>
            </w:pPr>
            <w:r>
              <w:rPr>
                <w:rFonts w:eastAsia="Calibri"/>
                <w:bCs/>
                <w:sz w:val="20"/>
                <w:szCs w:val="20"/>
              </w:rPr>
              <w:t>700</w:t>
            </w:r>
          </w:p>
        </w:tc>
        <w:tc>
          <w:tcPr>
            <w:tcW w:w="156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bCs/>
                <w:sz w:val="20"/>
                <w:szCs w:val="20"/>
              </w:rPr>
            </w:pPr>
            <w:r>
              <w:rPr>
                <w:rFonts w:eastAsia="Calibri"/>
                <w:bCs/>
                <w:sz w:val="20"/>
                <w:szCs w:val="20"/>
              </w:rPr>
              <w:t>-</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bCs/>
                <w:color w:val="000000"/>
                <w:sz w:val="20"/>
                <w:szCs w:val="20"/>
              </w:rPr>
            </w:pPr>
            <w:r>
              <w:rPr>
                <w:rFonts w:eastAsia="Calibri"/>
                <w:bCs/>
                <w:color w:val="000000"/>
                <w:sz w:val="20"/>
                <w:szCs w:val="20"/>
              </w:rPr>
              <w:t>-</w:t>
            </w:r>
          </w:p>
        </w:tc>
      </w:tr>
      <w:tr>
        <w:trPr>
          <w:trHeight w:val="47" w:hRule="atLeast"/>
        </w:trPr>
        <w:tc>
          <w:tcPr>
            <w:tcW w:w="6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bCs/>
                <w:sz w:val="20"/>
                <w:szCs w:val="20"/>
              </w:rPr>
            </w:pPr>
            <w:r>
              <w:rPr>
                <w:rFonts w:eastAsia="Calibri"/>
                <w:bCs/>
                <w:sz w:val="20"/>
                <w:szCs w:val="20"/>
              </w:rPr>
              <w:t>1</w:t>
            </w:r>
          </w:p>
        </w:tc>
        <w:tc>
          <w:tcPr>
            <w:tcW w:w="2518" w:type="dxa"/>
            <w:tcBorders>
              <w:top w:val="single" w:sz="4" w:space="0" w:color="000000"/>
              <w:left w:val="single" w:sz="4" w:space="0" w:color="000000"/>
              <w:bottom w:val="single" w:sz="4" w:space="0" w:color="000000"/>
              <w:right w:val="single" w:sz="4" w:space="0" w:color="000000"/>
            </w:tcBorders>
            <w:vAlign w:val="center"/>
          </w:tcPr>
          <w:p>
            <w:pPr>
              <w:pStyle w:val="Style75"/>
              <w:jc w:val="left"/>
              <w:rPr>
                <w:sz w:val="20"/>
                <w:szCs w:val="20"/>
              </w:rPr>
            </w:pPr>
            <w:r>
              <w:rPr>
                <w:sz w:val="20"/>
                <w:szCs w:val="20"/>
              </w:rPr>
              <w:t>д.им.Мулланура Вахитова</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sz w:val="20"/>
                <w:szCs w:val="20"/>
              </w:rPr>
            </w:pPr>
            <w:r>
              <w:rPr>
                <w:rFonts w:eastAsia="Calibri"/>
                <w:sz w:val="20"/>
                <w:szCs w:val="20"/>
              </w:rPr>
              <w:t>1</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sz w:val="20"/>
                <w:szCs w:val="20"/>
              </w:rPr>
            </w:pPr>
            <w:r>
              <w:rPr>
                <w:rFonts w:eastAsia="Calibri"/>
                <w:sz w:val="20"/>
                <w:szCs w:val="20"/>
              </w:rPr>
              <w:t>1</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sz w:val="20"/>
                <w:szCs w:val="20"/>
              </w:rPr>
            </w:pPr>
            <w:r>
              <w:rPr>
                <w:rFonts w:eastAsia="Calibri"/>
                <w:sz w:val="20"/>
                <w:szCs w:val="20"/>
              </w:rPr>
              <w:t>200</w:t>
            </w:r>
          </w:p>
        </w:tc>
        <w:tc>
          <w:tcPr>
            <w:tcW w:w="156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sz w:val="20"/>
                <w:szCs w:val="20"/>
              </w:rPr>
            </w:pPr>
            <w:r>
              <w:rPr>
                <w:rFonts w:eastAsia="Calibri"/>
                <w:sz w:val="20"/>
                <w:szCs w:val="20"/>
              </w:rPr>
              <w:t>50</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color w:val="000000"/>
                <w:sz w:val="20"/>
                <w:szCs w:val="20"/>
              </w:rPr>
            </w:pPr>
            <w:r>
              <w:rPr>
                <w:rFonts w:eastAsia="Calibri"/>
                <w:color w:val="000000"/>
                <w:sz w:val="20"/>
                <w:szCs w:val="20"/>
              </w:rPr>
              <w:t>-</w:t>
            </w:r>
          </w:p>
        </w:tc>
      </w:tr>
      <w:tr>
        <w:trPr>
          <w:trHeight w:val="47" w:hRule="atLeast"/>
        </w:trPr>
        <w:tc>
          <w:tcPr>
            <w:tcW w:w="6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bCs/>
                <w:sz w:val="20"/>
                <w:szCs w:val="20"/>
              </w:rPr>
            </w:pPr>
            <w:r>
              <w:rPr>
                <w:rFonts w:eastAsia="Calibri"/>
                <w:bCs/>
                <w:sz w:val="20"/>
                <w:szCs w:val="20"/>
              </w:rPr>
              <w:t>2</w:t>
            </w:r>
          </w:p>
        </w:tc>
        <w:tc>
          <w:tcPr>
            <w:tcW w:w="2518" w:type="dxa"/>
            <w:tcBorders>
              <w:top w:val="single" w:sz="4" w:space="0" w:color="000000"/>
              <w:left w:val="single" w:sz="4" w:space="0" w:color="000000"/>
              <w:bottom w:val="single" w:sz="4" w:space="0" w:color="000000"/>
              <w:right w:val="single" w:sz="4" w:space="0" w:color="000000"/>
            </w:tcBorders>
            <w:vAlign w:val="center"/>
          </w:tcPr>
          <w:p>
            <w:pPr>
              <w:pStyle w:val="Style75"/>
              <w:jc w:val="left"/>
              <w:rPr/>
            </w:pPr>
            <w:r>
              <w:rPr>
                <w:sz w:val="20"/>
                <w:szCs w:val="20"/>
              </w:rPr>
              <w:t>п.Бакча-Сарай</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sz w:val="20"/>
                <w:szCs w:val="20"/>
              </w:rPr>
            </w:pPr>
            <w:r>
              <w:rPr>
                <w:rFonts w:eastAsia="Calibri"/>
                <w:sz w:val="20"/>
                <w:szCs w:val="20"/>
              </w:rPr>
              <w:t>1</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sz w:val="20"/>
                <w:szCs w:val="20"/>
              </w:rPr>
            </w:pPr>
            <w:r>
              <w:rPr>
                <w:rFonts w:eastAsia="Calibri"/>
                <w:sz w:val="20"/>
                <w:szCs w:val="20"/>
              </w:rPr>
              <w:t>1</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sz w:val="20"/>
                <w:szCs w:val="20"/>
              </w:rPr>
            </w:pPr>
            <w:r>
              <w:rPr>
                <w:rFonts w:eastAsia="Calibri"/>
                <w:sz w:val="20"/>
                <w:szCs w:val="20"/>
              </w:rPr>
              <w:t>200</w:t>
            </w:r>
          </w:p>
        </w:tc>
        <w:tc>
          <w:tcPr>
            <w:tcW w:w="156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bCs/>
                <w:sz w:val="20"/>
                <w:szCs w:val="20"/>
              </w:rPr>
            </w:pPr>
            <w:r>
              <w:rPr>
                <w:rFonts w:eastAsia="Calibri"/>
                <w:bCs/>
                <w:sz w:val="20"/>
                <w:szCs w:val="20"/>
              </w:rPr>
              <w:t>50</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color w:val="000000"/>
                <w:sz w:val="20"/>
                <w:szCs w:val="20"/>
              </w:rPr>
            </w:pPr>
            <w:r>
              <w:rPr>
                <w:rFonts w:eastAsia="Calibri"/>
                <w:color w:val="000000"/>
                <w:sz w:val="20"/>
                <w:szCs w:val="20"/>
              </w:rPr>
              <w:t>-</w:t>
            </w:r>
          </w:p>
        </w:tc>
      </w:tr>
      <w:tr>
        <w:trPr>
          <w:trHeight w:val="47" w:hRule="atLeast"/>
        </w:trPr>
        <w:tc>
          <w:tcPr>
            <w:tcW w:w="6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bCs/>
                <w:sz w:val="20"/>
                <w:szCs w:val="20"/>
              </w:rPr>
            </w:pPr>
            <w:r>
              <w:rPr>
                <w:rFonts w:eastAsia="Calibri"/>
                <w:bCs/>
                <w:sz w:val="20"/>
                <w:szCs w:val="20"/>
              </w:rPr>
              <w:t>3</w:t>
            </w:r>
          </w:p>
        </w:tc>
        <w:tc>
          <w:tcPr>
            <w:tcW w:w="2518" w:type="dxa"/>
            <w:tcBorders>
              <w:top w:val="single" w:sz="4" w:space="0" w:color="000000"/>
              <w:left w:val="single" w:sz="4" w:space="0" w:color="000000"/>
              <w:bottom w:val="single" w:sz="4" w:space="0" w:color="000000"/>
              <w:right w:val="single" w:sz="4" w:space="0" w:color="000000"/>
            </w:tcBorders>
            <w:vAlign w:val="center"/>
          </w:tcPr>
          <w:p>
            <w:pPr>
              <w:pStyle w:val="Style75"/>
              <w:jc w:val="left"/>
              <w:rPr>
                <w:sz w:val="20"/>
                <w:szCs w:val="20"/>
              </w:rPr>
            </w:pPr>
            <w:r>
              <w:rPr>
                <w:sz w:val="20"/>
                <w:szCs w:val="20"/>
              </w:rPr>
              <w:t>с.Ташевка</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sz w:val="20"/>
                <w:szCs w:val="20"/>
              </w:rPr>
            </w:pPr>
            <w:r>
              <w:rPr>
                <w:rFonts w:eastAsia="Calibri"/>
                <w:sz w:val="20"/>
                <w:szCs w:val="20"/>
              </w:rPr>
              <w:t>1</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sz w:val="20"/>
                <w:szCs w:val="20"/>
              </w:rPr>
            </w:pPr>
            <w:r>
              <w:rPr>
                <w:rFonts w:eastAsia="Calibri"/>
                <w:sz w:val="20"/>
                <w:szCs w:val="20"/>
              </w:rPr>
              <w:t>1</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sz w:val="20"/>
                <w:szCs w:val="20"/>
              </w:rPr>
            </w:pPr>
            <w:r>
              <w:rPr>
                <w:rFonts w:eastAsia="Calibri"/>
                <w:sz w:val="20"/>
                <w:szCs w:val="20"/>
              </w:rPr>
              <w:t>150</w:t>
            </w:r>
          </w:p>
        </w:tc>
        <w:tc>
          <w:tcPr>
            <w:tcW w:w="156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bCs/>
                <w:sz w:val="20"/>
                <w:szCs w:val="20"/>
              </w:rPr>
            </w:pPr>
            <w:r>
              <w:rPr>
                <w:rFonts w:eastAsia="Calibri"/>
                <w:bCs/>
                <w:sz w:val="20"/>
                <w:szCs w:val="20"/>
              </w:rPr>
              <w:t>50</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color w:val="000000"/>
                <w:sz w:val="20"/>
                <w:szCs w:val="20"/>
              </w:rPr>
            </w:pPr>
            <w:r>
              <w:rPr>
                <w:rFonts w:eastAsia="Calibri"/>
                <w:color w:val="000000"/>
                <w:sz w:val="20"/>
                <w:szCs w:val="20"/>
              </w:rPr>
              <w:t>-</w:t>
            </w:r>
          </w:p>
        </w:tc>
      </w:tr>
      <w:tr>
        <w:trPr>
          <w:trHeight w:val="47" w:hRule="atLeast"/>
        </w:trPr>
        <w:tc>
          <w:tcPr>
            <w:tcW w:w="6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bCs/>
                <w:sz w:val="20"/>
                <w:szCs w:val="20"/>
              </w:rPr>
            </w:pPr>
            <w:r>
              <w:rPr>
                <w:rFonts w:eastAsia="Calibri"/>
                <w:bCs/>
                <w:sz w:val="20"/>
                <w:szCs w:val="20"/>
              </w:rPr>
              <w:t>3</w:t>
            </w:r>
          </w:p>
        </w:tc>
        <w:tc>
          <w:tcPr>
            <w:tcW w:w="2518" w:type="dxa"/>
            <w:tcBorders>
              <w:top w:val="single" w:sz="4" w:space="0" w:color="000000"/>
              <w:left w:val="single" w:sz="4" w:space="0" w:color="000000"/>
              <w:bottom w:val="single" w:sz="4" w:space="0" w:color="000000"/>
              <w:right w:val="single" w:sz="4" w:space="0" w:color="000000"/>
            </w:tcBorders>
            <w:vAlign w:val="center"/>
          </w:tcPr>
          <w:p>
            <w:pPr>
              <w:pStyle w:val="Style75"/>
              <w:jc w:val="left"/>
              <w:rPr/>
            </w:pPr>
            <w:r>
              <w:rPr>
                <w:sz w:val="20"/>
                <w:szCs w:val="20"/>
              </w:rPr>
              <w:t>д.Ватан</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sz w:val="20"/>
                <w:szCs w:val="20"/>
              </w:rPr>
            </w:pPr>
            <w:r>
              <w:rPr>
                <w:rFonts w:eastAsia="Calibri"/>
                <w:sz w:val="20"/>
                <w:szCs w:val="20"/>
              </w:rPr>
              <w:t>1</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sz w:val="20"/>
                <w:szCs w:val="20"/>
              </w:rPr>
            </w:pPr>
            <w:r>
              <w:rPr>
                <w:rFonts w:eastAsia="Calibri"/>
                <w:sz w:val="20"/>
                <w:szCs w:val="20"/>
              </w:rPr>
              <w:t>1</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sz w:val="20"/>
                <w:szCs w:val="20"/>
              </w:rPr>
            </w:pPr>
            <w:r>
              <w:rPr>
                <w:rFonts w:eastAsia="Calibri"/>
                <w:sz w:val="20"/>
                <w:szCs w:val="20"/>
              </w:rPr>
              <w:t>150</w:t>
            </w:r>
          </w:p>
        </w:tc>
        <w:tc>
          <w:tcPr>
            <w:tcW w:w="156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bCs/>
                <w:sz w:val="20"/>
                <w:szCs w:val="20"/>
              </w:rPr>
            </w:pPr>
            <w:r>
              <w:rPr>
                <w:rFonts w:eastAsia="Calibri"/>
                <w:bCs/>
                <w:sz w:val="20"/>
                <w:szCs w:val="20"/>
              </w:rPr>
              <w:t>50</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color w:val="000000"/>
                <w:sz w:val="20"/>
                <w:szCs w:val="20"/>
              </w:rPr>
            </w:pPr>
            <w:r>
              <w:rPr>
                <w:rFonts w:eastAsia="Calibri"/>
                <w:color w:val="000000"/>
                <w:sz w:val="20"/>
                <w:szCs w:val="20"/>
              </w:rPr>
              <w:t>-</w:t>
            </w:r>
          </w:p>
        </w:tc>
      </w:tr>
      <w:tr>
        <w:trPr>
          <w:trHeight w:val="47" w:hRule="atLeast"/>
        </w:trPr>
        <w:tc>
          <w:tcPr>
            <w:tcW w:w="6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bCs/>
                <w:sz w:val="20"/>
                <w:szCs w:val="20"/>
              </w:rPr>
            </w:pPr>
            <w:r>
              <w:rPr>
                <w:rFonts w:eastAsia="Calibri"/>
                <w:bCs/>
                <w:sz w:val="20"/>
                <w:szCs w:val="20"/>
              </w:rPr>
              <w:t>4</w:t>
            </w:r>
          </w:p>
        </w:tc>
        <w:tc>
          <w:tcPr>
            <w:tcW w:w="2518" w:type="dxa"/>
            <w:tcBorders>
              <w:top w:val="single" w:sz="4" w:space="0" w:color="000000"/>
              <w:left w:val="single" w:sz="4" w:space="0" w:color="000000"/>
              <w:bottom w:val="single" w:sz="4" w:space="0" w:color="000000"/>
              <w:right w:val="single" w:sz="4" w:space="0" w:color="000000"/>
            </w:tcBorders>
            <w:vAlign w:val="center"/>
          </w:tcPr>
          <w:p>
            <w:pPr>
              <w:pStyle w:val="Style75"/>
              <w:jc w:val="left"/>
              <w:rPr/>
            </w:pPr>
            <w:r>
              <w:rPr>
                <w:sz w:val="20"/>
                <w:szCs w:val="20"/>
              </w:rPr>
              <w:t>д.Гребени</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sz w:val="20"/>
                <w:szCs w:val="20"/>
              </w:rPr>
            </w:pPr>
            <w:r>
              <w:rPr>
                <w:rFonts w:eastAsia="Calibri"/>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sz w:val="20"/>
                <w:szCs w:val="20"/>
              </w:rPr>
            </w:pPr>
            <w:r>
              <w:rPr>
                <w:rFonts w:eastAsia="Calibri"/>
                <w:sz w:val="20"/>
                <w:szCs w:val="20"/>
              </w:rPr>
              <w:t>0</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sz w:val="20"/>
                <w:szCs w:val="20"/>
              </w:rPr>
            </w:pPr>
            <w:r>
              <w:rPr>
                <w:rFonts w:eastAsia="Calibri"/>
                <w:sz w:val="20"/>
                <w:szCs w:val="20"/>
              </w:rPr>
              <w:t>0</w:t>
            </w:r>
          </w:p>
        </w:tc>
        <w:tc>
          <w:tcPr>
            <w:tcW w:w="156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bCs/>
                <w:sz w:val="20"/>
                <w:szCs w:val="20"/>
              </w:rPr>
            </w:pPr>
            <w:r>
              <w:rPr>
                <w:rFonts w:eastAsia="Calibri"/>
                <w:bCs/>
                <w:sz w:val="20"/>
                <w:szCs w:val="20"/>
              </w:rPr>
              <w:t>-</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sz w:val="20"/>
                <w:szCs w:val="20"/>
              </w:rPr>
            </w:pPr>
            <w:r>
              <w:rPr>
                <w:rFonts w:eastAsia="Calibri"/>
                <w:sz w:val="20"/>
                <w:szCs w:val="20"/>
              </w:rPr>
              <w:t>-</w:t>
            </w:r>
          </w:p>
        </w:tc>
      </w:tr>
    </w:tbl>
    <w:p>
      <w:pPr>
        <w:pStyle w:val="Normal"/>
        <w:widowControl w:val="false"/>
        <w:tabs>
          <w:tab w:val="clear" w:pos="709"/>
          <w:tab w:val="left" w:pos="1080" w:leader="none"/>
        </w:tabs>
        <w:overflowPunct w:val="false"/>
        <w:autoSpaceDE w:val="false"/>
        <w:ind w:left="720" w:hanging="0"/>
        <w:rPr>
          <w:rFonts w:eastAsia="Calibri"/>
          <w:color w:val="FF0066"/>
          <w:szCs w:val="28"/>
        </w:rPr>
      </w:pPr>
      <w:r>
        <w:rPr>
          <w:rFonts w:eastAsia="Calibri"/>
          <w:color w:val="FF0066"/>
          <w:szCs w:val="28"/>
        </w:rPr>
      </w:r>
    </w:p>
    <w:p>
      <w:pPr>
        <w:pStyle w:val="Normal"/>
        <w:widowControl w:val="false"/>
        <w:tabs>
          <w:tab w:val="clear" w:pos="709"/>
          <w:tab w:val="left" w:pos="1080" w:leader="none"/>
        </w:tabs>
        <w:overflowPunct w:val="false"/>
        <w:autoSpaceDE w:val="false"/>
        <w:rPr/>
      </w:pPr>
      <w:r>
        <w:rPr>
          <w:bCs/>
          <w:szCs w:val="28"/>
        </w:rPr>
        <w:t>На сегодняшний день в Вахитовском сельском поселении имеются четыре водонапорные башни для обслуживания населения сельского поселения и один резервуар в д.Ватан.</w:t>
      </w:r>
    </w:p>
    <w:p>
      <w:pPr>
        <w:pStyle w:val="Normal"/>
        <w:widowControl w:val="false"/>
        <w:tabs>
          <w:tab w:val="clear" w:pos="709"/>
          <w:tab w:val="left" w:pos="1080" w:leader="none"/>
        </w:tabs>
        <w:overflowPunct w:val="false"/>
        <w:autoSpaceDE w:val="false"/>
        <w:rPr/>
      </w:pPr>
      <w:r>
        <w:rPr>
          <w:bCs/>
          <w:szCs w:val="28"/>
        </w:rPr>
        <w:t>Также на территории сельского поселения имеется водонапорная башня животноводческой фермы возле д.им.Мулланура Вахитова.</w:t>
      </w:r>
    </w:p>
    <w:p>
      <w:pPr>
        <w:pStyle w:val="Normal"/>
        <w:widowControl w:val="false"/>
        <w:tabs>
          <w:tab w:val="clear" w:pos="709"/>
          <w:tab w:val="left" w:pos="1080" w:leader="none"/>
        </w:tabs>
        <w:overflowPunct w:val="false"/>
        <w:autoSpaceDE w:val="false"/>
        <w:rPr/>
      </w:pPr>
      <w:r>
        <w:rPr>
          <w:bCs/>
          <w:color w:val="000000"/>
          <w:szCs w:val="28"/>
        </w:rPr>
        <w:t>Износ водонапорных башен в населенных пунктах д.им. Мулланура Вахитова и с.Ташевка составляет 48%, п.Бакча-Сарай – 59% и в д.Ватан износ составляет 63%.</w:t>
      </w:r>
    </w:p>
    <w:p>
      <w:pPr>
        <w:pStyle w:val="Style85"/>
        <w:spacing w:before="0" w:after="0"/>
        <w:ind w:firstLine="709"/>
        <w:rPr/>
      </w:pPr>
      <w:r>
        <w:rPr>
          <w:szCs w:val="28"/>
        </w:rPr>
        <w:t>Забор воды осуществляется скважинами</w:t>
      </w:r>
      <w:r>
        <w:rPr>
          <w:szCs w:val="28"/>
          <w:lang w:val="ru-RU"/>
        </w:rPr>
        <w:t xml:space="preserve"> вблизи населенных пунктов</w:t>
      </w:r>
      <w:r>
        <w:rPr>
          <w:szCs w:val="28"/>
        </w:rPr>
        <w:t>. Насосная станция 1 подъема совмещена с водоприемными сооружениями, устье скважин закрыто павильоном. Очистные сооружения, узел учета воды отсутствуют, потребителям подается исходная (природная) вода. Первый пояс зоны санитарной охраны источников водоснабжения принят в радиусе 50</w:t>
      </w:r>
      <w:r>
        <w:rPr>
          <w:szCs w:val="28"/>
          <w:lang w:val="ru-RU"/>
        </w:rPr>
        <w:t xml:space="preserve"> </w:t>
      </w:r>
      <w:r>
        <w:rPr>
          <w:szCs w:val="28"/>
        </w:rPr>
        <w:t>м от водозаборных скважин.</w:t>
      </w:r>
    </w:p>
    <w:p>
      <w:pPr>
        <w:pStyle w:val="Style85"/>
        <w:spacing w:before="0" w:after="0"/>
        <w:ind w:firstLine="709"/>
        <w:rPr/>
      </w:pPr>
      <w:r>
        <w:rPr>
          <w:color w:val="000000"/>
          <w:szCs w:val="28"/>
        </w:rPr>
        <w:t>Вода по химическому составу гидрокарбонатная магниево-кальциевая и соответствует требованиям СанПин 2.1.</w:t>
      </w:r>
      <w:r>
        <w:rPr>
          <w:color w:val="000000"/>
          <w:szCs w:val="28"/>
          <w:lang w:val="ru-RU"/>
        </w:rPr>
        <w:t>3684-21</w:t>
      </w:r>
      <w:r>
        <w:rPr>
          <w:color w:val="000000"/>
          <w:szCs w:val="28"/>
        </w:rP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pPr>
        <w:pStyle w:val="Style85"/>
        <w:spacing w:before="0" w:after="0"/>
        <w:ind w:firstLine="709"/>
        <w:rPr/>
      </w:pPr>
      <w:r>
        <w:rPr>
          <w:szCs w:val="28"/>
        </w:rPr>
        <w:t>Система водоснабжения принята низкого давления, с учетом удовлетворения хозяйственно-питьевых и противопожарных нужд.  Водопроводные сети оборудованы водоразборными колонками и пожарными гидрантами. Водонапорные башни регулируют водопотребление населенн</w:t>
      </w:r>
      <w:r>
        <w:rPr>
          <w:szCs w:val="28"/>
          <w:lang w:val="ru-RU"/>
        </w:rPr>
        <w:t>ых</w:t>
      </w:r>
      <w:r>
        <w:rPr>
          <w:szCs w:val="28"/>
        </w:rPr>
        <w:t xml:space="preserve"> пункт</w:t>
      </w:r>
      <w:r>
        <w:rPr>
          <w:szCs w:val="28"/>
          <w:lang w:val="ru-RU"/>
        </w:rPr>
        <w:t>ов</w:t>
      </w:r>
      <w:r>
        <w:rPr>
          <w:szCs w:val="28"/>
        </w:rPr>
        <w:t>, создают необходимый напор в сети, а также хранят 10-ти минутный противопожарный запас воды.</w:t>
      </w:r>
    </w:p>
    <w:p>
      <w:pPr>
        <w:pStyle w:val="Style85"/>
        <w:spacing w:before="0" w:after="0"/>
        <w:ind w:firstLine="709"/>
        <w:rPr/>
      </w:pPr>
      <w:r>
        <w:rPr>
          <w:color w:val="000000"/>
          <w:szCs w:val="28"/>
        </w:rPr>
        <w:t>В летний период на отдаленных участках водопроводной сети дефицит воды</w:t>
      </w:r>
      <w:r>
        <w:rPr>
          <w:color w:val="000000"/>
          <w:szCs w:val="28"/>
          <w:lang w:val="ru-RU"/>
        </w:rPr>
        <w:t xml:space="preserve"> не </w:t>
      </w:r>
      <w:r>
        <w:rPr>
          <w:color w:val="000000"/>
          <w:szCs w:val="28"/>
        </w:rPr>
        <w:t>наблюдается</w:t>
      </w:r>
      <w:r>
        <w:rPr>
          <w:color w:val="000000"/>
          <w:szCs w:val="28"/>
          <w:lang w:val="ru-RU"/>
        </w:rPr>
        <w:t>.</w:t>
      </w:r>
    </w:p>
    <w:p>
      <w:pPr>
        <w:pStyle w:val="Style85"/>
        <w:spacing w:before="0" w:after="0"/>
        <w:ind w:left="426" w:hanging="0"/>
        <w:jc w:val="center"/>
        <w:rPr>
          <w:color w:val="FF0066"/>
          <w:szCs w:val="28"/>
        </w:rPr>
      </w:pPr>
      <w:r>
        <w:rPr>
          <w:color w:val="FF0066"/>
          <w:szCs w:val="28"/>
        </w:rPr>
      </w:r>
    </w:p>
    <w:p>
      <w:pPr>
        <w:pStyle w:val="Style85"/>
        <w:spacing w:before="0" w:after="0"/>
        <w:ind w:left="426" w:hanging="0"/>
        <w:jc w:val="center"/>
        <w:rPr>
          <w:szCs w:val="28"/>
        </w:rPr>
      </w:pPr>
      <w:r>
        <w:rPr>
          <w:szCs w:val="28"/>
        </w:rPr>
        <w:t>Канализация</w:t>
      </w:r>
    </w:p>
    <w:p>
      <w:pPr>
        <w:pStyle w:val="Style85"/>
        <w:spacing w:before="0" w:after="0"/>
        <w:ind w:firstLine="709"/>
        <w:rPr/>
      </w:pPr>
      <w:r>
        <w:rPr>
          <w:szCs w:val="28"/>
        </w:rPr>
        <w:t>В Вахитовском сельском поселении отсутствует централизованная система водоотведения. Население пользуется септиками или выгребными ямами, которые имеют недостаточную степень гидроизоляции, что приводит к загрязнению территории.</w:t>
      </w:r>
    </w:p>
    <w:p>
      <w:pPr>
        <w:pStyle w:val="Style85"/>
        <w:spacing w:before="0" w:after="0"/>
        <w:ind w:firstLine="709"/>
        <w:rPr/>
      </w:pPr>
      <w:r>
        <w:rPr>
          <w:szCs w:val="28"/>
        </w:rPr>
        <w:t>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w:t>
      </w:r>
    </w:p>
    <w:p>
      <w:pPr>
        <w:pStyle w:val="Style85"/>
        <w:spacing w:before="0" w:after="0"/>
        <w:ind w:firstLine="709"/>
        <w:rPr>
          <w:color w:val="FF0066"/>
          <w:szCs w:val="28"/>
        </w:rPr>
      </w:pPr>
      <w:r>
        <w:rPr>
          <w:color w:val="FF0066"/>
          <w:szCs w:val="28"/>
        </w:rPr>
      </w:r>
    </w:p>
    <w:p>
      <w:pPr>
        <w:pStyle w:val="Style85"/>
        <w:spacing w:before="0" w:after="0"/>
        <w:ind w:left="426" w:hanging="0"/>
        <w:jc w:val="center"/>
        <w:rPr>
          <w:szCs w:val="28"/>
        </w:rPr>
      </w:pPr>
      <w:r>
        <w:rPr>
          <w:szCs w:val="28"/>
        </w:rPr>
        <w:t>Санитарная очистка территории</w:t>
      </w:r>
    </w:p>
    <w:p>
      <w:pPr>
        <w:pStyle w:val="Style85"/>
        <w:spacing w:before="0" w:after="0"/>
        <w:ind w:firstLine="709"/>
        <w:rPr>
          <w:szCs w:val="28"/>
        </w:rPr>
      </w:pPr>
      <w:r>
        <w:rPr>
          <w:szCs w:val="28"/>
        </w:rPr>
        <w:t>В данном разделе рассматриваются вопросы по организации, сбору, удалению, обезвреживанию твердых и жидких бытовых отходов, а также уборке поселковых территорий.</w:t>
      </w:r>
    </w:p>
    <w:p>
      <w:pPr>
        <w:pStyle w:val="Style85"/>
        <w:spacing w:before="0" w:after="0"/>
        <w:ind w:firstLine="709"/>
        <w:rPr>
          <w:szCs w:val="28"/>
        </w:rPr>
      </w:pPr>
      <w:r>
        <w:rPr>
          <w:szCs w:val="28"/>
        </w:rPr>
        <w:t>Вопросы охраны атмосферного воздуха, водных ресурсов, выявление источников вредного воздействия, удаление, обезвреживание неутилизируемых промышленных отходов рассматриваются в разделе «Охрана окружающей среды».</w:t>
      </w:r>
    </w:p>
    <w:p>
      <w:pPr>
        <w:pStyle w:val="Normal"/>
        <w:rPr/>
      </w:pPr>
      <w:r>
        <w:rPr>
          <w:szCs w:val="28"/>
          <w:lang w:val="ru-RU"/>
        </w:rPr>
        <w:t xml:space="preserve">На территории </w:t>
      </w:r>
      <w:r>
        <w:rPr>
          <w:szCs w:val="28"/>
        </w:rPr>
        <w:t>Вахитовского</w:t>
      </w:r>
      <w:r>
        <w:rPr>
          <w:szCs w:val="28"/>
          <w:lang w:val="ru-RU"/>
        </w:rPr>
        <w:t xml:space="preserve"> сельского поселения</w:t>
      </w:r>
      <w:r>
        <w:rPr>
          <w:szCs w:val="28"/>
        </w:rPr>
        <w:t xml:space="preserve"> имеются контейнеры для складирования ТКО.</w:t>
      </w:r>
      <w:r>
        <w:rPr>
          <w:color w:val="FF0066"/>
          <w:szCs w:val="28"/>
        </w:rPr>
        <w:t xml:space="preserve"> </w:t>
      </w:r>
      <w:r>
        <w:rPr>
          <w:szCs w:val="28"/>
        </w:rPr>
        <w:t>Население населенных пунктов сельского поселения перегружает мусор из личных домовых сборников в данные контейнеры, откуда осуществляется централизованный вывоз ТКО.</w:t>
      </w:r>
    </w:p>
    <w:p>
      <w:pPr>
        <w:pStyle w:val="Normal"/>
        <w:rPr/>
      </w:pPr>
      <w:r>
        <w:rPr>
          <w:szCs w:val="28"/>
          <w:lang w:val="ru-RU"/>
        </w:rPr>
        <w:t xml:space="preserve">Коммунальные отходы из </w:t>
      </w:r>
      <w:r>
        <w:rPr>
          <w:szCs w:val="28"/>
        </w:rPr>
        <w:t>Вахитовского</w:t>
      </w:r>
      <w:r>
        <w:rPr>
          <w:szCs w:val="28"/>
          <w:lang w:val="ru-RU"/>
        </w:rPr>
        <w:t xml:space="preserve"> сельского поселения вывозятся на </w:t>
      </w:r>
      <w:r>
        <w:rPr>
          <w:szCs w:val="28"/>
        </w:rPr>
        <w:t>Апастовский полигон ТКО, расположенный в Апастовском районе</w:t>
      </w:r>
      <w:r>
        <w:rPr/>
        <w:t>.</w:t>
      </w:r>
      <w:r>
        <w:rPr>
          <w:szCs w:val="28"/>
          <w:lang w:val="ru-RU"/>
        </w:rPr>
        <w:t xml:space="preserve"> Договор на вывоз ТКО у поселения заключен с </w:t>
      </w:r>
      <w:r>
        <w:rPr>
          <w:szCs w:val="28"/>
        </w:rPr>
        <w:t xml:space="preserve">ООО «УК </w:t>
      </w:r>
      <w:r>
        <w:rPr>
          <w:lang w:val="ru-RU"/>
        </w:rPr>
        <w:t>«</w:t>
      </w:r>
      <w:r>
        <w:rPr>
          <w:szCs w:val="28"/>
        </w:rPr>
        <w:t>ПЖКХ</w:t>
      </w:r>
      <w:r>
        <w:rPr>
          <w:bCs/>
          <w:szCs w:val="28"/>
          <w:shd w:fill="FFFFFF" w:val="clear"/>
          <w:lang w:val="ru-RU"/>
        </w:rPr>
        <w:t>»</w:t>
      </w:r>
      <w:r>
        <w:rPr>
          <w:szCs w:val="28"/>
          <w:lang w:val="ru-RU"/>
        </w:rPr>
        <w:t xml:space="preserve">. </w:t>
      </w:r>
    </w:p>
    <w:p>
      <w:pPr>
        <w:pStyle w:val="Normal"/>
        <w:rPr/>
      </w:pPr>
      <w:r>
        <w:rPr>
          <w:szCs w:val="28"/>
        </w:rPr>
        <w:t xml:space="preserve">На территории сельского поселения отсутствуют биотермические ямы и сибиреязвенные скотомогильники. </w:t>
      </w:r>
    </w:p>
    <w:p>
      <w:pPr>
        <w:pStyle w:val="Style85"/>
        <w:spacing w:before="0" w:after="0"/>
        <w:ind w:hanging="0"/>
        <w:rPr>
          <w:color w:val="FF0066"/>
          <w:szCs w:val="28"/>
        </w:rPr>
      </w:pPr>
      <w:r>
        <w:rPr>
          <w:color w:val="FF0066"/>
          <w:szCs w:val="28"/>
        </w:rPr>
      </w:r>
    </w:p>
    <w:p>
      <w:pPr>
        <w:pStyle w:val="Style85"/>
        <w:spacing w:before="0" w:after="0"/>
        <w:ind w:left="426" w:hanging="0"/>
        <w:jc w:val="center"/>
        <w:rPr>
          <w:szCs w:val="28"/>
        </w:rPr>
      </w:pPr>
      <w:r>
        <w:rPr>
          <w:szCs w:val="28"/>
        </w:rPr>
        <w:t>Теплоснабжение</w:t>
      </w:r>
    </w:p>
    <w:p>
      <w:pPr>
        <w:pStyle w:val="Style85"/>
        <w:spacing w:before="0" w:after="0"/>
        <w:ind w:firstLine="709"/>
        <w:rPr>
          <w:szCs w:val="28"/>
        </w:rPr>
      </w:pPr>
      <w:r>
        <w:rPr>
          <w:szCs w:val="28"/>
        </w:rPr>
        <w:t>В настоящее время отопление усадебной застройки осуществляется от локальных источников теплоснабжения 2-х или одноконтурных индивидуальных бытовых котлов, работающих на природном газе низкого давления.</w:t>
      </w:r>
    </w:p>
    <w:p>
      <w:pPr>
        <w:pStyle w:val="Style85"/>
        <w:spacing w:before="0" w:after="0"/>
        <w:ind w:firstLine="709"/>
        <w:rPr/>
      </w:pPr>
      <w:r>
        <w:rPr>
          <w:szCs w:val="28"/>
        </w:rPr>
        <w:t xml:space="preserve">Общественные и административно-деловые учреждения Вахитовского сельского поселения </w:t>
      </w:r>
      <w:r>
        <w:rPr>
          <w:color w:val="000000"/>
        </w:rPr>
        <w:t>пользуются автономными котельными с маломощными котлами до 100 кВт и менее. Топливом для котельных и индивидуальных газовых котлов служит природный газ.</w:t>
      </w:r>
    </w:p>
    <w:p>
      <w:pPr>
        <w:pStyle w:val="Style85"/>
        <w:spacing w:before="0" w:after="0"/>
        <w:ind w:firstLine="709"/>
        <w:rPr>
          <w:color w:val="000000"/>
          <w:szCs w:val="28"/>
        </w:rPr>
      </w:pPr>
      <w:r>
        <w:rPr>
          <w:color w:val="000000"/>
          <w:szCs w:val="28"/>
        </w:rPr>
      </w:r>
    </w:p>
    <w:p>
      <w:pPr>
        <w:pStyle w:val="Style85"/>
        <w:spacing w:before="0" w:after="0"/>
        <w:ind w:hanging="0"/>
        <w:rPr>
          <w:color w:val="FF0066"/>
          <w:szCs w:val="28"/>
        </w:rPr>
      </w:pPr>
      <w:r>
        <w:rPr>
          <w:color w:val="FF0066"/>
          <w:szCs w:val="28"/>
        </w:rPr>
      </w:r>
    </w:p>
    <w:p>
      <w:pPr>
        <w:pStyle w:val="Style85"/>
        <w:spacing w:before="0" w:after="0"/>
        <w:ind w:left="426" w:hanging="0"/>
        <w:jc w:val="center"/>
        <w:rPr>
          <w:szCs w:val="28"/>
        </w:rPr>
      </w:pPr>
      <w:r>
        <w:rPr>
          <w:szCs w:val="28"/>
        </w:rPr>
        <w:t>Газоснабжение</w:t>
      </w:r>
    </w:p>
    <w:p>
      <w:pPr>
        <w:pStyle w:val="Style85"/>
        <w:spacing w:before="0" w:after="0"/>
        <w:ind w:firstLine="709"/>
        <w:rPr/>
      </w:pPr>
      <w:r>
        <w:rPr>
          <w:szCs w:val="28"/>
        </w:rPr>
        <w:t>В настоящее время газоснабжение Вахитовского сельского поселения осуществляется от магистрального газопровода высокого давления, через распределительные газопроводы и газораспределительную станцию (ГРС)</w:t>
      </w:r>
      <w:r>
        <w:rPr>
          <w:szCs w:val="28"/>
          <w:lang w:val="ru-RU"/>
        </w:rPr>
        <w:t>.</w:t>
      </w:r>
    </w:p>
    <w:p>
      <w:pPr>
        <w:pStyle w:val="Style85"/>
        <w:spacing w:before="0" w:after="0"/>
        <w:ind w:firstLine="709"/>
        <w:rPr>
          <w:szCs w:val="28"/>
          <w:lang w:val="ru-RU"/>
        </w:rPr>
      </w:pPr>
      <w:r>
        <w:rPr>
          <w:szCs w:val="28"/>
          <w:lang w:val="ru-RU"/>
        </w:rPr>
      </w:r>
    </w:p>
    <w:p>
      <w:pPr>
        <w:pStyle w:val="Normal"/>
        <w:ind w:left="720" w:hanging="0"/>
        <w:jc w:val="right"/>
        <w:rPr>
          <w:szCs w:val="28"/>
        </w:rPr>
      </w:pPr>
      <w:r>
        <w:rPr>
          <w:szCs w:val="28"/>
        </w:rPr>
        <w:t>Таблица 3.13.3</w:t>
      </w:r>
    </w:p>
    <w:p>
      <w:pPr>
        <w:pStyle w:val="Style30"/>
        <w:spacing w:before="0" w:after="0"/>
        <w:jc w:val="center"/>
        <w:rPr>
          <w:iCs/>
          <w:szCs w:val="28"/>
        </w:rPr>
      </w:pPr>
      <w:r>
        <w:rPr>
          <w:iCs/>
          <w:szCs w:val="28"/>
        </w:rPr>
        <w:t>Характеристика газораспределительной станции, обслуживающей Вахитовское</w:t>
      </w:r>
      <w:r>
        <w:rPr>
          <w:iCs/>
          <w:szCs w:val="28"/>
          <w:lang w:val="ru-RU"/>
        </w:rPr>
        <w:t xml:space="preserve"> </w:t>
      </w:r>
      <w:r>
        <w:rPr>
          <w:iCs/>
          <w:szCs w:val="28"/>
        </w:rPr>
        <w:t xml:space="preserve">сельское поселение Верхнеуслонского муниципального района </w:t>
      </w:r>
      <w:r>
        <w:rPr>
          <w:iCs/>
          <w:szCs w:val="28"/>
          <w:lang w:val="ru-RU"/>
        </w:rPr>
        <w:t xml:space="preserve">РТ </w:t>
      </w:r>
    </w:p>
    <w:tbl>
      <w:tblPr>
        <w:tblW w:w="9444" w:type="dxa"/>
        <w:jc w:val="center"/>
        <w:tblInd w:w="0" w:type="dxa"/>
        <w:tblLayout w:type="fixed"/>
        <w:tblCellMar>
          <w:top w:w="0" w:type="dxa"/>
          <w:left w:w="108" w:type="dxa"/>
          <w:bottom w:w="0" w:type="dxa"/>
          <w:right w:w="108" w:type="dxa"/>
        </w:tblCellMar>
      </w:tblPr>
      <w:tblGrid>
        <w:gridCol w:w="675"/>
        <w:gridCol w:w="1687"/>
        <w:gridCol w:w="1231"/>
        <w:gridCol w:w="1047"/>
        <w:gridCol w:w="1238"/>
        <w:gridCol w:w="1147"/>
        <w:gridCol w:w="1284"/>
        <w:gridCol w:w="1135"/>
      </w:tblGrid>
      <w:tr>
        <w:trPr/>
        <w:tc>
          <w:tcPr>
            <w:tcW w:w="67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 xml:space="preserve">№ </w:t>
            </w:r>
            <w:r>
              <w:rPr>
                <w:sz w:val="20"/>
                <w:szCs w:val="20"/>
              </w:rPr>
              <w:t>п/п</w:t>
            </w:r>
          </w:p>
        </w:tc>
        <w:tc>
          <w:tcPr>
            <w:tcW w:w="168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sz w:val="20"/>
                <w:szCs w:val="20"/>
              </w:rPr>
            </w:pPr>
            <w:r>
              <w:rPr>
                <w:rFonts w:eastAsia="Calibri"/>
                <w:sz w:val="20"/>
                <w:szCs w:val="20"/>
              </w:rPr>
              <w:t>Название ГРС, АГРС</w:t>
            </w:r>
          </w:p>
        </w:tc>
        <w:tc>
          <w:tcPr>
            <w:tcW w:w="2278"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sz w:val="20"/>
                <w:szCs w:val="20"/>
              </w:rPr>
            </w:pPr>
            <w:r>
              <w:rPr>
                <w:rFonts w:eastAsia="Calibri"/>
                <w:sz w:val="20"/>
                <w:szCs w:val="20"/>
              </w:rPr>
              <w:t>Давление, Р на входе, МПа</w:t>
            </w:r>
          </w:p>
        </w:tc>
        <w:tc>
          <w:tcPr>
            <w:tcW w:w="2385"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sz w:val="20"/>
                <w:szCs w:val="20"/>
              </w:rPr>
            </w:pPr>
            <w:r>
              <w:rPr>
                <w:rFonts w:eastAsia="Calibri"/>
                <w:sz w:val="20"/>
                <w:szCs w:val="20"/>
              </w:rPr>
              <w:t>Давление, Р на выходе, МПа</w:t>
            </w:r>
          </w:p>
        </w:tc>
        <w:tc>
          <w:tcPr>
            <w:tcW w:w="2419"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rFonts w:eastAsia="Calibri"/>
                <w:sz w:val="20"/>
                <w:szCs w:val="20"/>
              </w:rPr>
              <w:t>Загрузка (количество выдаваемого газа), тыс.м3/час</w:t>
            </w:r>
          </w:p>
        </w:tc>
      </w:tr>
      <w:tr>
        <w:trPr/>
        <w:tc>
          <w:tcPr>
            <w:tcW w:w="67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center"/>
              <w:rPr>
                <w:rFonts w:eastAsia="Calibri"/>
                <w:sz w:val="20"/>
                <w:szCs w:val="20"/>
              </w:rPr>
            </w:pPr>
            <w:r>
              <w:rPr>
                <w:rFonts w:eastAsia="Calibri"/>
                <w:sz w:val="20"/>
                <w:szCs w:val="20"/>
              </w:rPr>
            </w:r>
          </w:p>
        </w:tc>
        <w:tc>
          <w:tcPr>
            <w:tcW w:w="168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center"/>
              <w:rPr>
                <w:rFonts w:eastAsia="Calibri"/>
                <w:sz w:val="20"/>
                <w:szCs w:val="20"/>
              </w:rPr>
            </w:pPr>
            <w:r>
              <w:rPr>
                <w:rFonts w:eastAsia="Calibri"/>
                <w:sz w:val="20"/>
                <w:szCs w:val="20"/>
              </w:rPr>
            </w:r>
          </w:p>
        </w:tc>
        <w:tc>
          <w:tcPr>
            <w:tcW w:w="123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sz w:val="20"/>
                <w:szCs w:val="20"/>
              </w:rPr>
            </w:pPr>
            <w:r>
              <w:rPr>
                <w:rFonts w:eastAsia="Calibri"/>
                <w:sz w:val="20"/>
                <w:szCs w:val="20"/>
              </w:rPr>
              <w:t>проект</w:t>
            </w:r>
          </w:p>
        </w:tc>
        <w:tc>
          <w:tcPr>
            <w:tcW w:w="104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sz w:val="20"/>
                <w:szCs w:val="20"/>
              </w:rPr>
            </w:pPr>
            <w:r>
              <w:rPr>
                <w:rFonts w:eastAsia="Calibri"/>
                <w:sz w:val="20"/>
                <w:szCs w:val="20"/>
              </w:rPr>
              <w:t>факт</w:t>
            </w:r>
          </w:p>
        </w:tc>
        <w:tc>
          <w:tcPr>
            <w:tcW w:w="123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sz w:val="20"/>
                <w:szCs w:val="20"/>
              </w:rPr>
            </w:pPr>
            <w:r>
              <w:rPr>
                <w:rFonts w:eastAsia="Calibri"/>
                <w:sz w:val="20"/>
                <w:szCs w:val="20"/>
              </w:rPr>
              <w:t>проект</w:t>
            </w:r>
          </w:p>
        </w:tc>
        <w:tc>
          <w:tcPr>
            <w:tcW w:w="114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sz w:val="20"/>
                <w:szCs w:val="20"/>
              </w:rPr>
            </w:pPr>
            <w:r>
              <w:rPr>
                <w:rFonts w:eastAsia="Calibri"/>
                <w:sz w:val="20"/>
                <w:szCs w:val="20"/>
              </w:rPr>
              <w:t>факт</w:t>
            </w:r>
          </w:p>
        </w:tc>
        <w:tc>
          <w:tcPr>
            <w:tcW w:w="128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sz w:val="20"/>
                <w:szCs w:val="20"/>
              </w:rPr>
            </w:pPr>
            <w:r>
              <w:rPr>
                <w:rFonts w:eastAsia="Calibri"/>
                <w:sz w:val="20"/>
                <w:szCs w:val="20"/>
              </w:rPr>
              <w:t>проект</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sz w:val="20"/>
                <w:szCs w:val="20"/>
              </w:rPr>
            </w:pPr>
            <w:r>
              <w:rPr>
                <w:rFonts w:eastAsia="Calibri"/>
                <w:sz w:val="20"/>
                <w:szCs w:val="20"/>
              </w:rPr>
              <w:t>факт</w:t>
            </w:r>
          </w:p>
        </w:tc>
      </w:tr>
      <w:tr>
        <w:trPr/>
        <w:tc>
          <w:tcPr>
            <w:tcW w:w="6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1</w:t>
            </w:r>
          </w:p>
        </w:tc>
        <w:tc>
          <w:tcPr>
            <w:tcW w:w="168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sz w:val="20"/>
                <w:szCs w:val="20"/>
              </w:rPr>
              <w:t>АГРС-3 «п.Октябрьский»</w:t>
            </w:r>
          </w:p>
        </w:tc>
        <w:tc>
          <w:tcPr>
            <w:tcW w:w="123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sz w:val="20"/>
                <w:szCs w:val="20"/>
              </w:rPr>
            </w:pPr>
            <w:r>
              <w:rPr>
                <w:rFonts w:eastAsia="Calibri"/>
                <w:sz w:val="20"/>
                <w:szCs w:val="20"/>
              </w:rPr>
              <w:t>1,2</w:t>
            </w:r>
          </w:p>
        </w:tc>
        <w:tc>
          <w:tcPr>
            <w:tcW w:w="104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sz w:val="20"/>
                <w:szCs w:val="20"/>
              </w:rPr>
            </w:pPr>
            <w:r>
              <w:rPr>
                <w:rFonts w:eastAsia="Calibri"/>
                <w:sz w:val="20"/>
                <w:szCs w:val="20"/>
              </w:rPr>
              <w:t>-</w:t>
            </w:r>
          </w:p>
        </w:tc>
        <w:tc>
          <w:tcPr>
            <w:tcW w:w="123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sz w:val="20"/>
                <w:szCs w:val="20"/>
              </w:rPr>
            </w:pPr>
            <w:r>
              <w:rPr>
                <w:rFonts w:eastAsia="Calibri"/>
                <w:sz w:val="20"/>
                <w:szCs w:val="20"/>
              </w:rPr>
              <w:t>0,6</w:t>
            </w:r>
          </w:p>
        </w:tc>
        <w:tc>
          <w:tcPr>
            <w:tcW w:w="114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sz w:val="20"/>
                <w:szCs w:val="20"/>
              </w:rPr>
            </w:pPr>
            <w:r>
              <w:rPr>
                <w:rFonts w:eastAsia="Calibri"/>
                <w:sz w:val="20"/>
                <w:szCs w:val="20"/>
              </w:rPr>
              <w:t>-</w:t>
            </w:r>
          </w:p>
        </w:tc>
        <w:tc>
          <w:tcPr>
            <w:tcW w:w="128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sz w:val="20"/>
                <w:szCs w:val="20"/>
              </w:rPr>
            </w:pPr>
            <w:r>
              <w:rPr>
                <w:rFonts w:eastAsia="Calibri"/>
                <w:sz w:val="20"/>
                <w:szCs w:val="20"/>
              </w:rPr>
              <w:t>7,87</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rFonts w:eastAsia="Calibri"/>
                <w:sz w:val="20"/>
                <w:szCs w:val="20"/>
              </w:rPr>
            </w:pPr>
            <w:r>
              <w:rPr>
                <w:rFonts w:eastAsia="Calibri"/>
                <w:sz w:val="20"/>
                <w:szCs w:val="20"/>
              </w:rPr>
              <w:t>6,67</w:t>
            </w:r>
          </w:p>
        </w:tc>
      </w:tr>
    </w:tbl>
    <w:p>
      <w:pPr>
        <w:pStyle w:val="Normal"/>
        <w:ind w:left="720" w:hanging="0"/>
        <w:rPr>
          <w:szCs w:val="28"/>
        </w:rPr>
      </w:pPr>
      <w:r>
        <w:rPr>
          <w:szCs w:val="28"/>
        </w:rPr>
      </w:r>
    </w:p>
    <w:p>
      <w:pPr>
        <w:pStyle w:val="Style85"/>
        <w:spacing w:before="0" w:after="0"/>
        <w:ind w:firstLine="709"/>
        <w:rPr/>
      </w:pPr>
      <w:r>
        <w:rPr>
          <w:szCs w:val="28"/>
        </w:rPr>
        <w:t xml:space="preserve">Природный газ в населенные пункты </w:t>
      </w:r>
      <w:r>
        <w:rPr>
          <w:szCs w:val="28"/>
          <w:lang w:val="ru-RU"/>
        </w:rPr>
        <w:t>Октябрьского</w:t>
      </w:r>
      <w:r>
        <w:rPr>
          <w:szCs w:val="28"/>
        </w:rPr>
        <w:t xml:space="preserve"> сельского поселения подается от </w:t>
      </w:r>
      <w:r>
        <w:rPr>
          <w:szCs w:val="28"/>
          <w:lang w:val="ru-RU"/>
        </w:rPr>
        <w:t>АГРС «</w:t>
      </w:r>
      <w:r>
        <w:rPr>
          <w:szCs w:val="28"/>
        </w:rPr>
        <w:t>п.Октябрьский</w:t>
      </w:r>
      <w:r>
        <w:rPr>
          <w:szCs w:val="28"/>
          <w:lang w:val="ru-RU"/>
        </w:rPr>
        <w:t xml:space="preserve">» </w:t>
      </w:r>
      <w:r>
        <w:rPr>
          <w:szCs w:val="28"/>
        </w:rPr>
        <w:t>по межпоселковым газопроводам высокого давления до газораспределительных пунктов (ГРП, ШРП). Далее по сетям низкого давления непосредственно к потребителю.</w:t>
      </w:r>
    </w:p>
    <w:p>
      <w:pPr>
        <w:pStyle w:val="Style85"/>
        <w:spacing w:before="0" w:after="0"/>
        <w:ind w:firstLine="709"/>
        <w:rPr>
          <w:color w:val="FF0066"/>
          <w:szCs w:val="28"/>
        </w:rPr>
      </w:pPr>
      <w:r>
        <w:rPr>
          <w:color w:val="FF0066"/>
          <w:szCs w:val="28"/>
        </w:rPr>
      </w:r>
    </w:p>
    <w:p>
      <w:pPr>
        <w:pStyle w:val="Normal"/>
        <w:ind w:left="720" w:hanging="0"/>
        <w:jc w:val="right"/>
        <w:rPr>
          <w:color w:val="FF0066"/>
          <w:szCs w:val="28"/>
        </w:rPr>
      </w:pPr>
      <w:r>
        <w:rPr>
          <w:color w:val="FF0066"/>
          <w:szCs w:val="28"/>
        </w:rPr>
      </w:r>
    </w:p>
    <w:p>
      <w:pPr>
        <w:pStyle w:val="Normal"/>
        <w:ind w:left="720" w:hanging="0"/>
        <w:jc w:val="right"/>
        <w:rPr>
          <w:szCs w:val="28"/>
        </w:rPr>
      </w:pPr>
      <w:r>
        <w:rPr>
          <w:szCs w:val="28"/>
        </w:rPr>
        <w:t>Таблица 3.13.4</w:t>
      </w:r>
    </w:p>
    <w:p>
      <w:pPr>
        <w:pStyle w:val="Style30"/>
        <w:spacing w:before="0" w:after="0"/>
        <w:jc w:val="center"/>
        <w:rPr>
          <w:iCs/>
          <w:szCs w:val="28"/>
          <w:lang w:val="ru-RU"/>
        </w:rPr>
      </w:pPr>
      <w:r>
        <w:rPr>
          <w:iCs/>
          <w:szCs w:val="28"/>
          <w:lang w:val="ru-RU"/>
        </w:rPr>
        <w:t>Характеристики существующих пунктов редуцирования газа, расположенных на территории Вахитовского сельского поселения</w:t>
      </w:r>
    </w:p>
    <w:tbl>
      <w:tblPr>
        <w:tblW w:w="10137" w:type="dxa"/>
        <w:jc w:val="center"/>
        <w:tblInd w:w="0" w:type="dxa"/>
        <w:tblLayout w:type="fixed"/>
        <w:tblCellMar>
          <w:top w:w="0" w:type="dxa"/>
          <w:left w:w="108" w:type="dxa"/>
          <w:bottom w:w="0" w:type="dxa"/>
          <w:right w:w="108" w:type="dxa"/>
        </w:tblCellMar>
      </w:tblPr>
      <w:tblGrid>
        <w:gridCol w:w="486"/>
        <w:gridCol w:w="1528"/>
        <w:gridCol w:w="2123"/>
        <w:gridCol w:w="1836"/>
        <w:gridCol w:w="1666"/>
        <w:gridCol w:w="1352"/>
        <w:gridCol w:w="1146"/>
      </w:tblGrid>
      <w:tr>
        <w:trPr>
          <w:tblHeader w:val="true"/>
          <w:trHeight w:val="1060" w:hRule="atLeast"/>
        </w:trPr>
        <w:tc>
          <w:tcPr>
            <w:tcW w:w="48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w:t>
            </w:r>
          </w:p>
          <w:p>
            <w:pPr>
              <w:pStyle w:val="Normal"/>
              <w:ind w:hanging="0"/>
              <w:jc w:val="center"/>
              <w:rPr>
                <w:sz w:val="20"/>
                <w:szCs w:val="20"/>
              </w:rPr>
            </w:pPr>
            <w:r>
              <w:rPr>
                <w:sz w:val="20"/>
                <w:szCs w:val="20"/>
              </w:rPr>
              <w:t>п/п</w:t>
            </w:r>
          </w:p>
        </w:tc>
        <w:tc>
          <w:tcPr>
            <w:tcW w:w="152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Наименование объекта</w:t>
            </w:r>
          </w:p>
        </w:tc>
        <w:tc>
          <w:tcPr>
            <w:tcW w:w="2123" w:type="dxa"/>
            <w:tcBorders>
              <w:top w:val="single" w:sz="4" w:space="0" w:color="000000"/>
              <w:left w:val="single" w:sz="4" w:space="0" w:color="000000"/>
              <w:bottom w:val="single" w:sz="4" w:space="0" w:color="000000"/>
              <w:right w:val="single" w:sz="4" w:space="0" w:color="000000"/>
            </w:tcBorders>
            <w:vAlign w:val="center"/>
          </w:tcPr>
          <w:p>
            <w:pPr>
              <w:pStyle w:val="115"/>
              <w:jc w:val="center"/>
              <w:rPr>
                <w:sz w:val="20"/>
                <w:szCs w:val="20"/>
              </w:rPr>
            </w:pPr>
            <w:r>
              <w:rPr>
                <w:sz w:val="20"/>
                <w:szCs w:val="20"/>
              </w:rPr>
              <w:t>Производительность, куб. м/час</w:t>
            </w:r>
          </w:p>
        </w:tc>
        <w:tc>
          <w:tcPr>
            <w:tcW w:w="1836" w:type="dxa"/>
            <w:tcBorders>
              <w:top w:val="single" w:sz="4" w:space="0" w:color="000000"/>
              <w:left w:val="single" w:sz="4" w:space="0" w:color="000000"/>
              <w:bottom w:val="single" w:sz="4" w:space="0" w:color="000000"/>
              <w:right w:val="single" w:sz="4" w:space="0" w:color="000000"/>
            </w:tcBorders>
            <w:vAlign w:val="center"/>
          </w:tcPr>
          <w:p>
            <w:pPr>
              <w:pStyle w:val="115"/>
              <w:jc w:val="center"/>
              <w:rPr/>
            </w:pPr>
            <w:r>
              <w:rPr>
                <w:sz w:val="20"/>
                <w:szCs w:val="20"/>
              </w:rPr>
              <w:t>Давление газа на входе/давление газа на выходе (</w:t>
            </w:r>
            <w:r>
              <w:rPr>
                <w:rFonts w:eastAsia="Calibri"/>
                <w:sz w:val="20"/>
                <w:szCs w:val="20"/>
              </w:rPr>
              <w:t>МПа</w:t>
            </w:r>
            <w:r>
              <w:rPr>
                <w:sz w:val="20"/>
                <w:szCs w:val="20"/>
              </w:rPr>
              <w:t>)</w:t>
            </w:r>
          </w:p>
        </w:tc>
        <w:tc>
          <w:tcPr>
            <w:tcW w:w="1666" w:type="dxa"/>
            <w:tcBorders>
              <w:top w:val="single" w:sz="4" w:space="0" w:color="000000"/>
              <w:left w:val="single" w:sz="4" w:space="0" w:color="000000"/>
              <w:bottom w:val="single" w:sz="4" w:space="0" w:color="000000"/>
              <w:right w:val="single" w:sz="4" w:space="0" w:color="000000"/>
            </w:tcBorders>
            <w:vAlign w:val="center"/>
          </w:tcPr>
          <w:p>
            <w:pPr>
              <w:pStyle w:val="115"/>
              <w:jc w:val="center"/>
              <w:rPr>
                <w:sz w:val="20"/>
                <w:szCs w:val="20"/>
              </w:rPr>
            </w:pPr>
            <w:r>
              <w:rPr>
                <w:sz w:val="20"/>
                <w:szCs w:val="20"/>
              </w:rPr>
              <w:t>Фактическое использование объекта, %</w:t>
            </w:r>
          </w:p>
        </w:tc>
        <w:tc>
          <w:tcPr>
            <w:tcW w:w="1352" w:type="dxa"/>
            <w:tcBorders>
              <w:top w:val="single" w:sz="4" w:space="0" w:color="000000"/>
              <w:left w:val="single" w:sz="4" w:space="0" w:color="000000"/>
              <w:bottom w:val="single" w:sz="4" w:space="0" w:color="000000"/>
              <w:right w:val="single" w:sz="4" w:space="0" w:color="000000"/>
            </w:tcBorders>
            <w:vAlign w:val="center"/>
          </w:tcPr>
          <w:p>
            <w:pPr>
              <w:pStyle w:val="115"/>
              <w:jc w:val="center"/>
              <w:rPr>
                <w:sz w:val="20"/>
                <w:szCs w:val="20"/>
              </w:rPr>
            </w:pPr>
            <w:r>
              <w:rPr>
                <w:sz w:val="20"/>
                <w:szCs w:val="20"/>
              </w:rPr>
              <w:t>Размер санитарно-защитной зоны, м</w:t>
            </w:r>
          </w:p>
        </w:tc>
        <w:tc>
          <w:tcPr>
            <w:tcW w:w="1146" w:type="dxa"/>
            <w:tcBorders>
              <w:top w:val="single" w:sz="4" w:space="0" w:color="000000"/>
              <w:left w:val="single" w:sz="4" w:space="0" w:color="000000"/>
              <w:bottom w:val="single" w:sz="4" w:space="0" w:color="000000"/>
              <w:right w:val="single" w:sz="4" w:space="0" w:color="000000"/>
            </w:tcBorders>
            <w:vAlign w:val="center"/>
          </w:tcPr>
          <w:p>
            <w:pPr>
              <w:pStyle w:val="115"/>
              <w:jc w:val="center"/>
              <w:rPr>
                <w:sz w:val="20"/>
                <w:szCs w:val="20"/>
              </w:rPr>
            </w:pPr>
            <w:r>
              <w:rPr>
                <w:sz w:val="20"/>
                <w:szCs w:val="20"/>
              </w:rPr>
              <w:t>Размер охранной зоны, м</w:t>
            </w:r>
          </w:p>
        </w:tc>
      </w:tr>
      <w:tr>
        <w:trPr>
          <w:trHeight w:val="358" w:hRule="atLeast"/>
        </w:trPr>
        <w:tc>
          <w:tcPr>
            <w:tcW w:w="48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1</w:t>
            </w:r>
          </w:p>
        </w:tc>
        <w:tc>
          <w:tcPr>
            <w:tcW w:w="152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sz w:val="20"/>
                <w:szCs w:val="20"/>
              </w:rPr>
              <w:t xml:space="preserve">ГРПШ </w:t>
            </w:r>
          </w:p>
        </w:tc>
        <w:tc>
          <w:tcPr>
            <w:tcW w:w="212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2150</w:t>
            </w:r>
          </w:p>
        </w:tc>
        <w:tc>
          <w:tcPr>
            <w:tcW w:w="183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sz w:val="20"/>
                <w:szCs w:val="20"/>
              </w:rPr>
              <w:t>0,6/0,003</w:t>
            </w:r>
          </w:p>
        </w:tc>
        <w:tc>
          <w:tcPr>
            <w:tcW w:w="16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sz w:val="20"/>
                <w:szCs w:val="20"/>
              </w:rPr>
              <w:t>100</w:t>
            </w:r>
          </w:p>
        </w:tc>
        <w:tc>
          <w:tcPr>
            <w:tcW w:w="135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w:t>
            </w:r>
          </w:p>
        </w:tc>
        <w:tc>
          <w:tcPr>
            <w:tcW w:w="114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10</w:t>
            </w:r>
          </w:p>
        </w:tc>
      </w:tr>
      <w:tr>
        <w:trPr>
          <w:trHeight w:val="358" w:hRule="atLeast"/>
        </w:trPr>
        <w:tc>
          <w:tcPr>
            <w:tcW w:w="48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2</w:t>
            </w:r>
          </w:p>
        </w:tc>
        <w:tc>
          <w:tcPr>
            <w:tcW w:w="152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 xml:space="preserve">ГРПШ </w:t>
            </w:r>
          </w:p>
        </w:tc>
        <w:tc>
          <w:tcPr>
            <w:tcW w:w="212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2150</w:t>
            </w:r>
          </w:p>
        </w:tc>
        <w:tc>
          <w:tcPr>
            <w:tcW w:w="183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0,6/0,003</w:t>
            </w:r>
          </w:p>
        </w:tc>
        <w:tc>
          <w:tcPr>
            <w:tcW w:w="16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100</w:t>
            </w:r>
          </w:p>
        </w:tc>
        <w:tc>
          <w:tcPr>
            <w:tcW w:w="135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w:t>
            </w:r>
          </w:p>
        </w:tc>
        <w:tc>
          <w:tcPr>
            <w:tcW w:w="114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10</w:t>
            </w:r>
          </w:p>
        </w:tc>
      </w:tr>
      <w:tr>
        <w:trPr>
          <w:trHeight w:val="358" w:hRule="atLeast"/>
        </w:trPr>
        <w:tc>
          <w:tcPr>
            <w:tcW w:w="48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3</w:t>
            </w:r>
          </w:p>
        </w:tc>
        <w:tc>
          <w:tcPr>
            <w:tcW w:w="152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 xml:space="preserve">ГРПШ </w:t>
            </w:r>
          </w:p>
        </w:tc>
        <w:tc>
          <w:tcPr>
            <w:tcW w:w="212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2150</w:t>
            </w:r>
          </w:p>
        </w:tc>
        <w:tc>
          <w:tcPr>
            <w:tcW w:w="183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0,6/0,003</w:t>
            </w:r>
          </w:p>
        </w:tc>
        <w:tc>
          <w:tcPr>
            <w:tcW w:w="16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100</w:t>
            </w:r>
          </w:p>
        </w:tc>
        <w:tc>
          <w:tcPr>
            <w:tcW w:w="135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w:t>
            </w:r>
          </w:p>
        </w:tc>
        <w:tc>
          <w:tcPr>
            <w:tcW w:w="114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10</w:t>
            </w:r>
          </w:p>
        </w:tc>
      </w:tr>
      <w:tr>
        <w:trPr>
          <w:trHeight w:val="358" w:hRule="atLeast"/>
        </w:trPr>
        <w:tc>
          <w:tcPr>
            <w:tcW w:w="48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4</w:t>
            </w:r>
          </w:p>
        </w:tc>
        <w:tc>
          <w:tcPr>
            <w:tcW w:w="152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 xml:space="preserve">ГРПШ </w:t>
            </w:r>
          </w:p>
        </w:tc>
        <w:tc>
          <w:tcPr>
            <w:tcW w:w="212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800</w:t>
            </w:r>
          </w:p>
        </w:tc>
        <w:tc>
          <w:tcPr>
            <w:tcW w:w="183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0,6/0,003</w:t>
            </w:r>
          </w:p>
        </w:tc>
        <w:tc>
          <w:tcPr>
            <w:tcW w:w="16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100</w:t>
            </w:r>
          </w:p>
        </w:tc>
        <w:tc>
          <w:tcPr>
            <w:tcW w:w="135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w:t>
            </w:r>
          </w:p>
        </w:tc>
        <w:tc>
          <w:tcPr>
            <w:tcW w:w="114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10</w:t>
            </w:r>
          </w:p>
        </w:tc>
      </w:tr>
      <w:tr>
        <w:trPr>
          <w:trHeight w:val="358" w:hRule="atLeast"/>
        </w:trPr>
        <w:tc>
          <w:tcPr>
            <w:tcW w:w="48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5</w:t>
            </w:r>
          </w:p>
        </w:tc>
        <w:tc>
          <w:tcPr>
            <w:tcW w:w="152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 xml:space="preserve">ГРПШ </w:t>
            </w:r>
          </w:p>
        </w:tc>
        <w:tc>
          <w:tcPr>
            <w:tcW w:w="212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900</w:t>
            </w:r>
          </w:p>
        </w:tc>
        <w:tc>
          <w:tcPr>
            <w:tcW w:w="183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0,6/0,003</w:t>
            </w:r>
          </w:p>
        </w:tc>
        <w:tc>
          <w:tcPr>
            <w:tcW w:w="16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100</w:t>
            </w:r>
          </w:p>
        </w:tc>
        <w:tc>
          <w:tcPr>
            <w:tcW w:w="135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w:t>
            </w:r>
          </w:p>
        </w:tc>
        <w:tc>
          <w:tcPr>
            <w:tcW w:w="114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10</w:t>
            </w:r>
          </w:p>
        </w:tc>
      </w:tr>
      <w:tr>
        <w:trPr>
          <w:trHeight w:val="358" w:hRule="atLeast"/>
        </w:trPr>
        <w:tc>
          <w:tcPr>
            <w:tcW w:w="48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6</w:t>
            </w:r>
          </w:p>
        </w:tc>
        <w:tc>
          <w:tcPr>
            <w:tcW w:w="152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 xml:space="preserve">ГРПШ </w:t>
            </w:r>
          </w:p>
        </w:tc>
        <w:tc>
          <w:tcPr>
            <w:tcW w:w="212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2150</w:t>
            </w:r>
          </w:p>
        </w:tc>
        <w:tc>
          <w:tcPr>
            <w:tcW w:w="183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0,6/0,003</w:t>
            </w:r>
          </w:p>
        </w:tc>
        <w:tc>
          <w:tcPr>
            <w:tcW w:w="16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100</w:t>
            </w:r>
          </w:p>
        </w:tc>
        <w:tc>
          <w:tcPr>
            <w:tcW w:w="135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w:t>
            </w:r>
          </w:p>
        </w:tc>
        <w:tc>
          <w:tcPr>
            <w:tcW w:w="114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10</w:t>
            </w:r>
          </w:p>
        </w:tc>
      </w:tr>
      <w:tr>
        <w:trPr>
          <w:trHeight w:val="358" w:hRule="atLeast"/>
        </w:trPr>
        <w:tc>
          <w:tcPr>
            <w:tcW w:w="48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7</w:t>
            </w:r>
          </w:p>
        </w:tc>
        <w:tc>
          <w:tcPr>
            <w:tcW w:w="152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sz w:val="20"/>
                <w:szCs w:val="20"/>
              </w:rPr>
              <w:t xml:space="preserve">ГРП </w:t>
            </w:r>
          </w:p>
        </w:tc>
        <w:tc>
          <w:tcPr>
            <w:tcW w:w="212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2150</w:t>
            </w:r>
          </w:p>
        </w:tc>
        <w:tc>
          <w:tcPr>
            <w:tcW w:w="183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0,6/0,003</w:t>
            </w:r>
          </w:p>
        </w:tc>
        <w:tc>
          <w:tcPr>
            <w:tcW w:w="16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100</w:t>
            </w:r>
          </w:p>
        </w:tc>
        <w:tc>
          <w:tcPr>
            <w:tcW w:w="135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w:t>
            </w:r>
          </w:p>
        </w:tc>
        <w:tc>
          <w:tcPr>
            <w:tcW w:w="114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10</w:t>
            </w:r>
          </w:p>
        </w:tc>
      </w:tr>
    </w:tbl>
    <w:p>
      <w:pPr>
        <w:pStyle w:val="Style85"/>
        <w:spacing w:before="0" w:after="0"/>
        <w:ind w:firstLine="709"/>
        <w:rPr>
          <w:szCs w:val="28"/>
        </w:rPr>
      </w:pPr>
      <w:r>
        <w:rPr>
          <w:szCs w:val="28"/>
        </w:rPr>
      </w:r>
    </w:p>
    <w:p>
      <w:pPr>
        <w:pStyle w:val="Style85"/>
        <w:spacing w:before="0" w:after="0"/>
        <w:ind w:firstLine="709"/>
        <w:rPr/>
      </w:pPr>
      <w:r>
        <w:rPr>
          <w:szCs w:val="28"/>
        </w:rPr>
        <w:t>Согласно данным, предоставленным главой сельского поселения</w:t>
      </w:r>
      <w:r>
        <w:rPr>
          <w:szCs w:val="28"/>
          <w:lang w:val="ru-RU"/>
        </w:rPr>
        <w:t>,</w:t>
      </w:r>
      <w:r>
        <w:rPr>
          <w:szCs w:val="28"/>
        </w:rPr>
        <w:t xml:space="preserve"> по территории сельского поселения проходят газопроводы </w:t>
      </w:r>
      <w:r>
        <w:rPr>
          <w:szCs w:val="28"/>
          <w:lang w:val="ru-RU"/>
        </w:rPr>
        <w:t>высокого</w:t>
      </w:r>
      <w:r>
        <w:rPr>
          <w:szCs w:val="28"/>
        </w:rPr>
        <w:t xml:space="preserve"> давления протяженностью </w:t>
      </w:r>
      <w:r>
        <w:rPr>
          <w:szCs w:val="28"/>
          <w:lang w:val="ru-RU"/>
        </w:rPr>
        <w:t xml:space="preserve">15,37 </w:t>
      </w:r>
      <w:r>
        <w:rPr>
          <w:szCs w:val="28"/>
        </w:rPr>
        <w:t xml:space="preserve">км. </w:t>
      </w:r>
    </w:p>
    <w:p>
      <w:pPr>
        <w:pStyle w:val="Style85"/>
        <w:spacing w:before="0" w:after="0"/>
        <w:ind w:firstLine="709"/>
        <w:rPr>
          <w:color w:val="FF0066"/>
          <w:szCs w:val="28"/>
        </w:rPr>
      </w:pPr>
      <w:r>
        <w:rPr>
          <w:color w:val="FF0066"/>
          <w:szCs w:val="28"/>
        </w:rPr>
      </w:r>
    </w:p>
    <w:p>
      <w:pPr>
        <w:pStyle w:val="Style85"/>
        <w:spacing w:before="0" w:after="0"/>
        <w:ind w:left="426" w:hanging="0"/>
        <w:jc w:val="center"/>
        <w:rPr>
          <w:szCs w:val="28"/>
        </w:rPr>
      </w:pPr>
      <w:r>
        <w:rPr>
          <w:szCs w:val="28"/>
        </w:rPr>
        <w:t>Электроснабжение</w:t>
      </w:r>
    </w:p>
    <w:p>
      <w:pPr>
        <w:pStyle w:val="Style85"/>
        <w:spacing w:before="0" w:after="0"/>
        <w:ind w:firstLine="709"/>
        <w:rPr/>
      </w:pPr>
      <w:r>
        <w:rPr>
          <w:szCs w:val="28"/>
        </w:rPr>
        <w:t>Электроснабжение Вахитовского сельского поселения осуществляется от высоковольтн</w:t>
      </w:r>
      <w:r>
        <w:rPr>
          <w:szCs w:val="28"/>
          <w:lang w:val="ru-RU"/>
        </w:rPr>
        <w:t>ых</w:t>
      </w:r>
      <w:r>
        <w:rPr>
          <w:szCs w:val="28"/>
        </w:rPr>
        <w:t xml:space="preserve"> подстанци</w:t>
      </w:r>
      <w:r>
        <w:rPr>
          <w:szCs w:val="28"/>
          <w:lang w:val="ru-RU"/>
        </w:rPr>
        <w:t>й</w:t>
      </w:r>
      <w:r>
        <w:rPr>
          <w:szCs w:val="28"/>
        </w:rPr>
        <w:t>, представленн</w:t>
      </w:r>
      <w:r>
        <w:rPr>
          <w:szCs w:val="28"/>
          <w:lang w:val="ru-RU"/>
        </w:rPr>
        <w:t>ых</w:t>
      </w:r>
      <w:r>
        <w:rPr>
          <w:szCs w:val="28"/>
        </w:rPr>
        <w:t xml:space="preserve"> в таблице 3.13.5.</w:t>
      </w:r>
    </w:p>
    <w:p>
      <w:pPr>
        <w:pStyle w:val="Style85"/>
        <w:spacing w:before="0" w:after="0"/>
        <w:ind w:hanging="0"/>
        <w:rPr>
          <w:szCs w:val="28"/>
        </w:rPr>
      </w:pPr>
      <w:r>
        <w:rPr>
          <w:szCs w:val="28"/>
        </w:rPr>
      </w:r>
    </w:p>
    <w:p>
      <w:pPr>
        <w:pStyle w:val="Normal"/>
        <w:ind w:left="720" w:hanging="0"/>
        <w:jc w:val="right"/>
        <w:rPr>
          <w:szCs w:val="28"/>
        </w:rPr>
      </w:pPr>
      <w:r>
        <w:rPr>
          <w:szCs w:val="28"/>
        </w:rPr>
        <w:t>Таблица 3.13.5</w:t>
      </w:r>
    </w:p>
    <w:p>
      <w:pPr>
        <w:pStyle w:val="Style30"/>
        <w:spacing w:lineRule="auto" w:line="276" w:before="0" w:after="0"/>
        <w:jc w:val="center"/>
        <w:rPr>
          <w:iCs/>
          <w:szCs w:val="28"/>
          <w:lang w:val="ru-RU"/>
        </w:rPr>
      </w:pPr>
      <w:r>
        <w:rPr>
          <w:iCs/>
          <w:szCs w:val="28"/>
          <w:lang w:val="ru-RU"/>
        </w:rPr>
        <w:t>Информация об электрической подстанции</w:t>
      </w:r>
    </w:p>
    <w:tbl>
      <w:tblPr>
        <w:tblW w:w="5000" w:type="pct"/>
        <w:jc w:val="left"/>
        <w:tblInd w:w="-95" w:type="dxa"/>
        <w:tblLayout w:type="fixed"/>
        <w:tblCellMar>
          <w:top w:w="0" w:type="dxa"/>
          <w:left w:w="90" w:type="dxa"/>
          <w:bottom w:w="0" w:type="dxa"/>
          <w:right w:w="90" w:type="dxa"/>
        </w:tblCellMar>
      </w:tblPr>
      <w:tblGrid>
        <w:gridCol w:w="538"/>
        <w:gridCol w:w="3065"/>
        <w:gridCol w:w="1546"/>
        <w:gridCol w:w="1486"/>
        <w:gridCol w:w="1799"/>
        <w:gridCol w:w="1487"/>
      </w:tblGrid>
      <w:tr>
        <w:trPr>
          <w:trHeight w:val="23" w:hRule="atLeast"/>
        </w:trPr>
        <w:tc>
          <w:tcPr>
            <w:tcW w:w="53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sz w:val="20"/>
                <w:szCs w:val="20"/>
              </w:rPr>
            </w:pPr>
            <w:bookmarkStart w:id="279" w:name="_Hlk150431504"/>
            <w:bookmarkEnd w:id="279"/>
            <w:r>
              <w:rPr>
                <w:bCs/>
                <w:sz w:val="20"/>
                <w:szCs w:val="20"/>
              </w:rPr>
              <w:t xml:space="preserve">№ </w:t>
            </w:r>
            <w:r>
              <w:rPr>
                <w:bCs/>
                <w:sz w:val="20"/>
                <w:szCs w:val="20"/>
              </w:rPr>
              <w:t>п/п</w:t>
            </w:r>
          </w:p>
        </w:tc>
        <w:tc>
          <w:tcPr>
            <w:tcW w:w="30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autoSpaceDE w:val="false"/>
              <w:ind w:hanging="0"/>
              <w:jc w:val="center"/>
              <w:rPr>
                <w:sz w:val="20"/>
                <w:szCs w:val="20"/>
              </w:rPr>
            </w:pPr>
            <w:r>
              <w:rPr>
                <w:sz w:val="20"/>
                <w:szCs w:val="20"/>
              </w:rPr>
              <w:t>Месторасположение подстанции электрических сетей</w:t>
            </w:r>
          </w:p>
        </w:tc>
        <w:tc>
          <w:tcPr>
            <w:tcW w:w="154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autoSpaceDE w:val="false"/>
              <w:ind w:hanging="0"/>
              <w:jc w:val="center"/>
              <w:rPr>
                <w:sz w:val="20"/>
                <w:szCs w:val="20"/>
              </w:rPr>
            </w:pPr>
            <w:r>
              <w:rPr>
                <w:sz w:val="20"/>
                <w:szCs w:val="20"/>
              </w:rPr>
              <w:t>Диспетчерский номер подстанции электрических сетей</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autoSpaceDE w:val="false"/>
              <w:ind w:hanging="0"/>
              <w:jc w:val="center"/>
              <w:rPr>
                <w:sz w:val="20"/>
                <w:szCs w:val="20"/>
              </w:rPr>
            </w:pPr>
            <w:r>
              <w:rPr>
                <w:sz w:val="20"/>
                <w:szCs w:val="20"/>
              </w:rPr>
              <w:t>Напряжение подстанции электрических сетей, кВ</w:t>
            </w:r>
          </w:p>
        </w:tc>
        <w:tc>
          <w:tcPr>
            <w:tcW w:w="17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autoSpaceDE w:val="false"/>
              <w:ind w:hanging="0"/>
              <w:jc w:val="center"/>
              <w:rPr>
                <w:sz w:val="20"/>
                <w:szCs w:val="20"/>
              </w:rPr>
            </w:pPr>
            <w:r>
              <w:rPr>
                <w:sz w:val="20"/>
                <w:szCs w:val="20"/>
              </w:rPr>
              <w:t>Номинальная мощность трансформаторов,</w:t>
            </w:r>
          </w:p>
          <w:p>
            <w:pPr>
              <w:pStyle w:val="Normal"/>
              <w:widowControl w:val="false"/>
              <w:autoSpaceDE w:val="false"/>
              <w:ind w:hanging="0"/>
              <w:jc w:val="center"/>
              <w:rPr/>
            </w:pPr>
            <w:r>
              <w:rPr>
                <w:sz w:val="20"/>
                <w:szCs w:val="20"/>
              </w:rPr>
              <w:t>МВА</w:t>
            </w:r>
          </w:p>
        </w:tc>
        <w:tc>
          <w:tcPr>
            <w:tcW w:w="14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autoSpaceDE w:val="false"/>
              <w:ind w:hanging="0"/>
              <w:jc w:val="center"/>
              <w:rPr/>
            </w:pPr>
            <w:r>
              <w:rPr>
                <w:sz w:val="20"/>
                <w:szCs w:val="20"/>
              </w:rPr>
              <w:t>Резерв мощности центров питания подстанции электрических сетей, кВА</w:t>
            </w:r>
          </w:p>
        </w:tc>
      </w:tr>
      <w:tr>
        <w:trPr>
          <w:trHeight w:val="23" w:hRule="atLeast"/>
        </w:trPr>
        <w:tc>
          <w:tcPr>
            <w:tcW w:w="53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sz w:val="20"/>
                <w:szCs w:val="20"/>
              </w:rPr>
            </w:pPr>
            <w:r>
              <w:rPr>
                <w:bCs/>
                <w:sz w:val="20"/>
                <w:szCs w:val="20"/>
              </w:rPr>
              <w:t>1</w:t>
            </w:r>
          </w:p>
        </w:tc>
        <w:tc>
          <w:tcPr>
            <w:tcW w:w="30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autoSpaceDE w:val="false"/>
              <w:ind w:hanging="0"/>
              <w:jc w:val="center"/>
              <w:rPr>
                <w:sz w:val="20"/>
                <w:szCs w:val="20"/>
              </w:rPr>
            </w:pPr>
            <w:r>
              <w:rPr>
                <w:sz w:val="20"/>
                <w:szCs w:val="20"/>
              </w:rPr>
              <w:t>ПС 110 кВ «Куралово»</w:t>
            </w:r>
          </w:p>
        </w:tc>
        <w:tc>
          <w:tcPr>
            <w:tcW w:w="154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autoSpaceDE w:val="false"/>
              <w:ind w:hanging="0"/>
              <w:jc w:val="center"/>
              <w:rPr>
                <w:sz w:val="20"/>
                <w:szCs w:val="20"/>
              </w:rPr>
            </w:pPr>
            <w:r>
              <w:rPr>
                <w:sz w:val="20"/>
                <w:szCs w:val="20"/>
              </w:rPr>
              <w:t>35</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autoSpaceDE w:val="false"/>
              <w:ind w:hanging="0"/>
              <w:jc w:val="center"/>
              <w:rPr>
                <w:sz w:val="20"/>
                <w:szCs w:val="20"/>
              </w:rPr>
            </w:pPr>
            <w:r>
              <w:rPr>
                <w:sz w:val="20"/>
                <w:szCs w:val="20"/>
              </w:rPr>
              <w:t>110/10</w:t>
            </w:r>
          </w:p>
        </w:tc>
        <w:tc>
          <w:tcPr>
            <w:tcW w:w="179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autoSpaceDE w:val="false"/>
              <w:ind w:hanging="0"/>
              <w:jc w:val="center"/>
              <w:rPr>
                <w:sz w:val="20"/>
                <w:szCs w:val="20"/>
              </w:rPr>
            </w:pPr>
            <w:r>
              <w:rPr>
                <w:sz w:val="20"/>
                <w:szCs w:val="20"/>
              </w:rPr>
              <w:t>16</w:t>
            </w:r>
          </w:p>
        </w:tc>
        <w:tc>
          <w:tcPr>
            <w:tcW w:w="14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autoSpaceDE w:val="false"/>
              <w:ind w:hanging="0"/>
              <w:jc w:val="center"/>
              <w:rPr>
                <w:sz w:val="20"/>
                <w:szCs w:val="20"/>
              </w:rPr>
            </w:pPr>
            <w:r>
              <w:rPr>
                <w:sz w:val="20"/>
                <w:szCs w:val="20"/>
              </w:rPr>
              <w:t>-</w:t>
            </w:r>
          </w:p>
        </w:tc>
      </w:tr>
      <w:tr>
        <w:trPr>
          <w:trHeight w:val="23" w:hRule="atLeast"/>
        </w:trPr>
        <w:tc>
          <w:tcPr>
            <w:tcW w:w="53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2</w:t>
            </w:r>
          </w:p>
        </w:tc>
        <w:tc>
          <w:tcPr>
            <w:tcW w:w="306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sz w:val="20"/>
                <w:szCs w:val="20"/>
              </w:rPr>
              <w:t>ПС 35 кВ «Матюшино»</w:t>
            </w:r>
          </w:p>
        </w:tc>
        <w:tc>
          <w:tcPr>
            <w:tcW w:w="154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rPr>
            </w:pPr>
            <w:r>
              <w:rPr>
                <w:sz w:val="20"/>
              </w:rPr>
              <w:t>38</w:t>
            </w:r>
          </w:p>
        </w:tc>
        <w:tc>
          <w:tcPr>
            <w:tcW w:w="148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sz w:val="20"/>
                <w:szCs w:val="20"/>
              </w:rPr>
              <w:t>35/10</w:t>
            </w:r>
          </w:p>
        </w:tc>
        <w:tc>
          <w:tcPr>
            <w:tcW w:w="1799" w:type="dxa"/>
            <w:tcBorders>
              <w:top w:val="single" w:sz="4" w:space="0" w:color="000000"/>
              <w:left w:val="single" w:sz="4" w:space="0" w:color="000000"/>
              <w:bottom w:val="single" w:sz="4" w:space="0" w:color="000000"/>
              <w:right w:val="single" w:sz="4" w:space="0" w:color="000000"/>
            </w:tcBorders>
            <w:vAlign w:val="center"/>
          </w:tcPr>
          <w:p>
            <w:pPr>
              <w:pStyle w:val="Normal"/>
              <w:shd w:fill="FFFFFF" w:val="clear"/>
              <w:ind w:hanging="0"/>
              <w:jc w:val="center"/>
              <w:rPr>
                <w:sz w:val="20"/>
                <w:szCs w:val="20"/>
              </w:rPr>
            </w:pPr>
            <w:r>
              <w:rPr>
                <w:sz w:val="20"/>
                <w:szCs w:val="20"/>
              </w:rPr>
              <w:t>2,5</w:t>
            </w:r>
          </w:p>
        </w:tc>
        <w:tc>
          <w:tcPr>
            <w:tcW w:w="148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sz w:val="20"/>
                <w:szCs w:val="20"/>
              </w:rPr>
            </w:pPr>
            <w:r>
              <w:rPr>
                <w:sz w:val="20"/>
                <w:szCs w:val="20"/>
              </w:rPr>
              <w:t>-</w:t>
            </w:r>
          </w:p>
        </w:tc>
      </w:tr>
    </w:tbl>
    <w:p>
      <w:pPr>
        <w:pStyle w:val="Style85"/>
        <w:spacing w:before="0" w:after="0"/>
        <w:rPr>
          <w:color w:val="FF0066"/>
          <w:szCs w:val="28"/>
          <w:lang w:val="ru-RU"/>
        </w:rPr>
      </w:pPr>
      <w:r>
        <w:rPr>
          <w:color w:val="FF0066"/>
          <w:szCs w:val="28"/>
          <w:lang w:val="ru-RU"/>
        </w:rPr>
      </w:r>
    </w:p>
    <w:p>
      <w:pPr>
        <w:pStyle w:val="Style85"/>
        <w:spacing w:before="0" w:after="0"/>
        <w:ind w:firstLine="709"/>
        <w:rPr/>
      </w:pPr>
      <w:r>
        <w:rPr>
          <w:color w:val="000000"/>
          <w:szCs w:val="28"/>
        </w:rPr>
        <w:t xml:space="preserve">На территории </w:t>
      </w:r>
      <w:r>
        <w:rPr>
          <w:color w:val="000000"/>
          <w:szCs w:val="28"/>
          <w:lang w:val="ru-RU"/>
        </w:rPr>
        <w:t>Вахитовско</w:t>
      </w:r>
      <w:r>
        <w:rPr>
          <w:color w:val="000000"/>
          <w:szCs w:val="28"/>
        </w:rPr>
        <w:t xml:space="preserve">го сельского поселения расположено </w:t>
      </w:r>
      <w:r>
        <w:rPr>
          <w:color w:val="000000"/>
          <w:szCs w:val="28"/>
          <w:lang w:val="ru-RU"/>
        </w:rPr>
        <w:t xml:space="preserve">32 </w:t>
      </w:r>
      <w:r>
        <w:rPr>
          <w:color w:val="000000"/>
          <w:szCs w:val="28"/>
        </w:rPr>
        <w:t>трансформаторны</w:t>
      </w:r>
      <w:r>
        <w:rPr>
          <w:color w:val="000000"/>
          <w:szCs w:val="28"/>
          <w:lang w:val="ru-RU"/>
        </w:rPr>
        <w:t>е</w:t>
      </w:r>
      <w:r>
        <w:rPr>
          <w:color w:val="000000"/>
          <w:szCs w:val="28"/>
        </w:rPr>
        <w:t xml:space="preserve"> подстанци</w:t>
      </w:r>
      <w:r>
        <w:rPr>
          <w:color w:val="000000"/>
          <w:szCs w:val="28"/>
          <w:lang w:val="ru-RU"/>
        </w:rPr>
        <w:t>и</w:t>
      </w:r>
      <w:r>
        <w:rPr>
          <w:color w:val="000000"/>
          <w:szCs w:val="28"/>
        </w:rPr>
        <w:t xml:space="preserve">, </w:t>
      </w:r>
      <w:r>
        <w:rPr>
          <w:color w:val="000000"/>
          <w:szCs w:val="28"/>
          <w:lang w:val="ru-RU"/>
        </w:rPr>
        <w:t xml:space="preserve">обслуживающие населенные пункты, объекты производства. </w:t>
      </w:r>
      <w:r>
        <w:rPr>
          <w:color w:val="000000"/>
          <w:szCs w:val="28"/>
        </w:rPr>
        <w:t>Электроснабжение</w:t>
      </w:r>
      <w:r>
        <w:rPr>
          <w:color w:val="000000"/>
          <w:szCs w:val="28"/>
          <w:lang w:val="ru-RU"/>
        </w:rPr>
        <w:t xml:space="preserve"> </w:t>
      </w:r>
      <w:r>
        <w:rPr>
          <w:color w:val="000000"/>
          <w:szCs w:val="28"/>
        </w:rPr>
        <w:t>комплектных</w:t>
      </w:r>
      <w:r>
        <w:rPr>
          <w:color w:val="000000"/>
          <w:szCs w:val="28"/>
          <w:lang w:val="ru-RU"/>
        </w:rPr>
        <w:t xml:space="preserve"> и столбовых</w:t>
      </w:r>
      <w:r>
        <w:rPr>
          <w:color w:val="000000"/>
          <w:szCs w:val="28"/>
        </w:rPr>
        <w:t xml:space="preserve"> трансформаторных подстанций населённых пунктов выполнено воздушными линиями ВЛ-</w:t>
      </w:r>
      <w:r>
        <w:rPr>
          <w:color w:val="000000"/>
          <w:szCs w:val="28"/>
          <w:lang w:val="ru-RU"/>
        </w:rPr>
        <w:t xml:space="preserve">35 </w:t>
      </w:r>
      <w:r>
        <w:rPr>
          <w:color w:val="000000"/>
          <w:szCs w:val="28"/>
        </w:rPr>
        <w:t>кВ</w:t>
      </w:r>
      <w:r>
        <w:rPr>
          <w:color w:val="000000"/>
          <w:szCs w:val="28"/>
          <w:lang w:val="ru-RU"/>
        </w:rPr>
        <w:t xml:space="preserve"> ПС </w:t>
      </w:r>
      <w:r>
        <w:rPr>
          <w:color w:val="000000"/>
          <w:szCs w:val="28"/>
        </w:rPr>
        <w:t>«</w:t>
      </w:r>
      <w:r>
        <w:rPr>
          <w:color w:val="000000"/>
          <w:szCs w:val="28"/>
          <w:lang w:val="ru-RU"/>
        </w:rPr>
        <w:t>Матюшино», ВЛ-10 ПС «Матюшино</w:t>
      </w:r>
      <w:r>
        <w:rPr>
          <w:color w:val="000000"/>
          <w:szCs w:val="28"/>
        </w:rPr>
        <w:t>»</w:t>
      </w:r>
      <w:r>
        <w:rPr>
          <w:color w:val="000000"/>
          <w:szCs w:val="28"/>
          <w:lang w:val="ru-RU"/>
        </w:rPr>
        <w:t xml:space="preserve"> и ПС «Куралово». </w:t>
      </w:r>
    </w:p>
    <w:p>
      <w:pPr>
        <w:pStyle w:val="Style85"/>
        <w:spacing w:before="0" w:after="0"/>
        <w:ind w:firstLine="709"/>
        <w:rPr/>
      </w:pPr>
      <w:r>
        <w:rPr>
          <w:szCs w:val="28"/>
        </w:rPr>
        <w:t>Электроснабжение</w:t>
      </w:r>
      <w:r>
        <w:rPr>
          <w:szCs w:val="28"/>
          <w:lang w:val="ru-RU"/>
        </w:rPr>
        <w:t xml:space="preserve"> </w:t>
      </w:r>
      <w:r>
        <w:rPr>
          <w:szCs w:val="28"/>
        </w:rPr>
        <w:t>комплектных</w:t>
      </w:r>
      <w:r>
        <w:rPr>
          <w:szCs w:val="28"/>
          <w:lang w:val="ru-RU"/>
        </w:rPr>
        <w:t xml:space="preserve"> и столбовых </w:t>
      </w:r>
      <w:r>
        <w:rPr>
          <w:szCs w:val="28"/>
        </w:rPr>
        <w:t xml:space="preserve">трансформаторных подстанций населённых пунктов выполнено воздушными линиями </w:t>
      </w:r>
      <w:r>
        <w:rPr>
          <w:szCs w:val="28"/>
          <w:lang w:val="ru-RU"/>
        </w:rPr>
        <w:t xml:space="preserve">ВКЛ-10кВ №1, №12, №4, №5, №7, ф.1 ПС </w:t>
      </w:r>
      <w:r>
        <w:rPr>
          <w:szCs w:val="28"/>
        </w:rPr>
        <w:t>«</w:t>
      </w:r>
      <w:r>
        <w:rPr>
          <w:szCs w:val="28"/>
          <w:lang w:val="ru-RU"/>
        </w:rPr>
        <w:t>Матюшино</w:t>
      </w:r>
      <w:r>
        <w:rPr>
          <w:szCs w:val="28"/>
        </w:rPr>
        <w:t>»</w:t>
      </w:r>
      <w:r>
        <w:rPr>
          <w:szCs w:val="28"/>
          <w:lang w:val="ru-RU"/>
        </w:rPr>
        <w:t xml:space="preserve"> и ПС «Куралово».</w:t>
      </w:r>
    </w:p>
    <w:p>
      <w:pPr>
        <w:pStyle w:val="Style85"/>
        <w:spacing w:before="0" w:after="0"/>
        <w:ind w:firstLine="709"/>
        <w:rPr>
          <w:szCs w:val="28"/>
        </w:rPr>
      </w:pPr>
      <w:r>
        <w:rPr>
          <w:szCs w:val="28"/>
        </w:rPr>
        <w:t>Тип опор железобетонные и деревянные с ж/б вставками. Физическое состояние удовлетворительное. Замена опор не требуется. Все линии передач электроэнергии взаиморезервируемые.</w:t>
      </w:r>
    </w:p>
    <w:p>
      <w:pPr>
        <w:pStyle w:val="Style85"/>
        <w:spacing w:before="0" w:after="0"/>
        <w:ind w:firstLine="709"/>
        <w:rPr>
          <w:szCs w:val="28"/>
        </w:rPr>
      </w:pPr>
      <w:r>
        <w:rPr>
          <w:szCs w:val="28"/>
        </w:rPr>
        <w:t>Существующий тип схемного решения электросетей - кольцевая и радиальная. Данные схемы обеспечивают категорию электроснабжения населенных пунктов и промышленных производств на необходимом уровне и не требует сильных преобразований.</w:t>
      </w:r>
    </w:p>
    <w:p>
      <w:pPr>
        <w:pStyle w:val="Style85"/>
        <w:spacing w:before="0" w:after="0"/>
        <w:ind w:firstLine="709"/>
        <w:rPr/>
      </w:pPr>
      <w:r>
        <w:rPr>
          <w:szCs w:val="28"/>
        </w:rPr>
        <w:t xml:space="preserve">Согласно приказу Минэнерго России № 380 от 23.06.15, в котором утвержден порядок расчета значений соотношения потребления активной и реактивной мощности необходимо предусмотреть мероприятия по поддержанию данного значения косинуса у потребителя. В случае изменения разницы соотношения между активной и реактивной мощностью предусмотреть меры по поддержанию косинуса φ в пределах 0,94. </w:t>
      </w:r>
    </w:p>
    <w:p>
      <w:pPr>
        <w:pStyle w:val="Style85"/>
        <w:spacing w:before="0" w:after="0"/>
        <w:ind w:firstLine="709"/>
        <w:rPr/>
      </w:pPr>
      <w:r>
        <w:rPr>
          <w:szCs w:val="28"/>
        </w:rPr>
        <w:t>Для защиты высоковольтного оборудования на подстанциях установлены различные виды защит и автоматики: на силовых трансформаторах – газовая защита, дифференциальная токовая защита, максимальная токовая защита, защита от перегрева и перегруза, защита от понижения уровня масла, защита от исчезновения напряжения.</w:t>
      </w:r>
    </w:p>
    <w:p>
      <w:pPr>
        <w:pStyle w:val="Normal"/>
        <w:rPr>
          <w:color w:val="FF0066"/>
          <w:szCs w:val="28"/>
        </w:rPr>
      </w:pPr>
      <w:r>
        <w:rPr>
          <w:color w:val="FF0066"/>
          <w:szCs w:val="28"/>
        </w:rPr>
      </w:r>
    </w:p>
    <w:p>
      <w:pPr>
        <w:pStyle w:val="Style85"/>
        <w:spacing w:before="0" w:after="0"/>
        <w:ind w:left="426" w:hanging="0"/>
        <w:jc w:val="center"/>
        <w:rPr>
          <w:color w:val="000000"/>
          <w:szCs w:val="28"/>
        </w:rPr>
      </w:pPr>
      <w:r>
        <w:rPr>
          <w:color w:val="000000"/>
          <w:szCs w:val="28"/>
        </w:rPr>
        <w:t>Слаботочные сети</w:t>
      </w:r>
    </w:p>
    <w:p>
      <w:pPr>
        <w:pStyle w:val="Style85"/>
        <w:spacing w:before="0" w:after="0"/>
        <w:ind w:firstLine="709"/>
        <w:rPr/>
      </w:pPr>
      <w:r>
        <w:rPr>
          <w:color w:val="000000"/>
          <w:szCs w:val="28"/>
        </w:rPr>
        <w:t xml:space="preserve">В настоящее время телефонизация Вахитовского сельского поселения осуществляется от </w:t>
      </w:r>
      <w:r>
        <w:rPr>
          <w:color w:val="000000"/>
          <w:szCs w:val="28"/>
          <w:lang w:val="ru-RU"/>
        </w:rPr>
        <w:t xml:space="preserve">автоматической </w:t>
      </w:r>
      <w:r>
        <w:rPr>
          <w:color w:val="000000"/>
          <w:szCs w:val="28"/>
        </w:rPr>
        <w:t>телефонн</w:t>
      </w:r>
      <w:r>
        <w:rPr>
          <w:color w:val="000000"/>
          <w:szCs w:val="28"/>
          <w:lang w:val="ru-RU"/>
        </w:rPr>
        <w:t>ой</w:t>
      </w:r>
      <w:r>
        <w:rPr>
          <w:color w:val="000000"/>
          <w:szCs w:val="28"/>
        </w:rPr>
        <w:t xml:space="preserve"> станци</w:t>
      </w:r>
      <w:r>
        <w:rPr>
          <w:color w:val="000000"/>
          <w:szCs w:val="28"/>
          <w:lang w:val="ru-RU"/>
        </w:rPr>
        <w:t>и</w:t>
      </w:r>
      <w:r>
        <w:rPr>
          <w:color w:val="000000"/>
          <w:szCs w:val="28"/>
        </w:rPr>
        <w:t>, расположенн</w:t>
      </w:r>
      <w:r>
        <w:rPr>
          <w:color w:val="000000"/>
          <w:szCs w:val="28"/>
          <w:lang w:val="ru-RU"/>
        </w:rPr>
        <w:t>ой</w:t>
      </w:r>
      <w:r>
        <w:rPr>
          <w:color w:val="000000"/>
          <w:szCs w:val="28"/>
        </w:rPr>
        <w:t xml:space="preserve"> </w:t>
      </w:r>
      <w:r>
        <w:rPr>
          <w:color w:val="000000"/>
          <w:szCs w:val="28"/>
          <w:lang w:val="ru-RU"/>
        </w:rPr>
        <w:t>в с.Верхний Услон.</w:t>
      </w:r>
    </w:p>
    <w:p>
      <w:pPr>
        <w:pStyle w:val="Style85"/>
        <w:spacing w:before="0" w:after="0"/>
        <w:ind w:firstLine="709"/>
        <w:rPr/>
      </w:pPr>
      <w:r>
        <w:rPr>
          <w:szCs w:val="28"/>
        </w:rPr>
        <w:t>Связь организована по шкафной системе с зоной прямого питания. Линейное хозяйство – кабельно-воздушное, выполнено кабелями в траншее и в кабельной канализации и по воздуху на опорах. В усадебной застройке принят один телефон на одно домовладение.</w:t>
      </w:r>
    </w:p>
    <w:p>
      <w:pPr>
        <w:pStyle w:val="Style85"/>
        <w:spacing w:before="0" w:after="0"/>
        <w:ind w:firstLine="709"/>
        <w:rPr/>
      </w:pPr>
      <w:r>
        <w:rPr>
          <w:szCs w:val="28"/>
        </w:rPr>
        <w:t>Телефонные станции обеспечивают междугородние связи со всей территорией России, а также международные переговоры, включая страны СНГ. Междугородная связь организована волоконно-оптической линией передач. По Р</w:t>
      </w:r>
      <w:r>
        <w:rPr>
          <w:szCs w:val="28"/>
          <w:lang w:val="ru-RU"/>
        </w:rPr>
        <w:t xml:space="preserve">еспублике </w:t>
      </w:r>
      <w:r>
        <w:rPr>
          <w:szCs w:val="28"/>
        </w:rPr>
        <w:t>Т</w:t>
      </w:r>
      <w:r>
        <w:rPr>
          <w:szCs w:val="28"/>
          <w:lang w:val="ru-RU"/>
        </w:rPr>
        <w:t>атарстан</w:t>
      </w:r>
      <w:r>
        <w:rPr>
          <w:szCs w:val="28"/>
        </w:rPr>
        <w:t xml:space="preserve"> организовано физическое кольцо, которое позволяет использовать достаточное количество каналов. Для абонентов предоставляется выбор 9 операторов междугородной и международной связи.</w:t>
      </w:r>
    </w:p>
    <w:p>
      <w:pPr>
        <w:pStyle w:val="Style85"/>
        <w:spacing w:before="0" w:after="0"/>
        <w:ind w:firstLine="709"/>
        <w:rPr/>
      </w:pPr>
      <w:r>
        <w:rPr>
          <w:szCs w:val="28"/>
          <w:lang w:val="ru-RU"/>
        </w:rPr>
        <w:t>Также в населенных пунктах им. Мулланура Вахитова, Бакча-Сарай и Ташевка имеются базовые станции связи.</w:t>
      </w:r>
    </w:p>
    <w:p>
      <w:pPr>
        <w:pStyle w:val="Style85"/>
        <w:spacing w:before="0" w:after="0"/>
        <w:ind w:firstLine="709"/>
        <w:rPr>
          <w:color w:val="FF0066"/>
          <w:szCs w:val="28"/>
          <w:lang w:val="ru-RU"/>
        </w:rPr>
      </w:pPr>
      <w:r>
        <w:rPr>
          <w:color w:val="FF0066"/>
          <w:szCs w:val="28"/>
          <w:lang w:val="ru-RU"/>
        </w:rPr>
      </w:r>
    </w:p>
    <w:p>
      <w:pPr>
        <w:pStyle w:val="1"/>
        <w:numPr>
          <w:ilvl w:val="0"/>
          <w:numId w:val="7"/>
        </w:numPr>
        <w:ind w:left="432" w:hanging="432"/>
        <w:rPr>
          <w:color w:val="000000"/>
        </w:rPr>
      </w:pPr>
      <w:hyperlink w:anchor="__RefHeading___Toc260476336">
        <w:bookmarkStart w:id="280" w:name="__RefHeading___Toc156489427"/>
        <w:bookmarkEnd w:id="280"/>
        <w:r>
          <w:rPr>
            <w:rStyle w:val="-"/>
            <w:color w:val="000000"/>
          </w:rPr>
          <w:t>НАПРАВЛЕНИЯ РАЗВИТИЯ ВАХИТОВСКОГО СЕЛЬСКОГО ПОСЕЛЕНИЯ ДО 2047 ГОДА. ОБОСНОВАНИЕ МЕРОПРИЯТИЙ ПО ТЕРРИТОРИАЛЬНОМУ ПЛАНИРОВАНИЮ</w:t>
        </w:r>
      </w:hyperlink>
    </w:p>
    <w:p>
      <w:pPr>
        <w:pStyle w:val="Normal"/>
        <w:ind w:hanging="0"/>
        <w:rPr>
          <w:color w:val="000000"/>
          <w:lang w:val="ru-RU"/>
        </w:rPr>
      </w:pPr>
      <w:r>
        <w:rPr>
          <w:color w:val="000000"/>
          <w:lang w:val="ru-RU"/>
        </w:rPr>
      </w:r>
    </w:p>
    <w:p>
      <w:pPr>
        <w:pStyle w:val="2"/>
        <w:numPr>
          <w:ilvl w:val="1"/>
          <w:numId w:val="7"/>
        </w:numPr>
        <w:rPr>
          <w:color w:val="000000"/>
          <w:szCs w:val="20"/>
        </w:rPr>
      </w:pPr>
      <w:bookmarkStart w:id="281" w:name="__RefHeading___Toc156489428"/>
      <w:bookmarkEnd w:id="281"/>
      <w:r>
        <w:rPr>
          <w:color w:val="000000"/>
        </w:rPr>
        <w:t>Прогноз численности населения</w:t>
      </w:r>
    </w:p>
    <w:p>
      <w:pPr>
        <w:pStyle w:val="Normal"/>
        <w:ind w:firstLine="720"/>
        <w:rPr>
          <w:color w:val="000000"/>
          <w:szCs w:val="28"/>
        </w:rPr>
      </w:pPr>
      <w:r>
        <w:rPr>
          <w:color w:val="000000"/>
          <w:szCs w:val="28"/>
        </w:rPr>
        <w:t xml:space="preserve">Демографическую политику, в том числе прогноз численности населения, в отношении муниципальных районов республики и городов республиканского значения устанавливает Министерство экономики Республики Татарстан. </w:t>
      </w:r>
    </w:p>
    <w:p>
      <w:pPr>
        <w:pStyle w:val="Normal"/>
        <w:ind w:firstLine="720"/>
        <w:rPr/>
      </w:pPr>
      <w:r>
        <w:rPr>
          <w:color w:val="000000"/>
          <w:szCs w:val="28"/>
        </w:rPr>
        <w:t>Прогноз численности населения сельских поселений Верхнеуслонского муниципального района выполнялся с учетом прогноза общей численности населения района, предоставленного Министерством экономики Республики Татарстан.</w:t>
      </w:r>
    </w:p>
    <w:p>
      <w:pPr>
        <w:pStyle w:val="Normal"/>
        <w:ind w:firstLine="720"/>
        <w:rPr/>
      </w:pPr>
      <w:r>
        <w:rPr>
          <w:color w:val="000000"/>
          <w:szCs w:val="28"/>
        </w:rPr>
        <w:t xml:space="preserve">Прогноз численности населения Вахитовского сельского поселения выполнялся в рамках генерального плана. Прогноз численности населения каждого из населенных пунктов в составе Вахитовского сельского поселения выполнен методом экстраполяции, на основе сведений о динамике численности всего населения, основных возрастных групп, детей и подростков с 2016 по 2022 года. </w:t>
      </w:r>
    </w:p>
    <w:p>
      <w:pPr>
        <w:pStyle w:val="Style86"/>
        <w:ind w:firstLine="709"/>
        <w:jc w:val="both"/>
        <w:rPr/>
      </w:pPr>
      <w:r>
        <w:rPr>
          <w:rFonts w:cs="Times New Roman" w:ascii="Times New Roman" w:hAnsi="Times New Roman"/>
          <w:color w:val="000000"/>
          <w:sz w:val="28"/>
          <w:szCs w:val="28"/>
        </w:rPr>
        <w:t>Согласно демографическому прогнозу численность постоянного населения Вахитовского сельского поселения на первую очередь реализации генерального плана (2032 г.) составит 762 человека.</w:t>
      </w:r>
    </w:p>
    <w:p>
      <w:pPr>
        <w:pStyle w:val="Style86"/>
        <w:ind w:firstLine="709"/>
        <w:jc w:val="both"/>
        <w:rPr/>
      </w:pPr>
      <w:r>
        <w:rPr>
          <w:rFonts w:cs="Times New Roman" w:ascii="Times New Roman" w:hAnsi="Times New Roman"/>
          <w:color w:val="000000"/>
          <w:sz w:val="28"/>
          <w:szCs w:val="28"/>
        </w:rPr>
        <w:t>Численность постоянного населения Вахитовского сельского поселения на расчетный срок реализации генерального плана (2047 г.) составит 1075 человек.</w:t>
      </w:r>
    </w:p>
    <w:p>
      <w:pPr>
        <w:pStyle w:val="Style86"/>
        <w:ind w:firstLine="709"/>
        <w:jc w:val="both"/>
        <w:rPr>
          <w:rFonts w:ascii="Times New Roman" w:hAnsi="Times New Roman" w:cs="Times New Roman"/>
          <w:color w:val="FF0066"/>
          <w:sz w:val="28"/>
          <w:szCs w:val="28"/>
        </w:rPr>
      </w:pPr>
      <w:r>
        <w:rPr>
          <w:rFonts w:cs="Times New Roman" w:ascii="Times New Roman" w:hAnsi="Times New Roman"/>
          <w:color w:val="FF0066"/>
          <w:sz w:val="28"/>
          <w:szCs w:val="28"/>
        </w:rPr>
      </w:r>
    </w:p>
    <w:p>
      <w:pPr>
        <w:pStyle w:val="Style78"/>
        <w:rPr/>
      </w:pPr>
      <w:r>
        <w:rPr>
          <w:color w:val="000000"/>
        </w:rPr>
        <w:t>Таблица 4.1.1</w:t>
      </w:r>
    </w:p>
    <w:p>
      <w:pPr>
        <w:pStyle w:val="Style56"/>
        <w:rPr>
          <w:i w:val="false"/>
          <w:i w:val="false"/>
          <w:color w:val="000000"/>
        </w:rPr>
      </w:pPr>
      <w:r>
        <w:rPr>
          <w:i w:val="false"/>
          <w:color w:val="000000"/>
        </w:rPr>
        <w:t xml:space="preserve">Прогноз численности населения </w:t>
      </w:r>
    </w:p>
    <w:p>
      <w:pPr>
        <w:pStyle w:val="Style56"/>
        <w:rPr/>
      </w:pPr>
      <w:r>
        <w:rPr>
          <w:i w:val="false"/>
          <w:color w:val="000000"/>
        </w:rPr>
        <w:t xml:space="preserve">Вахитовского </w:t>
      </w:r>
      <w:r>
        <w:rPr/>
        <w:t>сельского поселения, человек</w:t>
      </w:r>
    </w:p>
    <w:tbl>
      <w:tblPr>
        <w:tblW w:w="9710" w:type="dxa"/>
        <w:jc w:val="center"/>
        <w:tblInd w:w="0" w:type="dxa"/>
        <w:tblLayout w:type="fixed"/>
        <w:tblCellMar>
          <w:top w:w="0" w:type="dxa"/>
          <w:left w:w="108" w:type="dxa"/>
          <w:bottom w:w="0" w:type="dxa"/>
          <w:right w:w="108" w:type="dxa"/>
        </w:tblCellMar>
      </w:tblPr>
      <w:tblGrid>
        <w:gridCol w:w="625"/>
        <w:gridCol w:w="2937"/>
        <w:gridCol w:w="1561"/>
        <w:gridCol w:w="1547"/>
        <w:gridCol w:w="1500"/>
        <w:gridCol w:w="1540"/>
      </w:tblGrid>
      <w:tr>
        <w:trPr>
          <w:tblHeader w:val="true"/>
          <w:trHeight w:val="255" w:hRule="atLeast"/>
        </w:trPr>
        <w:tc>
          <w:tcPr>
            <w:tcW w:w="62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bookmarkStart w:id="282" w:name="_Hlk150347041"/>
            <w:bookmarkEnd w:id="282"/>
            <w:r>
              <w:rPr>
                <w:color w:val="000000"/>
                <w:sz w:val="20"/>
                <w:szCs w:val="20"/>
              </w:rPr>
              <w:t xml:space="preserve">№ </w:t>
            </w:r>
            <w:r>
              <w:rPr>
                <w:color w:val="000000"/>
                <w:sz w:val="20"/>
                <w:szCs w:val="20"/>
              </w:rPr>
              <w:t>п/п</w:t>
            </w:r>
          </w:p>
        </w:tc>
        <w:tc>
          <w:tcPr>
            <w:tcW w:w="293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color w:val="000000"/>
                <w:sz w:val="20"/>
                <w:szCs w:val="20"/>
              </w:rPr>
            </w:pPr>
            <w:r>
              <w:rPr>
                <w:bCs/>
                <w:color w:val="000000"/>
                <w:sz w:val="20"/>
                <w:szCs w:val="20"/>
              </w:rPr>
              <w:t>Наименование</w:t>
            </w:r>
          </w:p>
        </w:tc>
        <w:tc>
          <w:tcPr>
            <w:tcW w:w="3108"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bCs/>
                <w:color w:val="000000"/>
                <w:sz w:val="20"/>
                <w:szCs w:val="20"/>
              </w:rPr>
              <w:t>2032 г.</w:t>
            </w:r>
          </w:p>
        </w:tc>
        <w:tc>
          <w:tcPr>
            <w:tcW w:w="3040"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bCs/>
                <w:color w:val="000000"/>
                <w:sz w:val="20"/>
                <w:szCs w:val="20"/>
              </w:rPr>
              <w:t>2047 г.</w:t>
            </w:r>
          </w:p>
        </w:tc>
      </w:tr>
      <w:tr>
        <w:trPr>
          <w:tblHeader w:val="true"/>
          <w:trHeight w:val="255" w:hRule="atLeast"/>
        </w:trPr>
        <w:tc>
          <w:tcPr>
            <w:tcW w:w="6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center"/>
              <w:rPr>
                <w:bCs/>
                <w:color w:val="000000"/>
                <w:sz w:val="20"/>
                <w:szCs w:val="20"/>
              </w:rPr>
            </w:pPr>
            <w:r>
              <w:rPr>
                <w:bCs/>
                <w:color w:val="000000"/>
                <w:sz w:val="20"/>
                <w:szCs w:val="20"/>
              </w:rPr>
            </w:r>
          </w:p>
        </w:tc>
        <w:tc>
          <w:tcPr>
            <w:tcW w:w="293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center"/>
              <w:rPr>
                <w:bCs/>
                <w:color w:val="000000"/>
                <w:sz w:val="20"/>
                <w:szCs w:val="20"/>
              </w:rPr>
            </w:pPr>
            <w:r>
              <w:rPr>
                <w:bCs/>
                <w:color w:val="000000"/>
                <w:sz w:val="20"/>
                <w:szCs w:val="20"/>
              </w:rPr>
            </w:r>
          </w:p>
        </w:tc>
        <w:tc>
          <w:tcPr>
            <w:tcW w:w="156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Постоянное население</w:t>
            </w:r>
          </w:p>
        </w:tc>
        <w:tc>
          <w:tcPr>
            <w:tcW w:w="154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Население, строящее второе жилье</w:t>
            </w:r>
          </w:p>
        </w:tc>
        <w:tc>
          <w:tcPr>
            <w:tcW w:w="150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Постоянное население</w:t>
            </w:r>
          </w:p>
        </w:tc>
        <w:tc>
          <w:tcPr>
            <w:tcW w:w="154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Население, строящее второе жилье</w:t>
            </w:r>
          </w:p>
        </w:tc>
      </w:tr>
      <w:tr>
        <w:trPr>
          <w:trHeight w:val="70" w:hRule="atLeast"/>
        </w:trPr>
        <w:tc>
          <w:tcPr>
            <w:tcW w:w="62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2937"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д.им. Мулланура Вахитова</w:t>
            </w:r>
          </w:p>
        </w:tc>
        <w:tc>
          <w:tcPr>
            <w:tcW w:w="156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231</w:t>
            </w:r>
          </w:p>
        </w:tc>
        <w:tc>
          <w:tcPr>
            <w:tcW w:w="154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50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288</w:t>
            </w:r>
          </w:p>
        </w:tc>
        <w:tc>
          <w:tcPr>
            <w:tcW w:w="154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r>
      <w:tr>
        <w:trPr>
          <w:trHeight w:val="70" w:hRule="atLeast"/>
        </w:trPr>
        <w:tc>
          <w:tcPr>
            <w:tcW w:w="62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w:t>
            </w:r>
          </w:p>
        </w:tc>
        <w:tc>
          <w:tcPr>
            <w:tcW w:w="2937" w:type="dxa"/>
            <w:tcBorders>
              <w:top w:val="single" w:sz="4" w:space="0" w:color="000000"/>
              <w:left w:val="single" w:sz="4" w:space="0" w:color="000000"/>
              <w:bottom w:val="single" w:sz="4" w:space="0" w:color="000000"/>
              <w:right w:val="single" w:sz="4" w:space="0" w:color="000000"/>
            </w:tcBorders>
            <w:vAlign w:val="center"/>
          </w:tcPr>
          <w:p>
            <w:pPr>
              <w:pStyle w:val="Style75"/>
              <w:jc w:val="left"/>
              <w:rPr>
                <w:color w:val="000000"/>
                <w:sz w:val="20"/>
                <w:szCs w:val="20"/>
              </w:rPr>
            </w:pPr>
            <w:r>
              <w:rPr>
                <w:color w:val="000000"/>
                <w:sz w:val="20"/>
                <w:szCs w:val="20"/>
              </w:rPr>
              <w:t>п.Бакча-Сарай</w:t>
            </w:r>
          </w:p>
        </w:tc>
        <w:tc>
          <w:tcPr>
            <w:tcW w:w="156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233</w:t>
            </w:r>
          </w:p>
        </w:tc>
        <w:tc>
          <w:tcPr>
            <w:tcW w:w="154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50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256</w:t>
            </w:r>
          </w:p>
        </w:tc>
        <w:tc>
          <w:tcPr>
            <w:tcW w:w="154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r>
      <w:tr>
        <w:trPr>
          <w:trHeight w:val="70" w:hRule="atLeast"/>
        </w:trPr>
        <w:tc>
          <w:tcPr>
            <w:tcW w:w="62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w:t>
            </w:r>
          </w:p>
        </w:tc>
        <w:tc>
          <w:tcPr>
            <w:tcW w:w="2937" w:type="dxa"/>
            <w:tcBorders>
              <w:top w:val="single" w:sz="4" w:space="0" w:color="000000"/>
              <w:left w:val="single" w:sz="4" w:space="0" w:color="000000"/>
              <w:bottom w:val="single" w:sz="4" w:space="0" w:color="000000"/>
              <w:right w:val="single" w:sz="4" w:space="0" w:color="000000"/>
            </w:tcBorders>
            <w:vAlign w:val="center"/>
          </w:tcPr>
          <w:p>
            <w:pPr>
              <w:pStyle w:val="Style75"/>
              <w:jc w:val="left"/>
              <w:rPr>
                <w:color w:val="000000"/>
                <w:sz w:val="20"/>
                <w:szCs w:val="20"/>
              </w:rPr>
            </w:pPr>
            <w:r>
              <w:rPr>
                <w:color w:val="000000"/>
                <w:sz w:val="20"/>
                <w:szCs w:val="20"/>
              </w:rPr>
              <w:t>с.Ташевка</w:t>
            </w:r>
          </w:p>
        </w:tc>
        <w:tc>
          <w:tcPr>
            <w:tcW w:w="156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216</w:t>
            </w:r>
          </w:p>
        </w:tc>
        <w:tc>
          <w:tcPr>
            <w:tcW w:w="154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50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258</w:t>
            </w:r>
          </w:p>
        </w:tc>
        <w:tc>
          <w:tcPr>
            <w:tcW w:w="154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r>
      <w:tr>
        <w:trPr>
          <w:trHeight w:val="70" w:hRule="atLeast"/>
        </w:trPr>
        <w:tc>
          <w:tcPr>
            <w:tcW w:w="62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w:t>
            </w:r>
          </w:p>
        </w:tc>
        <w:tc>
          <w:tcPr>
            <w:tcW w:w="2937" w:type="dxa"/>
            <w:tcBorders>
              <w:top w:val="single" w:sz="4" w:space="0" w:color="000000"/>
              <w:left w:val="single" w:sz="4" w:space="0" w:color="000000"/>
              <w:bottom w:val="single" w:sz="4" w:space="0" w:color="000000"/>
              <w:right w:val="single" w:sz="4" w:space="0" w:color="000000"/>
            </w:tcBorders>
            <w:vAlign w:val="center"/>
          </w:tcPr>
          <w:p>
            <w:pPr>
              <w:pStyle w:val="Style75"/>
              <w:jc w:val="left"/>
              <w:rPr/>
            </w:pPr>
            <w:r>
              <w:rPr>
                <w:color w:val="000000"/>
                <w:sz w:val="20"/>
                <w:szCs w:val="20"/>
              </w:rPr>
              <w:t>д.Ватан</w:t>
            </w:r>
          </w:p>
        </w:tc>
        <w:tc>
          <w:tcPr>
            <w:tcW w:w="156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23</w:t>
            </w:r>
          </w:p>
        </w:tc>
        <w:tc>
          <w:tcPr>
            <w:tcW w:w="154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50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30</w:t>
            </w:r>
          </w:p>
        </w:tc>
        <w:tc>
          <w:tcPr>
            <w:tcW w:w="154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r>
      <w:tr>
        <w:trPr>
          <w:trHeight w:val="70" w:hRule="atLeast"/>
        </w:trPr>
        <w:tc>
          <w:tcPr>
            <w:tcW w:w="62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w:t>
            </w:r>
          </w:p>
        </w:tc>
        <w:tc>
          <w:tcPr>
            <w:tcW w:w="2937" w:type="dxa"/>
            <w:tcBorders>
              <w:top w:val="single" w:sz="4" w:space="0" w:color="000000"/>
              <w:left w:val="single" w:sz="4" w:space="0" w:color="000000"/>
              <w:bottom w:val="single" w:sz="4" w:space="0" w:color="000000"/>
              <w:right w:val="single" w:sz="4" w:space="0" w:color="000000"/>
            </w:tcBorders>
            <w:vAlign w:val="center"/>
          </w:tcPr>
          <w:p>
            <w:pPr>
              <w:pStyle w:val="Style75"/>
              <w:jc w:val="left"/>
              <w:rPr>
                <w:color w:val="000000"/>
                <w:sz w:val="20"/>
                <w:szCs w:val="20"/>
              </w:rPr>
            </w:pPr>
            <w:r>
              <w:rPr>
                <w:color w:val="000000"/>
                <w:sz w:val="20"/>
                <w:szCs w:val="20"/>
              </w:rPr>
              <w:t>д.Гребени</w:t>
            </w:r>
          </w:p>
        </w:tc>
        <w:tc>
          <w:tcPr>
            <w:tcW w:w="156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59</w:t>
            </w:r>
          </w:p>
        </w:tc>
        <w:tc>
          <w:tcPr>
            <w:tcW w:w="154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50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243</w:t>
            </w:r>
          </w:p>
        </w:tc>
        <w:tc>
          <w:tcPr>
            <w:tcW w:w="154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r>
      <w:tr>
        <w:trPr>
          <w:trHeight w:val="113" w:hRule="atLeast"/>
        </w:trPr>
        <w:tc>
          <w:tcPr>
            <w:tcW w:w="3562" w:type="dxa"/>
            <w:gridSpan w:val="2"/>
            <w:tcBorders>
              <w:top w:val="single" w:sz="4" w:space="0" w:color="000000"/>
              <w:left w:val="single" w:sz="4" w:space="0" w:color="000000"/>
              <w:bottom w:val="single" w:sz="4" w:space="0" w:color="000000"/>
              <w:right w:val="single" w:sz="4" w:space="0" w:color="000000"/>
            </w:tcBorders>
            <w:vAlign w:val="center"/>
          </w:tcPr>
          <w:p>
            <w:pPr>
              <w:pStyle w:val="Style75"/>
              <w:jc w:val="left"/>
              <w:rPr>
                <w:color w:val="000000"/>
                <w:sz w:val="20"/>
                <w:szCs w:val="20"/>
              </w:rPr>
            </w:pPr>
            <w:r>
              <w:rPr>
                <w:color w:val="000000"/>
                <w:sz w:val="20"/>
                <w:szCs w:val="20"/>
              </w:rPr>
              <w:t>Всего по поселению</w:t>
            </w:r>
          </w:p>
        </w:tc>
        <w:tc>
          <w:tcPr>
            <w:tcW w:w="156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762</w:t>
            </w:r>
          </w:p>
        </w:tc>
        <w:tc>
          <w:tcPr>
            <w:tcW w:w="154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50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1075</w:t>
            </w:r>
          </w:p>
        </w:tc>
        <w:tc>
          <w:tcPr>
            <w:tcW w:w="154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r>
    </w:tbl>
    <w:p>
      <w:pPr>
        <w:pStyle w:val="Style56"/>
        <w:jc w:val="both"/>
        <w:rPr>
          <w:color w:val="000000"/>
        </w:rPr>
      </w:pPr>
      <w:r>
        <w:rPr>
          <w:color w:val="000000"/>
        </w:rPr>
      </w:r>
    </w:p>
    <w:p>
      <w:pPr>
        <w:pStyle w:val="Style78"/>
        <w:ind w:firstLine="700"/>
        <w:rPr/>
      </w:pPr>
      <w:r>
        <w:rPr>
          <w:color w:val="000000"/>
        </w:rPr>
        <w:t>Таблица 4.1.2</w:t>
      </w:r>
    </w:p>
    <w:p>
      <w:pPr>
        <w:pStyle w:val="Style56"/>
        <w:rPr/>
      </w:pPr>
      <w:r>
        <w:rPr>
          <w:i w:val="false"/>
          <w:color w:val="000000"/>
        </w:rPr>
        <w:t xml:space="preserve">Прогнозная численность детей и подростков в </w:t>
      </w:r>
    </w:p>
    <w:p>
      <w:pPr>
        <w:pStyle w:val="Style56"/>
        <w:rPr/>
      </w:pPr>
      <w:r>
        <w:rPr>
          <w:i w:val="false"/>
          <w:color w:val="000000"/>
        </w:rPr>
        <w:t>Вахитовском</w:t>
      </w:r>
      <w:r>
        <w:rPr/>
        <w:t xml:space="preserve"> сельском поселении, человек</w:t>
      </w:r>
    </w:p>
    <w:tbl>
      <w:tblPr>
        <w:tblW w:w="5000" w:type="pct"/>
        <w:jc w:val="center"/>
        <w:tblInd w:w="0" w:type="dxa"/>
        <w:tblLayout w:type="fixed"/>
        <w:tblCellMar>
          <w:top w:w="0" w:type="dxa"/>
          <w:left w:w="108" w:type="dxa"/>
          <w:bottom w:w="0" w:type="dxa"/>
          <w:right w:w="108" w:type="dxa"/>
        </w:tblCellMar>
      </w:tblPr>
      <w:tblGrid>
        <w:gridCol w:w="756"/>
        <w:gridCol w:w="2461"/>
        <w:gridCol w:w="1118"/>
        <w:gridCol w:w="1117"/>
        <w:gridCol w:w="1118"/>
        <w:gridCol w:w="1117"/>
        <w:gridCol w:w="1117"/>
        <w:gridCol w:w="1117"/>
      </w:tblGrid>
      <w:tr>
        <w:trPr>
          <w:tblHeader w:val="true"/>
          <w:trHeight w:val="315" w:hRule="atLeast"/>
        </w:trPr>
        <w:tc>
          <w:tcPr>
            <w:tcW w:w="75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bookmarkStart w:id="283" w:name="_Hlk150347112"/>
            <w:bookmarkEnd w:id="283"/>
            <w:r>
              <w:rPr>
                <w:color w:val="000000"/>
                <w:sz w:val="20"/>
                <w:szCs w:val="20"/>
              </w:rPr>
              <w:t xml:space="preserve">№ </w:t>
            </w:r>
            <w:r>
              <w:rPr>
                <w:color w:val="000000"/>
                <w:sz w:val="20"/>
                <w:szCs w:val="20"/>
              </w:rPr>
              <w:t>п/п</w:t>
            </w:r>
          </w:p>
        </w:tc>
        <w:tc>
          <w:tcPr>
            <w:tcW w:w="246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bCs/>
                <w:color w:val="000000"/>
                <w:sz w:val="20"/>
                <w:szCs w:val="20"/>
              </w:rPr>
              <w:t>Наименование населенного пункта</w:t>
            </w:r>
          </w:p>
        </w:tc>
        <w:tc>
          <w:tcPr>
            <w:tcW w:w="3353" w:type="dxa"/>
            <w:gridSpan w:val="3"/>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bCs/>
                <w:color w:val="000000"/>
                <w:sz w:val="20"/>
                <w:szCs w:val="20"/>
              </w:rPr>
              <w:t>2032 г.</w:t>
            </w:r>
          </w:p>
        </w:tc>
        <w:tc>
          <w:tcPr>
            <w:tcW w:w="3351" w:type="dxa"/>
            <w:gridSpan w:val="3"/>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bCs/>
                <w:color w:val="000000"/>
                <w:sz w:val="20"/>
                <w:szCs w:val="20"/>
              </w:rPr>
              <w:t>2047 г.</w:t>
            </w:r>
          </w:p>
        </w:tc>
      </w:tr>
      <w:tr>
        <w:trPr>
          <w:tblHeader w:val="true"/>
          <w:trHeight w:val="315" w:hRule="atLeast"/>
        </w:trPr>
        <w:tc>
          <w:tcPr>
            <w:tcW w:w="75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rPr>
                <w:bCs/>
                <w:color w:val="000000"/>
                <w:sz w:val="20"/>
                <w:szCs w:val="20"/>
              </w:rPr>
            </w:pPr>
            <w:r>
              <w:rPr>
                <w:bCs/>
                <w:color w:val="000000"/>
                <w:sz w:val="20"/>
                <w:szCs w:val="20"/>
              </w:rPr>
            </w:r>
          </w:p>
        </w:tc>
        <w:tc>
          <w:tcPr>
            <w:tcW w:w="246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rPr>
                <w:bCs/>
                <w:color w:val="000000"/>
                <w:sz w:val="20"/>
                <w:szCs w:val="20"/>
              </w:rPr>
            </w:pPr>
            <w:r>
              <w:rPr>
                <w:bCs/>
                <w:color w:val="000000"/>
                <w:sz w:val="20"/>
                <w:szCs w:val="20"/>
              </w:rPr>
            </w:r>
          </w:p>
        </w:tc>
        <w:tc>
          <w:tcPr>
            <w:tcW w:w="111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bCs/>
                <w:color w:val="000000"/>
                <w:sz w:val="20"/>
                <w:szCs w:val="20"/>
              </w:rPr>
              <w:t>0-7 л.</w:t>
            </w:r>
          </w:p>
        </w:tc>
        <w:tc>
          <w:tcPr>
            <w:tcW w:w="111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bCs/>
                <w:color w:val="000000"/>
                <w:sz w:val="20"/>
                <w:szCs w:val="20"/>
              </w:rPr>
              <w:t>7-18 л.</w:t>
            </w:r>
          </w:p>
        </w:tc>
        <w:tc>
          <w:tcPr>
            <w:tcW w:w="111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bCs/>
                <w:color w:val="000000"/>
                <w:sz w:val="20"/>
                <w:szCs w:val="20"/>
              </w:rPr>
              <w:t>5-18 л.</w:t>
            </w:r>
          </w:p>
        </w:tc>
        <w:tc>
          <w:tcPr>
            <w:tcW w:w="111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bCs/>
                <w:color w:val="000000"/>
                <w:sz w:val="20"/>
                <w:szCs w:val="20"/>
              </w:rPr>
              <w:t>0-7 л.</w:t>
            </w:r>
          </w:p>
        </w:tc>
        <w:tc>
          <w:tcPr>
            <w:tcW w:w="111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bCs/>
                <w:color w:val="000000"/>
                <w:sz w:val="20"/>
                <w:szCs w:val="20"/>
              </w:rPr>
              <w:t>7-18 л.</w:t>
            </w:r>
          </w:p>
        </w:tc>
        <w:tc>
          <w:tcPr>
            <w:tcW w:w="111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bCs/>
                <w:color w:val="000000"/>
                <w:sz w:val="20"/>
                <w:szCs w:val="20"/>
              </w:rPr>
              <w:t>5-18 л.</w:t>
            </w:r>
          </w:p>
        </w:tc>
      </w:tr>
      <w:tr>
        <w:trPr>
          <w:trHeight w:val="68" w:hRule="atLeast"/>
        </w:trPr>
        <w:tc>
          <w:tcPr>
            <w:tcW w:w="7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2461"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д.им. Мулланура Вахитова</w:t>
            </w:r>
          </w:p>
        </w:tc>
        <w:tc>
          <w:tcPr>
            <w:tcW w:w="111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19</w:t>
            </w:r>
          </w:p>
        </w:tc>
        <w:tc>
          <w:tcPr>
            <w:tcW w:w="111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23</w:t>
            </w:r>
          </w:p>
        </w:tc>
        <w:tc>
          <w:tcPr>
            <w:tcW w:w="111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28</w:t>
            </w:r>
          </w:p>
        </w:tc>
        <w:tc>
          <w:tcPr>
            <w:tcW w:w="111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24</w:t>
            </w:r>
          </w:p>
        </w:tc>
        <w:tc>
          <w:tcPr>
            <w:tcW w:w="111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28</w:t>
            </w:r>
          </w:p>
        </w:tc>
        <w:tc>
          <w:tcPr>
            <w:tcW w:w="111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35</w:t>
            </w:r>
          </w:p>
        </w:tc>
      </w:tr>
      <w:tr>
        <w:trPr>
          <w:trHeight w:val="68" w:hRule="atLeast"/>
        </w:trPr>
        <w:tc>
          <w:tcPr>
            <w:tcW w:w="7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w:t>
            </w:r>
          </w:p>
        </w:tc>
        <w:tc>
          <w:tcPr>
            <w:tcW w:w="2461" w:type="dxa"/>
            <w:tcBorders>
              <w:top w:val="single" w:sz="4" w:space="0" w:color="000000"/>
              <w:left w:val="single" w:sz="4" w:space="0" w:color="000000"/>
              <w:bottom w:val="single" w:sz="4" w:space="0" w:color="000000"/>
              <w:right w:val="single" w:sz="4" w:space="0" w:color="000000"/>
            </w:tcBorders>
            <w:vAlign w:val="center"/>
          </w:tcPr>
          <w:p>
            <w:pPr>
              <w:pStyle w:val="Style75"/>
              <w:jc w:val="left"/>
              <w:rPr>
                <w:color w:val="000000"/>
                <w:sz w:val="20"/>
                <w:szCs w:val="20"/>
              </w:rPr>
            </w:pPr>
            <w:r>
              <w:rPr>
                <w:color w:val="000000"/>
                <w:sz w:val="20"/>
                <w:szCs w:val="20"/>
              </w:rPr>
              <w:t>п.Бакча-Сарай</w:t>
            </w:r>
          </w:p>
        </w:tc>
        <w:tc>
          <w:tcPr>
            <w:tcW w:w="111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20</w:t>
            </w:r>
          </w:p>
        </w:tc>
        <w:tc>
          <w:tcPr>
            <w:tcW w:w="111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23</w:t>
            </w:r>
          </w:p>
        </w:tc>
        <w:tc>
          <w:tcPr>
            <w:tcW w:w="111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29</w:t>
            </w:r>
          </w:p>
        </w:tc>
        <w:tc>
          <w:tcPr>
            <w:tcW w:w="111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21</w:t>
            </w:r>
          </w:p>
        </w:tc>
        <w:tc>
          <w:tcPr>
            <w:tcW w:w="111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25</w:t>
            </w:r>
          </w:p>
        </w:tc>
        <w:tc>
          <w:tcPr>
            <w:tcW w:w="111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31</w:t>
            </w:r>
          </w:p>
        </w:tc>
      </w:tr>
      <w:tr>
        <w:trPr>
          <w:trHeight w:val="68" w:hRule="atLeast"/>
        </w:trPr>
        <w:tc>
          <w:tcPr>
            <w:tcW w:w="7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w:t>
            </w:r>
          </w:p>
        </w:tc>
        <w:tc>
          <w:tcPr>
            <w:tcW w:w="2461" w:type="dxa"/>
            <w:tcBorders>
              <w:top w:val="single" w:sz="4" w:space="0" w:color="000000"/>
              <w:left w:val="single" w:sz="4" w:space="0" w:color="000000"/>
              <w:bottom w:val="single" w:sz="4" w:space="0" w:color="000000"/>
              <w:right w:val="single" w:sz="4" w:space="0" w:color="000000"/>
            </w:tcBorders>
            <w:vAlign w:val="center"/>
          </w:tcPr>
          <w:p>
            <w:pPr>
              <w:pStyle w:val="Style75"/>
              <w:jc w:val="left"/>
              <w:rPr>
                <w:color w:val="000000"/>
                <w:sz w:val="20"/>
                <w:szCs w:val="20"/>
              </w:rPr>
            </w:pPr>
            <w:r>
              <w:rPr>
                <w:color w:val="000000"/>
                <w:sz w:val="20"/>
                <w:szCs w:val="20"/>
              </w:rPr>
              <w:t>с.Ташевка</w:t>
            </w:r>
          </w:p>
        </w:tc>
        <w:tc>
          <w:tcPr>
            <w:tcW w:w="111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18</w:t>
            </w:r>
          </w:p>
        </w:tc>
        <w:tc>
          <w:tcPr>
            <w:tcW w:w="111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21</w:t>
            </w:r>
          </w:p>
        </w:tc>
        <w:tc>
          <w:tcPr>
            <w:tcW w:w="111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26</w:t>
            </w:r>
          </w:p>
        </w:tc>
        <w:tc>
          <w:tcPr>
            <w:tcW w:w="111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22</w:t>
            </w:r>
          </w:p>
        </w:tc>
        <w:tc>
          <w:tcPr>
            <w:tcW w:w="111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25</w:t>
            </w:r>
          </w:p>
        </w:tc>
        <w:tc>
          <w:tcPr>
            <w:tcW w:w="111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32</w:t>
            </w:r>
          </w:p>
        </w:tc>
      </w:tr>
      <w:tr>
        <w:trPr>
          <w:trHeight w:val="68" w:hRule="atLeast"/>
        </w:trPr>
        <w:tc>
          <w:tcPr>
            <w:tcW w:w="7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w:t>
            </w:r>
          </w:p>
        </w:tc>
        <w:tc>
          <w:tcPr>
            <w:tcW w:w="2461" w:type="dxa"/>
            <w:tcBorders>
              <w:top w:val="single" w:sz="4" w:space="0" w:color="000000"/>
              <w:left w:val="single" w:sz="4" w:space="0" w:color="000000"/>
              <w:bottom w:val="single" w:sz="4" w:space="0" w:color="000000"/>
              <w:right w:val="single" w:sz="4" w:space="0" w:color="000000"/>
            </w:tcBorders>
            <w:vAlign w:val="center"/>
          </w:tcPr>
          <w:p>
            <w:pPr>
              <w:pStyle w:val="Style75"/>
              <w:jc w:val="left"/>
              <w:rPr>
                <w:color w:val="000000"/>
                <w:sz w:val="20"/>
                <w:szCs w:val="20"/>
              </w:rPr>
            </w:pPr>
            <w:r>
              <w:rPr>
                <w:color w:val="000000"/>
                <w:sz w:val="20"/>
                <w:szCs w:val="20"/>
              </w:rPr>
              <w:t>д.Ватан</w:t>
            </w:r>
          </w:p>
        </w:tc>
        <w:tc>
          <w:tcPr>
            <w:tcW w:w="111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w:t>
            </w:r>
          </w:p>
        </w:tc>
        <w:tc>
          <w:tcPr>
            <w:tcW w:w="111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w:t>
            </w:r>
          </w:p>
        </w:tc>
        <w:tc>
          <w:tcPr>
            <w:tcW w:w="111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w:t>
            </w:r>
          </w:p>
        </w:tc>
        <w:tc>
          <w:tcPr>
            <w:tcW w:w="111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w:t>
            </w:r>
          </w:p>
        </w:tc>
        <w:tc>
          <w:tcPr>
            <w:tcW w:w="111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w:t>
            </w:r>
          </w:p>
        </w:tc>
        <w:tc>
          <w:tcPr>
            <w:tcW w:w="111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w:t>
            </w:r>
          </w:p>
        </w:tc>
      </w:tr>
      <w:tr>
        <w:trPr>
          <w:trHeight w:val="68" w:hRule="atLeast"/>
        </w:trPr>
        <w:tc>
          <w:tcPr>
            <w:tcW w:w="7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w:t>
            </w:r>
          </w:p>
        </w:tc>
        <w:tc>
          <w:tcPr>
            <w:tcW w:w="2461" w:type="dxa"/>
            <w:tcBorders>
              <w:top w:val="single" w:sz="4" w:space="0" w:color="000000"/>
              <w:left w:val="single" w:sz="4" w:space="0" w:color="000000"/>
              <w:bottom w:val="single" w:sz="4" w:space="0" w:color="000000"/>
              <w:right w:val="single" w:sz="4" w:space="0" w:color="000000"/>
            </w:tcBorders>
            <w:vAlign w:val="center"/>
          </w:tcPr>
          <w:p>
            <w:pPr>
              <w:pStyle w:val="Style75"/>
              <w:jc w:val="left"/>
              <w:rPr>
                <w:color w:val="000000"/>
                <w:sz w:val="20"/>
                <w:szCs w:val="20"/>
              </w:rPr>
            </w:pPr>
            <w:r>
              <w:rPr>
                <w:color w:val="000000"/>
                <w:sz w:val="20"/>
                <w:szCs w:val="20"/>
              </w:rPr>
              <w:t>д.Гребени</w:t>
            </w:r>
          </w:p>
        </w:tc>
        <w:tc>
          <w:tcPr>
            <w:tcW w:w="111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w:t>
            </w:r>
          </w:p>
        </w:tc>
        <w:tc>
          <w:tcPr>
            <w:tcW w:w="111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6</w:t>
            </w:r>
          </w:p>
        </w:tc>
        <w:tc>
          <w:tcPr>
            <w:tcW w:w="111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7</w:t>
            </w:r>
          </w:p>
        </w:tc>
        <w:tc>
          <w:tcPr>
            <w:tcW w:w="111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20</w:t>
            </w:r>
          </w:p>
        </w:tc>
        <w:tc>
          <w:tcPr>
            <w:tcW w:w="111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24</w:t>
            </w:r>
          </w:p>
        </w:tc>
        <w:tc>
          <w:tcPr>
            <w:tcW w:w="111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29</w:t>
            </w:r>
          </w:p>
        </w:tc>
      </w:tr>
      <w:tr>
        <w:trPr>
          <w:trHeight w:val="68" w:hRule="atLeast"/>
        </w:trPr>
        <w:tc>
          <w:tcPr>
            <w:tcW w:w="3217"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Всего по поселению</w:t>
            </w:r>
          </w:p>
        </w:tc>
        <w:tc>
          <w:tcPr>
            <w:tcW w:w="111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64</w:t>
            </w:r>
          </w:p>
        </w:tc>
        <w:tc>
          <w:tcPr>
            <w:tcW w:w="111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75</w:t>
            </w:r>
          </w:p>
        </w:tc>
        <w:tc>
          <w:tcPr>
            <w:tcW w:w="111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93</w:t>
            </w:r>
          </w:p>
        </w:tc>
        <w:tc>
          <w:tcPr>
            <w:tcW w:w="111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90</w:t>
            </w:r>
          </w:p>
        </w:tc>
        <w:tc>
          <w:tcPr>
            <w:tcW w:w="111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105</w:t>
            </w:r>
          </w:p>
        </w:tc>
        <w:tc>
          <w:tcPr>
            <w:tcW w:w="111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131</w:t>
            </w:r>
          </w:p>
        </w:tc>
      </w:tr>
    </w:tbl>
    <w:p>
      <w:pPr>
        <w:pStyle w:val="210"/>
        <w:tabs>
          <w:tab w:val="clear" w:pos="709"/>
          <w:tab w:val="center" w:pos="5037" w:leader="none"/>
        </w:tabs>
        <w:spacing w:lineRule="auto" w:line="240"/>
        <w:ind w:firstLine="720"/>
        <w:jc w:val="both"/>
        <w:rPr>
          <w:color w:val="FF0066"/>
          <w:lang w:val="ru-RU"/>
        </w:rPr>
      </w:pPr>
      <w:r>
        <w:rPr>
          <w:color w:val="FF0066"/>
          <w:lang w:val="ru-RU"/>
        </w:rPr>
      </w:r>
    </w:p>
    <w:p>
      <w:pPr>
        <w:pStyle w:val="2"/>
        <w:numPr>
          <w:ilvl w:val="1"/>
          <w:numId w:val="7"/>
        </w:numPr>
        <w:rPr>
          <w:color w:val="000000"/>
        </w:rPr>
      </w:pPr>
      <w:bookmarkStart w:id="284" w:name="__RefHeading___Toc156489429"/>
      <w:bookmarkEnd w:id="284"/>
      <w:r>
        <w:rPr>
          <w:color w:val="000000"/>
        </w:rPr>
        <w:t>Экономическое развитие</w:t>
      </w:r>
    </w:p>
    <w:p>
      <w:pPr>
        <w:pStyle w:val="Normal"/>
        <w:ind w:firstLine="720"/>
        <w:jc w:val="both"/>
        <w:rPr/>
      </w:pPr>
      <w:r>
        <w:rPr>
          <w:color w:val="000000"/>
          <w:szCs w:val="28"/>
        </w:rPr>
        <w:t>При определении направления развития Вахитовского сельского поселения были учтены программы социально-экономического развития Республики Татарстан, Верхнеуслонского муниципального района, региональные и федеральные отраслевые программы.</w:t>
      </w:r>
    </w:p>
    <w:p>
      <w:pPr>
        <w:pStyle w:val="Normal"/>
        <w:ind w:firstLine="720"/>
        <w:jc w:val="both"/>
        <w:rPr>
          <w:color w:val="000000"/>
          <w:szCs w:val="28"/>
        </w:rPr>
      </w:pPr>
      <w:r>
        <w:rPr>
          <w:color w:val="000000"/>
          <w:szCs w:val="28"/>
        </w:rPr>
        <w:t>Законом Республики Татарстан от 17 июня 2015г. №40-ЗРТ</w:t>
        <w:br/>
        <w:t xml:space="preserve">была утверждена «Стратегия социально-экономического развития Республики Татарстан до 2030 года». Постановлением Кабинета Министров Республики Татарстан от 25 сентября 2015г. №707 был утвержден «План мероприятий по реализации Стратегии социально-экономического развития Республики Татарстан до 2030 года». </w:t>
      </w:r>
    </w:p>
    <w:p>
      <w:pPr>
        <w:pStyle w:val="Normal"/>
        <w:jc w:val="both"/>
        <w:rPr/>
      </w:pPr>
      <w:r>
        <w:rPr>
          <w:color w:val="000000"/>
        </w:rPr>
        <w:t>В рамках утвержденной Стратегии Верхнеуслонский муниципальный район, входящий в состав Казанской экономической зоны, является территорией реализации проекта «Управление отходами в Казанской экономической зоне».</w:t>
      </w:r>
    </w:p>
    <w:p>
      <w:pPr>
        <w:pStyle w:val="Normal"/>
        <w:tabs>
          <w:tab w:val="clear" w:pos="709"/>
          <w:tab w:val="left" w:pos="993" w:leader="none"/>
        </w:tabs>
        <w:ind w:left="700" w:hanging="0"/>
        <w:jc w:val="both"/>
        <w:rPr>
          <w:color w:val="FF0066"/>
          <w:szCs w:val="28"/>
        </w:rPr>
      </w:pPr>
      <w:r>
        <w:rPr>
          <w:color w:val="FF0066"/>
          <w:szCs w:val="28"/>
        </w:rPr>
      </w:r>
    </w:p>
    <w:p>
      <w:pPr>
        <w:pStyle w:val="2"/>
        <w:numPr>
          <w:ilvl w:val="1"/>
          <w:numId w:val="7"/>
        </w:numPr>
        <w:jc w:val="both"/>
        <w:rPr/>
      </w:pPr>
      <w:bookmarkStart w:id="285" w:name="__RefHeading___Toc156489430"/>
      <w:bookmarkEnd w:id="285"/>
      <w:r>
        <w:rPr>
          <w:color w:val="000000"/>
        </w:rPr>
        <w:t>Развитие промышленного производства</w:t>
      </w:r>
    </w:p>
    <w:p>
      <w:pPr>
        <w:pStyle w:val="Normal"/>
        <w:jc w:val="both"/>
        <w:rPr/>
      </w:pPr>
      <w:bookmarkStart w:id="286" w:name="_Hlk151559357"/>
      <w:bookmarkEnd w:id="286"/>
      <w:r>
        <w:rPr>
          <w:color w:val="000000"/>
        </w:rPr>
        <w:t>Мероприятий по развитию промышленного производства проектом внесения изменений в генеральный план Вахитовского сельского поселения на</w:t>
      </w:r>
      <w:r>
        <w:rPr>
          <w:color w:val="000000"/>
          <w:szCs w:val="28"/>
        </w:rPr>
        <w:t xml:space="preserve"> период до расчетного срока не предусматривается.</w:t>
      </w:r>
      <w:bookmarkStart w:id="287" w:name="_Hlk86868987"/>
    </w:p>
    <w:p>
      <w:pPr>
        <w:pStyle w:val="Normal"/>
        <w:jc w:val="both"/>
        <w:rPr>
          <w:color w:val="FF0066"/>
        </w:rPr>
      </w:pPr>
      <w:r>
        <w:rPr>
          <w:color w:val="FF0066"/>
        </w:rPr>
      </w:r>
      <w:bookmarkStart w:id="288" w:name="_Hlk151559357"/>
      <w:bookmarkStart w:id="289" w:name="_Hlk151559357"/>
      <w:bookmarkEnd w:id="289"/>
    </w:p>
    <w:p>
      <w:pPr>
        <w:pStyle w:val="2"/>
        <w:numPr>
          <w:ilvl w:val="1"/>
          <w:numId w:val="7"/>
        </w:numPr>
        <w:jc w:val="both"/>
        <w:rPr>
          <w:color w:val="000000"/>
        </w:rPr>
      </w:pPr>
      <w:bookmarkStart w:id="290" w:name="__RefHeading___Toc156489431"/>
      <w:bookmarkEnd w:id="290"/>
      <w:r>
        <w:rPr>
          <w:color w:val="000000"/>
        </w:rPr>
        <w:t>Развитие агропромышленного комплекса</w:t>
      </w:r>
    </w:p>
    <w:p>
      <w:pPr>
        <w:pStyle w:val="Normal"/>
        <w:jc w:val="both"/>
        <w:rPr/>
      </w:pPr>
      <w:bookmarkStart w:id="291" w:name="_Hlk151559509"/>
      <w:bookmarkEnd w:id="291"/>
      <w:r>
        <w:rPr>
          <w:color w:val="000000"/>
          <w:szCs w:val="28"/>
        </w:rPr>
        <w:t xml:space="preserve">Проектом внесения изменений в генеральный план </w:t>
      </w:r>
      <w:r>
        <w:rPr>
          <w:color w:val="000000"/>
        </w:rPr>
        <w:t xml:space="preserve">Вахитовского сельского поселения </w:t>
      </w:r>
      <w:r>
        <w:rPr>
          <w:color w:val="000000"/>
          <w:szCs w:val="28"/>
        </w:rPr>
        <w:t xml:space="preserve">на первую очередь предусмотрена рекультивация территории недействующей животноводческой фермы, расположенной </w:t>
      </w:r>
      <w:r>
        <w:rPr>
          <w:color w:val="000000"/>
        </w:rPr>
        <w:t>около д.им. Мулланура Вахитова, с последующей</w:t>
      </w:r>
      <w:r>
        <w:rPr>
          <w:color w:val="000000"/>
          <w:szCs w:val="28"/>
        </w:rPr>
        <w:t xml:space="preserve"> организацией площадки перспективного развития агропромышленного комплекса V класса опасности (2,5 га).</w:t>
      </w:r>
    </w:p>
    <w:p>
      <w:pPr>
        <w:pStyle w:val="Normal"/>
        <w:jc w:val="both"/>
        <w:rPr>
          <w:color w:val="FF0066"/>
          <w:szCs w:val="28"/>
        </w:rPr>
      </w:pPr>
      <w:r>
        <w:rPr>
          <w:color w:val="FF0066"/>
          <w:szCs w:val="28"/>
        </w:rPr>
      </w:r>
      <w:bookmarkStart w:id="292" w:name="_Hlk151559509"/>
      <w:bookmarkStart w:id="293" w:name="_Hlk151559509"/>
      <w:bookmarkEnd w:id="293"/>
    </w:p>
    <w:p>
      <w:pPr>
        <w:sectPr>
          <w:footerReference w:type="default" r:id="rId110"/>
          <w:footerReference w:type="first" r:id="rId111"/>
          <w:footnotePr>
            <w:numFmt w:val="decimal"/>
          </w:footnotePr>
          <w:type w:val="nextPage"/>
          <w:pgSz w:w="11906" w:h="16838"/>
          <w:pgMar w:left="1134" w:right="851" w:gutter="0" w:header="0" w:top="851" w:footer="708" w:bottom="851"/>
          <w:pgNumType w:fmt="decimal"/>
          <w:formProt w:val="false"/>
          <w:textDirection w:val="lrTb"/>
          <w:docGrid w:type="default" w:linePitch="360" w:charSpace="0"/>
        </w:sectPr>
        <w:pStyle w:val="Normal"/>
        <w:rPr>
          <w:color w:val="FF0066"/>
        </w:rPr>
      </w:pPr>
      <w:r>
        <w:rPr>
          <w:color w:val="FF0066"/>
        </w:rPr>
      </w:r>
    </w:p>
    <w:p>
      <w:pPr>
        <w:pStyle w:val="Normal"/>
        <w:jc w:val="right"/>
        <w:rPr>
          <w:color w:val="FF0066"/>
          <w:szCs w:val="28"/>
        </w:rPr>
      </w:pPr>
      <w:r>
        <w:rPr>
          <w:color w:val="FF0066"/>
          <w:szCs w:val="28"/>
        </w:rPr>
      </w:r>
      <w:bookmarkEnd w:id="287"/>
    </w:p>
    <w:p>
      <w:pPr>
        <w:pStyle w:val="Normal"/>
        <w:jc w:val="right"/>
        <w:rPr>
          <w:color w:val="000000"/>
          <w:szCs w:val="28"/>
        </w:rPr>
      </w:pPr>
      <w:r>
        <w:rPr>
          <w:color w:val="000000"/>
          <w:szCs w:val="28"/>
        </w:rPr>
        <w:t>Таблица 4.4.1</w:t>
      </w:r>
    </w:p>
    <w:p>
      <w:pPr>
        <w:pStyle w:val="Normal"/>
        <w:jc w:val="center"/>
        <w:rPr>
          <w:color w:val="000000"/>
          <w:szCs w:val="28"/>
        </w:rPr>
      </w:pPr>
      <w:r>
        <w:rPr>
          <w:color w:val="000000"/>
          <w:szCs w:val="28"/>
        </w:rPr>
        <w:tab/>
        <w:t xml:space="preserve">Перечень мероприятий по развитию агропромышленного комплекса на территории </w:t>
      </w:r>
    </w:p>
    <w:p>
      <w:pPr>
        <w:pStyle w:val="Normal"/>
        <w:jc w:val="center"/>
        <w:rPr/>
      </w:pPr>
      <w:r>
        <w:rPr>
          <w:color w:val="000000"/>
          <w:szCs w:val="28"/>
        </w:rPr>
        <w:t>Вахитовского</w:t>
      </w:r>
      <w:r>
        <w:rPr/>
        <w:t xml:space="preserve"> сельского поселения</w:t>
      </w:r>
    </w:p>
    <w:tbl>
      <w:tblPr>
        <w:tblW w:w="5000" w:type="pct"/>
        <w:jc w:val="center"/>
        <w:tblInd w:w="0" w:type="dxa"/>
        <w:tblLayout w:type="fixed"/>
        <w:tblCellMar>
          <w:top w:w="0" w:type="dxa"/>
          <w:left w:w="108" w:type="dxa"/>
          <w:bottom w:w="0" w:type="dxa"/>
          <w:right w:w="108" w:type="dxa"/>
        </w:tblCellMar>
      </w:tblPr>
      <w:tblGrid>
        <w:gridCol w:w="479"/>
        <w:gridCol w:w="1444"/>
        <w:gridCol w:w="2018"/>
        <w:gridCol w:w="2943"/>
        <w:gridCol w:w="1097"/>
        <w:gridCol w:w="1525"/>
        <w:gridCol w:w="1607"/>
        <w:gridCol w:w="876"/>
        <w:gridCol w:w="906"/>
        <w:gridCol w:w="1958"/>
      </w:tblGrid>
      <w:tr>
        <w:trPr>
          <w:tblHeader w:val="true"/>
          <w:trHeight w:val="362" w:hRule="atLeast"/>
          <w:cantSplit w:val="true"/>
        </w:trPr>
        <w:tc>
          <w:tcPr>
            <w:tcW w:w="479"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 xml:space="preserve">№ </w:t>
            </w:r>
            <w:r>
              <w:rPr>
                <w:color w:val="000000"/>
                <w:sz w:val="20"/>
                <w:szCs w:val="20"/>
              </w:rPr>
              <w:t>п/п</w:t>
            </w:r>
          </w:p>
        </w:tc>
        <w:tc>
          <w:tcPr>
            <w:tcW w:w="1444"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Наименование населенного пункта, входящего в состав поселения</w:t>
            </w:r>
          </w:p>
        </w:tc>
        <w:tc>
          <w:tcPr>
            <w:tcW w:w="2018"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pPr>
            <w:r>
              <w:rPr>
                <w:color w:val="000000"/>
                <w:sz w:val="20"/>
                <w:szCs w:val="20"/>
              </w:rPr>
              <w:t>Наименование объекта</w:t>
            </w:r>
          </w:p>
        </w:tc>
        <w:tc>
          <w:tcPr>
            <w:tcW w:w="2943"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Вид мероприятия</w:t>
            </w:r>
          </w:p>
        </w:tc>
        <w:tc>
          <w:tcPr>
            <w:tcW w:w="1097"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Единица измерения</w:t>
            </w:r>
          </w:p>
        </w:tc>
        <w:tc>
          <w:tcPr>
            <w:tcW w:w="3132" w:type="dxa"/>
            <w:gridSpan w:val="2"/>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Мощность</w:t>
            </w:r>
          </w:p>
        </w:tc>
        <w:tc>
          <w:tcPr>
            <w:tcW w:w="1782" w:type="dxa"/>
            <w:gridSpan w:val="2"/>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Сроки реализации</w:t>
            </w:r>
          </w:p>
        </w:tc>
        <w:tc>
          <w:tcPr>
            <w:tcW w:w="1958"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Источник мероприятия (наименование документа)</w:t>
            </w:r>
          </w:p>
        </w:tc>
      </w:tr>
      <w:tr>
        <w:trPr>
          <w:tblHeader w:val="true"/>
          <w:trHeight w:val="724" w:hRule="atLeast"/>
          <w:cantSplit w:val="true"/>
        </w:trPr>
        <w:tc>
          <w:tcPr>
            <w:tcW w:w="479"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1444"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2018"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2943"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1097"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1525" w:type="dxa"/>
            <w:tcBorders>
              <w:top w:val="single" w:sz="4" w:space="0" w:color="000000"/>
              <w:left w:val="single" w:sz="4" w:space="0" w:color="000000"/>
              <w:bottom w:val="single" w:sz="4" w:space="0" w:color="000000"/>
              <w:right w:val="single" w:sz="4" w:space="0" w:color="000000"/>
            </w:tcBorders>
            <w:vAlign w:val="center"/>
          </w:tcPr>
          <w:p>
            <w:pPr>
              <w:pStyle w:val="Style75"/>
              <w:rPr/>
            </w:pPr>
            <w:r>
              <w:rPr>
                <w:color w:val="000000"/>
                <w:sz w:val="20"/>
                <w:szCs w:val="20"/>
              </w:rPr>
              <w:t>Существующая</w:t>
            </w:r>
          </w:p>
        </w:tc>
        <w:tc>
          <w:tcPr>
            <w:tcW w:w="1607" w:type="dxa"/>
            <w:tcBorders>
              <w:top w:val="single" w:sz="4" w:space="0" w:color="000000"/>
              <w:left w:val="single" w:sz="4" w:space="0" w:color="000000"/>
              <w:bottom w:val="single" w:sz="4" w:space="0" w:color="000000"/>
              <w:right w:val="single" w:sz="4" w:space="0" w:color="000000"/>
            </w:tcBorders>
            <w:vAlign w:val="center"/>
          </w:tcPr>
          <w:p>
            <w:pPr>
              <w:pStyle w:val="Style75"/>
              <w:rPr/>
            </w:pPr>
            <w:r>
              <w:rPr>
                <w:color w:val="000000"/>
                <w:sz w:val="20"/>
                <w:szCs w:val="20"/>
              </w:rPr>
              <w:t>Дополнительная</w:t>
            </w:r>
          </w:p>
        </w:tc>
        <w:tc>
          <w:tcPr>
            <w:tcW w:w="876" w:type="dxa"/>
            <w:tcBorders>
              <w:top w:val="single" w:sz="4" w:space="0" w:color="000000"/>
              <w:left w:val="single" w:sz="4" w:space="0" w:color="000000"/>
              <w:bottom w:val="single" w:sz="4" w:space="0" w:color="000000"/>
              <w:right w:val="single" w:sz="4" w:space="0" w:color="000000"/>
            </w:tcBorders>
            <w:vAlign w:val="center"/>
          </w:tcPr>
          <w:p>
            <w:pPr>
              <w:pStyle w:val="Style75"/>
              <w:rPr/>
            </w:pPr>
            <w:r>
              <w:rPr>
                <w:color w:val="000000"/>
                <w:sz w:val="20"/>
                <w:szCs w:val="20"/>
              </w:rPr>
              <w:t>Первая очередь (до 2032 г.)</w:t>
            </w:r>
          </w:p>
        </w:tc>
        <w:tc>
          <w:tcPr>
            <w:tcW w:w="906" w:type="dxa"/>
            <w:tcBorders>
              <w:top w:val="single" w:sz="4" w:space="0" w:color="000000"/>
              <w:left w:val="single" w:sz="4" w:space="0" w:color="000000"/>
              <w:bottom w:val="single" w:sz="4" w:space="0" w:color="000000"/>
              <w:right w:val="single" w:sz="4" w:space="0" w:color="000000"/>
            </w:tcBorders>
            <w:vAlign w:val="center"/>
          </w:tcPr>
          <w:p>
            <w:pPr>
              <w:pStyle w:val="Style75"/>
              <w:rPr/>
            </w:pPr>
            <w:r>
              <w:rPr>
                <w:color w:val="000000"/>
                <w:sz w:val="20"/>
                <w:szCs w:val="20"/>
              </w:rPr>
              <w:t>Расчет-</w:t>
            </w:r>
          </w:p>
          <w:p>
            <w:pPr>
              <w:pStyle w:val="Style75"/>
              <w:rPr>
                <w:color w:val="000000"/>
                <w:sz w:val="20"/>
                <w:szCs w:val="20"/>
              </w:rPr>
            </w:pPr>
            <w:r>
              <w:rPr>
                <w:color w:val="000000"/>
                <w:sz w:val="20"/>
                <w:szCs w:val="20"/>
              </w:rPr>
              <w:t xml:space="preserve">ный срок </w:t>
            </w:r>
          </w:p>
          <w:p>
            <w:pPr>
              <w:pStyle w:val="Style75"/>
              <w:rPr/>
            </w:pPr>
            <w:r>
              <w:rPr>
                <w:color w:val="000000"/>
                <w:sz w:val="20"/>
                <w:szCs w:val="20"/>
              </w:rPr>
              <w:t>(2033-2047 гг.)</w:t>
            </w:r>
          </w:p>
        </w:tc>
        <w:tc>
          <w:tcPr>
            <w:tcW w:w="1958"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r>
      <w:tr>
        <w:trPr>
          <w:trHeight w:val="273" w:hRule="atLeast"/>
          <w:cantSplit w:val="true"/>
        </w:trPr>
        <w:tc>
          <w:tcPr>
            <w:tcW w:w="14853" w:type="dxa"/>
            <w:gridSpan w:val="10"/>
            <w:tcBorders>
              <w:top w:val="single" w:sz="4" w:space="0" w:color="000000"/>
              <w:left w:val="single" w:sz="4" w:space="0" w:color="000000"/>
              <w:bottom w:val="single" w:sz="4" w:space="0" w:color="000000"/>
              <w:right w:val="single" w:sz="4" w:space="0" w:color="000000"/>
            </w:tcBorders>
            <w:vAlign w:val="center"/>
          </w:tcPr>
          <w:p>
            <w:pPr>
              <w:pStyle w:val="Style75"/>
              <w:rPr>
                <w:caps/>
                <w:color w:val="000000"/>
                <w:sz w:val="20"/>
                <w:szCs w:val="20"/>
              </w:rPr>
            </w:pPr>
            <w:r>
              <w:rPr>
                <w:caps/>
                <w:color w:val="000000"/>
                <w:sz w:val="20"/>
                <w:szCs w:val="20"/>
              </w:rPr>
              <w:t>МЕРОПРИЯТИЯ МЕСТНОГО значения (ПОСЕЛЕНИЯ)</w:t>
            </w:r>
          </w:p>
        </w:tc>
      </w:tr>
      <w:tr>
        <w:trPr>
          <w:trHeight w:val="955" w:hRule="atLeast"/>
          <w:cantSplit w:val="true"/>
        </w:trPr>
        <w:tc>
          <w:tcPr>
            <w:tcW w:w="479"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lang w:val="en-US"/>
              </w:rPr>
            </w:pPr>
            <w:r>
              <w:rPr>
                <w:color w:val="000000"/>
                <w:sz w:val="20"/>
                <w:szCs w:val="20"/>
                <w:lang w:val="en-US"/>
              </w:rPr>
              <w:t>1</w:t>
            </w:r>
          </w:p>
        </w:tc>
        <w:tc>
          <w:tcPr>
            <w:tcW w:w="144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К северу и востоку от д.им. Мулланура Вахитова</w:t>
            </w:r>
          </w:p>
        </w:tc>
        <w:tc>
          <w:tcPr>
            <w:tcW w:w="2018"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Недействующая животноводческая ферма</w:t>
            </w:r>
          </w:p>
        </w:tc>
        <w:tc>
          <w:tcPr>
            <w:tcW w:w="2943" w:type="dxa"/>
            <w:tcBorders>
              <w:top w:val="single" w:sz="4" w:space="0" w:color="000000"/>
              <w:left w:val="single" w:sz="4" w:space="0" w:color="000000"/>
              <w:bottom w:val="single" w:sz="4" w:space="0" w:color="000000"/>
              <w:right w:val="single" w:sz="4" w:space="0" w:color="000000"/>
            </w:tcBorders>
            <w:vAlign w:val="center"/>
          </w:tcPr>
          <w:p>
            <w:pPr>
              <w:pStyle w:val="Style75"/>
              <w:rPr/>
            </w:pPr>
            <w:r>
              <w:rPr>
                <w:color w:val="000000"/>
                <w:sz w:val="20"/>
                <w:szCs w:val="20"/>
              </w:rPr>
              <w:t>Рекультивация территории с последующей организацией площадки перспективного развития агропромышленного комплекса V класса опасности</w:t>
            </w:r>
          </w:p>
        </w:tc>
        <w:tc>
          <w:tcPr>
            <w:tcW w:w="1097"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га</w:t>
            </w:r>
          </w:p>
        </w:tc>
        <w:tc>
          <w:tcPr>
            <w:tcW w:w="1525"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2,5</w:t>
            </w:r>
          </w:p>
        </w:tc>
        <w:tc>
          <w:tcPr>
            <w:tcW w:w="1607"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876"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906"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958" w:type="dxa"/>
            <w:tcBorders>
              <w:top w:val="single" w:sz="4" w:space="0" w:color="000000"/>
              <w:left w:val="single" w:sz="4" w:space="0" w:color="000000"/>
              <w:bottom w:val="single" w:sz="4" w:space="0" w:color="000000"/>
              <w:right w:val="single" w:sz="4" w:space="0" w:color="000000"/>
            </w:tcBorders>
            <w:vAlign w:val="center"/>
          </w:tcPr>
          <w:p>
            <w:pPr>
              <w:pStyle w:val="Style75"/>
              <w:rPr/>
            </w:pPr>
            <w:r>
              <w:rPr>
                <w:color w:val="000000"/>
                <w:sz w:val="20"/>
                <w:szCs w:val="20"/>
              </w:rPr>
              <w:t>Проект внесения изменений в генеральный план Вахитовского СП</w:t>
            </w:r>
          </w:p>
        </w:tc>
      </w:tr>
    </w:tbl>
    <w:p>
      <w:pPr>
        <w:sectPr>
          <w:footerReference w:type="default" r:id="rId112"/>
          <w:footerReference w:type="first" r:id="rId113"/>
          <w:footnotePr>
            <w:numFmt w:val="decimal"/>
          </w:footnotePr>
          <w:type w:val="nextPage"/>
          <w:pgSz w:orient="landscape" w:w="16838" w:h="11906"/>
          <w:pgMar w:left="1134" w:right="851" w:gutter="0" w:header="0" w:top="851" w:footer="709" w:bottom="851"/>
          <w:pgNumType w:fmt="decimal"/>
          <w:formProt w:val="false"/>
          <w:textDirection w:val="lrTb"/>
          <w:docGrid w:type="default" w:linePitch="360" w:charSpace="0"/>
        </w:sectPr>
      </w:pPr>
    </w:p>
    <w:p>
      <w:pPr>
        <w:pStyle w:val="2"/>
        <w:numPr>
          <w:ilvl w:val="1"/>
          <w:numId w:val="7"/>
        </w:numPr>
        <w:jc w:val="both"/>
        <w:rPr>
          <w:color w:val="000000"/>
        </w:rPr>
      </w:pPr>
      <w:bookmarkStart w:id="294" w:name="__RefHeading___Toc156489432"/>
      <w:bookmarkEnd w:id="294"/>
      <w:r>
        <w:rPr>
          <w:color w:val="000000"/>
        </w:rPr>
        <w:t>Развитие лесного комплекса</w:t>
      </w:r>
    </w:p>
    <w:p>
      <w:pPr>
        <w:pStyle w:val="Normal"/>
        <w:ind w:firstLine="720"/>
        <w:jc w:val="both"/>
        <w:rPr/>
      </w:pPr>
      <w:bookmarkStart w:id="295" w:name="_Hlk151559623"/>
      <w:bookmarkEnd w:id="295"/>
      <w:r>
        <w:rPr>
          <w:color w:val="000000"/>
          <w:szCs w:val="28"/>
        </w:rPr>
        <w:t>Мероприятий по развитию лесного и лесопромышленного комплекса генеральным планом Вахитовского сельского поселения, Схемой территориального планирования Верхнеуслонского муниципального района и иными программами, и документами на период до расчетного срока не предусматривается.</w:t>
      </w:r>
    </w:p>
    <w:p>
      <w:pPr>
        <w:pStyle w:val="Normal"/>
        <w:ind w:firstLine="720"/>
        <w:jc w:val="both"/>
        <w:rPr>
          <w:color w:val="FF0066"/>
          <w:szCs w:val="28"/>
        </w:rPr>
      </w:pPr>
      <w:r>
        <w:rPr>
          <w:color w:val="FF0066"/>
          <w:szCs w:val="28"/>
        </w:rPr>
      </w:r>
      <w:bookmarkStart w:id="296" w:name="_Hlk151559623"/>
      <w:bookmarkStart w:id="297" w:name="_Hlk151559623"/>
      <w:bookmarkEnd w:id="297"/>
    </w:p>
    <w:p>
      <w:pPr>
        <w:pStyle w:val="2"/>
        <w:numPr>
          <w:ilvl w:val="1"/>
          <w:numId w:val="7"/>
        </w:numPr>
        <w:jc w:val="both"/>
        <w:rPr>
          <w:color w:val="000000"/>
        </w:rPr>
      </w:pPr>
      <w:bookmarkStart w:id="298" w:name="__RefHeading___Toc156489433"/>
      <w:bookmarkEnd w:id="298"/>
      <w:r>
        <w:rPr>
          <w:color w:val="000000"/>
        </w:rPr>
        <w:t>Развитие жилищной инфраструктуры</w:t>
      </w:r>
    </w:p>
    <w:p>
      <w:pPr>
        <w:pStyle w:val="Normal"/>
        <w:ind w:firstLine="720"/>
        <w:jc w:val="both"/>
        <w:rPr/>
      </w:pPr>
      <w:r>
        <w:rPr>
          <w:color w:val="000000"/>
          <w:szCs w:val="28"/>
        </w:rPr>
        <w:t>Разработка предложений по организации жилых зон, реконструкции существующего жилищного фонда и размещению площадок нового жилищного строительства - одна из приоритетных задач генерального плана. Проектные предложения опираются на результаты градостроительного анализа: техническое состояние и строительные характеристики жилищного фонда, динамику и структуру жилищного строительства, экологическое состояние территории.</w:t>
      </w:r>
    </w:p>
    <w:p>
      <w:pPr>
        <w:pStyle w:val="Normal"/>
        <w:ind w:firstLine="720"/>
        <w:jc w:val="both"/>
        <w:rPr>
          <w:color w:val="000000"/>
          <w:szCs w:val="28"/>
        </w:rPr>
      </w:pPr>
      <w:r>
        <w:rPr>
          <w:color w:val="000000"/>
          <w:szCs w:val="28"/>
        </w:rPr>
        <w:t>Расчет объемов нового жилищного строительства для постоянного населения выполнен на основании прогнозной численности населения и прогнозной жилищной обеспеченности (количества квадратных метров площади жилья на человека).</w:t>
      </w:r>
    </w:p>
    <w:p>
      <w:pPr>
        <w:pStyle w:val="Normal"/>
        <w:ind w:firstLine="720"/>
        <w:jc w:val="both"/>
        <w:rPr/>
      </w:pPr>
      <w:r>
        <w:rPr>
          <w:color w:val="000000"/>
          <w:szCs w:val="28"/>
        </w:rPr>
        <w:t>Для расчетов в генеральном плане показатель средней площади одного индивидуального дома принимался равным 120 кв.м, площадь одного участка – 0,10 га.</w:t>
      </w:r>
    </w:p>
    <w:p>
      <w:pPr>
        <w:pStyle w:val="Normal"/>
        <w:tabs>
          <w:tab w:val="clear" w:pos="709"/>
          <w:tab w:val="left" w:pos="0" w:leader="none"/>
        </w:tabs>
        <w:ind w:firstLine="700"/>
        <w:jc w:val="both"/>
        <w:rPr/>
      </w:pPr>
      <w:bookmarkStart w:id="299" w:name="_Hlk151559956"/>
      <w:bookmarkEnd w:id="299"/>
      <w:r>
        <w:rPr>
          <w:color w:val="000000"/>
          <w:szCs w:val="28"/>
        </w:rPr>
        <w:t>Проектом внесения изменений в генеральный план в Вахитовском сельском поселении предусмотрено 30,42 га территории под новое жилищное строительство (за вычетом площадей объектов социальной инфраструктуры, улиц и проездов, озеленения общего пользования) для постоянного населения, из них:</w:t>
      </w:r>
    </w:p>
    <w:p>
      <w:pPr>
        <w:pStyle w:val="Normal"/>
        <w:numPr>
          <w:ilvl w:val="0"/>
          <w:numId w:val="9"/>
        </w:numPr>
        <w:tabs>
          <w:tab w:val="clear" w:pos="709"/>
          <w:tab w:val="left" w:pos="0" w:leader="none"/>
          <w:tab w:val="left" w:pos="1021" w:leader="none"/>
        </w:tabs>
        <w:ind w:left="0" w:firstLine="709"/>
        <w:jc w:val="both"/>
        <w:rPr/>
      </w:pPr>
      <w:r>
        <w:rPr>
          <w:color w:val="000000"/>
          <w:szCs w:val="28"/>
        </w:rPr>
        <w:t>д</w:t>
      </w:r>
      <w:r>
        <w:rPr>
          <w:color w:val="000000"/>
          <w:szCs w:val="28"/>
          <w:lang w:val="ru-RU"/>
        </w:rPr>
        <w:t>.</w:t>
      </w:r>
      <w:r>
        <w:rPr>
          <w:color w:val="000000"/>
          <w:szCs w:val="28"/>
        </w:rPr>
        <w:t xml:space="preserve">им. Мулланура Вахитова – 2,85 га </w:t>
      </w:r>
      <w:r>
        <w:rPr>
          <w:color w:val="000000"/>
          <w:szCs w:val="28"/>
          <w:lang w:val="ru-RU"/>
        </w:rPr>
        <w:t>(внутри современной границы населенного пункта) под индивидуальное жилищное строительство;</w:t>
      </w:r>
    </w:p>
    <w:p>
      <w:pPr>
        <w:pStyle w:val="Normal"/>
        <w:numPr>
          <w:ilvl w:val="0"/>
          <w:numId w:val="10"/>
        </w:numPr>
        <w:tabs>
          <w:tab w:val="clear" w:pos="709"/>
          <w:tab w:val="left" w:pos="0" w:leader="none"/>
          <w:tab w:val="left" w:pos="1021" w:leader="none"/>
        </w:tabs>
        <w:ind w:left="0" w:firstLine="709"/>
        <w:jc w:val="both"/>
        <w:rPr/>
      </w:pPr>
      <w:r>
        <w:rPr>
          <w:color w:val="000000"/>
          <w:szCs w:val="28"/>
          <w:lang w:val="ru-RU"/>
        </w:rPr>
        <w:t xml:space="preserve">в </w:t>
      </w:r>
      <w:r>
        <w:rPr>
          <w:color w:val="000000"/>
          <w:szCs w:val="28"/>
        </w:rPr>
        <w:t>п</w:t>
      </w:r>
      <w:r>
        <w:rPr>
          <w:color w:val="000000"/>
          <w:szCs w:val="28"/>
          <w:lang w:val="ru-RU"/>
        </w:rPr>
        <w:t>.</w:t>
      </w:r>
      <w:r>
        <w:rPr>
          <w:color w:val="000000"/>
          <w:szCs w:val="28"/>
        </w:rPr>
        <w:t>Бакча-Сарай</w:t>
      </w:r>
      <w:r>
        <w:rPr>
          <w:color w:val="000000"/>
          <w:szCs w:val="28"/>
          <w:lang w:val="ru-RU"/>
        </w:rPr>
        <w:t xml:space="preserve"> –</w:t>
      </w:r>
      <w:r>
        <w:rPr>
          <w:color w:val="000000"/>
          <w:szCs w:val="28"/>
        </w:rPr>
        <w:t xml:space="preserve"> 8,18 </w:t>
      </w:r>
      <w:r>
        <w:rPr>
          <w:color w:val="000000"/>
          <w:szCs w:val="28"/>
          <w:lang w:val="ru-RU"/>
        </w:rPr>
        <w:t>га (внутри современной границы населенного пункта) под индивидуальное жилищное строительство</w:t>
      </w:r>
      <w:r>
        <w:rPr>
          <w:color w:val="000000"/>
          <w:szCs w:val="28"/>
        </w:rPr>
        <w:t>;</w:t>
      </w:r>
    </w:p>
    <w:p>
      <w:pPr>
        <w:pStyle w:val="Normal"/>
        <w:numPr>
          <w:ilvl w:val="0"/>
          <w:numId w:val="9"/>
        </w:numPr>
        <w:tabs>
          <w:tab w:val="clear" w:pos="709"/>
          <w:tab w:val="left" w:pos="0" w:leader="none"/>
          <w:tab w:val="left" w:pos="1021" w:leader="none"/>
        </w:tabs>
        <w:ind w:left="0" w:firstLine="709"/>
        <w:jc w:val="both"/>
        <w:rPr/>
      </w:pPr>
      <w:r>
        <w:rPr>
          <w:color w:val="000000"/>
          <w:szCs w:val="28"/>
          <w:lang w:val="ru-RU"/>
        </w:rPr>
        <w:t>в</w:t>
      </w:r>
      <w:r>
        <w:rPr>
          <w:color w:val="000000"/>
          <w:szCs w:val="28"/>
        </w:rPr>
        <w:t xml:space="preserve"> с.Ташевка </w:t>
      </w:r>
      <w:r>
        <w:rPr>
          <w:color w:val="000000"/>
          <w:szCs w:val="28"/>
          <w:lang w:val="ru-RU"/>
        </w:rPr>
        <w:t>–</w:t>
      </w:r>
      <w:r>
        <w:rPr>
          <w:color w:val="000000"/>
          <w:szCs w:val="28"/>
        </w:rPr>
        <w:t xml:space="preserve"> 8,42 </w:t>
      </w:r>
      <w:r>
        <w:rPr>
          <w:color w:val="000000"/>
          <w:szCs w:val="28"/>
          <w:lang w:val="ru-RU"/>
        </w:rPr>
        <w:t>га (внутри современной границы населенного пункта) под индивидуальное жилищное строительство</w:t>
      </w:r>
      <w:r>
        <w:rPr>
          <w:color w:val="000000"/>
        </w:rPr>
        <w:t xml:space="preserve">; </w:t>
      </w:r>
    </w:p>
    <w:p>
      <w:pPr>
        <w:pStyle w:val="Normal"/>
        <w:numPr>
          <w:ilvl w:val="0"/>
          <w:numId w:val="9"/>
        </w:numPr>
        <w:tabs>
          <w:tab w:val="clear" w:pos="709"/>
          <w:tab w:val="left" w:pos="0" w:leader="none"/>
          <w:tab w:val="left" w:pos="1021" w:leader="none"/>
        </w:tabs>
        <w:ind w:left="0" w:firstLine="709"/>
        <w:jc w:val="both"/>
        <w:rPr/>
      </w:pPr>
      <w:r>
        <w:rPr>
          <w:color w:val="000000"/>
          <w:szCs w:val="28"/>
        </w:rPr>
        <w:t xml:space="preserve">в д.Ватан – 2,18 </w:t>
      </w:r>
      <w:r>
        <w:rPr>
          <w:color w:val="000000"/>
          <w:szCs w:val="28"/>
          <w:lang w:val="ru-RU"/>
        </w:rPr>
        <w:t>(внутри современной границы населенного пункта) под индивидуальное жилищное строительство</w:t>
      </w:r>
      <w:r>
        <w:rPr>
          <w:color w:val="000000"/>
        </w:rPr>
        <w:t>;</w:t>
      </w:r>
    </w:p>
    <w:p>
      <w:pPr>
        <w:pStyle w:val="Normal"/>
        <w:numPr>
          <w:ilvl w:val="0"/>
          <w:numId w:val="9"/>
        </w:numPr>
        <w:tabs>
          <w:tab w:val="clear" w:pos="709"/>
          <w:tab w:val="left" w:pos="0" w:leader="none"/>
          <w:tab w:val="left" w:pos="1021" w:leader="none"/>
        </w:tabs>
        <w:ind w:left="0" w:firstLine="709"/>
        <w:jc w:val="both"/>
        <w:rPr/>
      </w:pPr>
      <w:r>
        <w:rPr>
          <w:color w:val="000000"/>
          <w:szCs w:val="28"/>
        </w:rPr>
        <w:t xml:space="preserve">в д.Гребени – 8,79 </w:t>
      </w:r>
      <w:r>
        <w:rPr>
          <w:color w:val="000000"/>
          <w:szCs w:val="28"/>
          <w:lang w:val="ru-RU"/>
        </w:rPr>
        <w:t>(внутри современной границы населенного пункта) под индивидуальное жилищное строительство</w:t>
      </w:r>
      <w:r>
        <w:rPr>
          <w:color w:val="000000"/>
          <w:lang w:val="ru-RU"/>
        </w:rPr>
        <w:t>.</w:t>
      </w:r>
    </w:p>
    <w:p>
      <w:pPr>
        <w:pStyle w:val="Normal"/>
        <w:tabs>
          <w:tab w:val="clear" w:pos="709"/>
          <w:tab w:val="left" w:pos="1021" w:leader="none"/>
        </w:tabs>
        <w:ind w:firstLine="851"/>
        <w:jc w:val="both"/>
        <w:rPr>
          <w:color w:val="000000"/>
          <w:lang w:val="ru-RU"/>
        </w:rPr>
      </w:pPr>
      <w:r>
        <w:rPr>
          <w:color w:val="000000"/>
          <w:lang w:val="ru-RU"/>
        </w:rPr>
        <w:t xml:space="preserve">Новое жилищное строительство и замена ветхого жилья будет осуществляться силами застройщиков, в т.ч. с использованием различных схем финансирования (средства застройщиков, ипотека, в т.ч. социальная ипотека, субсидии льготным категориям застройщиков, программы по закреплению на селе молодых специалистов и т.д.). </w:t>
      </w:r>
    </w:p>
    <w:p>
      <w:pPr>
        <w:pStyle w:val="Normal"/>
        <w:jc w:val="both"/>
        <w:rPr>
          <w:color w:val="FF0066"/>
          <w:szCs w:val="28"/>
          <w:lang w:val="ru-RU"/>
        </w:rPr>
      </w:pPr>
      <w:r>
        <w:rPr>
          <w:color w:val="FF0066"/>
          <w:szCs w:val="28"/>
          <w:lang w:val="ru-RU"/>
        </w:rPr>
      </w:r>
      <w:bookmarkStart w:id="300" w:name="_Hlk151559956"/>
      <w:bookmarkStart w:id="301" w:name="_Hlk151559956"/>
      <w:bookmarkEnd w:id="301"/>
    </w:p>
    <w:p>
      <w:pPr>
        <w:sectPr>
          <w:footerReference w:type="default" r:id="rId114"/>
          <w:footerReference w:type="first" r:id="rId115"/>
          <w:footnotePr>
            <w:numFmt w:val="decimal"/>
          </w:footnotePr>
          <w:type w:val="nextPage"/>
          <w:pgSz w:w="11906" w:h="16838"/>
          <w:pgMar w:left="1134" w:right="851" w:gutter="0" w:header="0" w:top="851" w:footer="708" w:bottom="851"/>
          <w:pgNumType w:fmt="decimal"/>
          <w:formProt w:val="false"/>
          <w:textDirection w:val="lrTb"/>
          <w:docGrid w:type="default" w:linePitch="360" w:charSpace="0"/>
        </w:sectPr>
        <w:pStyle w:val="Normal"/>
        <w:rPr>
          <w:color w:val="FF0066"/>
          <w:lang w:val="ru-RU"/>
        </w:rPr>
      </w:pPr>
      <w:r>
        <w:rPr>
          <w:color w:val="FF0066"/>
          <w:lang w:val="ru-RU"/>
        </w:rPr>
      </w:r>
    </w:p>
    <w:p>
      <w:pPr>
        <w:pStyle w:val="116"/>
        <w:rPr/>
      </w:pPr>
      <w:r>
        <w:rPr/>
        <w:t>Таблица 4.6.1</w:t>
      </w:r>
    </w:p>
    <w:p>
      <w:pPr>
        <w:pStyle w:val="Style30"/>
        <w:spacing w:lineRule="auto" w:line="276" w:before="0" w:after="0"/>
        <w:ind w:firstLine="700"/>
        <w:jc w:val="center"/>
        <w:rPr/>
      </w:pPr>
      <w:r>
        <w:rPr>
          <w:color w:val="000000"/>
          <w:szCs w:val="28"/>
          <w:lang w:val="ru-RU"/>
        </w:rPr>
        <w:t>Прогнозный объем развития жилищной инфраструктуры на территории</w:t>
      </w:r>
      <w:r>
        <w:rPr>
          <w:color w:val="000000"/>
          <w:szCs w:val="28"/>
        </w:rPr>
        <w:t xml:space="preserve"> </w:t>
      </w:r>
      <w:r>
        <w:rPr>
          <w:color w:val="000000"/>
          <w:szCs w:val="28"/>
          <w:lang w:val="ru-RU"/>
        </w:rPr>
        <w:t>Вахитовского</w:t>
      </w:r>
      <w:r>
        <w:rPr/>
        <w:t xml:space="preserve"> сельского поселения</w:t>
      </w:r>
    </w:p>
    <w:tbl>
      <w:tblPr>
        <w:tblW w:w="5000" w:type="pct"/>
        <w:jc w:val="center"/>
        <w:tblInd w:w="0" w:type="dxa"/>
        <w:tblLayout w:type="fixed"/>
        <w:tblCellMar>
          <w:top w:w="0" w:type="dxa"/>
          <w:left w:w="108" w:type="dxa"/>
          <w:bottom w:w="0" w:type="dxa"/>
          <w:right w:w="108" w:type="dxa"/>
        </w:tblCellMar>
      </w:tblPr>
      <w:tblGrid>
        <w:gridCol w:w="3265"/>
        <w:gridCol w:w="2254"/>
        <w:gridCol w:w="2394"/>
        <w:gridCol w:w="2237"/>
        <w:gridCol w:w="2285"/>
        <w:gridCol w:w="2418"/>
      </w:tblGrid>
      <w:tr>
        <w:trPr>
          <w:trHeight w:val="570" w:hRule="atLeast"/>
        </w:trPr>
        <w:tc>
          <w:tcPr>
            <w:tcW w:w="326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color w:val="000000"/>
                <w:sz w:val="20"/>
                <w:szCs w:val="20"/>
              </w:rPr>
            </w:pPr>
            <w:bookmarkStart w:id="302" w:name="_Hlk152247225"/>
            <w:bookmarkEnd w:id="302"/>
            <w:r>
              <w:rPr>
                <w:bCs/>
                <w:color w:val="000000"/>
                <w:sz w:val="20"/>
                <w:szCs w:val="20"/>
              </w:rPr>
              <w:t>Вид  застройки</w:t>
            </w:r>
          </w:p>
        </w:tc>
        <w:tc>
          <w:tcPr>
            <w:tcW w:w="225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color w:val="000000"/>
                <w:sz w:val="20"/>
                <w:szCs w:val="20"/>
              </w:rPr>
            </w:pPr>
            <w:r>
              <w:rPr>
                <w:bCs/>
                <w:color w:val="000000"/>
                <w:sz w:val="20"/>
                <w:szCs w:val="20"/>
              </w:rPr>
              <w:t>Существующее положение</w:t>
            </w:r>
          </w:p>
        </w:tc>
        <w:tc>
          <w:tcPr>
            <w:tcW w:w="4631"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bCs/>
                <w:color w:val="000000"/>
                <w:sz w:val="20"/>
                <w:szCs w:val="20"/>
              </w:rPr>
              <w:t xml:space="preserve">   </w:t>
            </w:r>
            <w:r>
              <w:rPr>
                <w:bCs/>
                <w:color w:val="000000"/>
                <w:sz w:val="20"/>
                <w:szCs w:val="20"/>
              </w:rPr>
              <w:t>Первая очередь (до 2032 г.)</w:t>
            </w:r>
          </w:p>
        </w:tc>
        <w:tc>
          <w:tcPr>
            <w:tcW w:w="4703"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bCs/>
                <w:color w:val="000000"/>
                <w:sz w:val="20"/>
                <w:szCs w:val="20"/>
              </w:rPr>
              <w:t xml:space="preserve">   </w:t>
            </w:r>
            <w:r>
              <w:rPr>
                <w:bCs/>
                <w:color w:val="000000"/>
                <w:sz w:val="20"/>
                <w:szCs w:val="20"/>
              </w:rPr>
              <w:t>Расчетный срок (2033 – 2047 гг.)</w:t>
            </w:r>
          </w:p>
        </w:tc>
      </w:tr>
      <w:tr>
        <w:trPr>
          <w:trHeight w:val="199" w:hRule="atLeast"/>
        </w:trPr>
        <w:tc>
          <w:tcPr>
            <w:tcW w:w="32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rPr>
                <w:b/>
                <w:bCs/>
                <w:color w:val="000000"/>
                <w:sz w:val="20"/>
                <w:szCs w:val="20"/>
              </w:rPr>
            </w:pPr>
            <w:r>
              <w:rPr>
                <w:b/>
                <w:bCs/>
                <w:color w:val="000000"/>
                <w:sz w:val="20"/>
                <w:szCs w:val="20"/>
              </w:rPr>
            </w:r>
          </w:p>
        </w:tc>
        <w:tc>
          <w:tcPr>
            <w:tcW w:w="225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color w:val="000000"/>
                <w:sz w:val="20"/>
                <w:szCs w:val="20"/>
              </w:rPr>
            </w:pPr>
            <w:r>
              <w:rPr>
                <w:bCs/>
                <w:color w:val="000000"/>
                <w:sz w:val="20"/>
                <w:szCs w:val="20"/>
              </w:rPr>
              <w:t>Общая площадь жилья, тыс.кв.м</w:t>
            </w:r>
          </w:p>
        </w:tc>
        <w:tc>
          <w:tcPr>
            <w:tcW w:w="239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color w:val="000000"/>
                <w:sz w:val="20"/>
                <w:szCs w:val="20"/>
              </w:rPr>
            </w:pPr>
            <w:r>
              <w:rPr>
                <w:bCs/>
                <w:color w:val="000000"/>
                <w:sz w:val="20"/>
                <w:szCs w:val="20"/>
              </w:rPr>
              <w:t>Общая площадь жилья, тыс.кв.м</w:t>
            </w:r>
          </w:p>
        </w:tc>
        <w:tc>
          <w:tcPr>
            <w:tcW w:w="223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bCs/>
                <w:color w:val="000000"/>
                <w:sz w:val="20"/>
                <w:szCs w:val="20"/>
              </w:rPr>
              <w:t>Новое жилищное строительство за период, тыс.кв.м</w:t>
            </w:r>
          </w:p>
        </w:tc>
        <w:tc>
          <w:tcPr>
            <w:tcW w:w="228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color w:val="000000"/>
                <w:sz w:val="20"/>
                <w:szCs w:val="20"/>
              </w:rPr>
            </w:pPr>
            <w:r>
              <w:rPr>
                <w:bCs/>
                <w:color w:val="000000"/>
                <w:sz w:val="20"/>
                <w:szCs w:val="20"/>
              </w:rPr>
              <w:t>Общая площадь жилья, тыс.кв.м</w:t>
            </w:r>
          </w:p>
        </w:tc>
        <w:tc>
          <w:tcPr>
            <w:tcW w:w="241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bCs/>
                <w:color w:val="000000"/>
                <w:sz w:val="20"/>
                <w:szCs w:val="20"/>
              </w:rPr>
              <w:t>Новое жилищное строительство за период, тыс.кв.м</w:t>
            </w:r>
          </w:p>
        </w:tc>
      </w:tr>
      <w:tr>
        <w:trPr>
          <w:trHeight w:val="70" w:hRule="atLeast"/>
        </w:trPr>
        <w:tc>
          <w:tcPr>
            <w:tcW w:w="14853" w:type="dxa"/>
            <w:gridSpan w:val="6"/>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д.им. Мулланура Вахитова</w:t>
            </w:r>
          </w:p>
        </w:tc>
      </w:tr>
      <w:tr>
        <w:trPr>
          <w:trHeight w:val="68" w:hRule="atLeast"/>
        </w:trPr>
        <w:tc>
          <w:tcPr>
            <w:tcW w:w="3265" w:type="dxa"/>
            <w:tcBorders>
              <w:top w:val="single" w:sz="4" w:space="0" w:color="000000"/>
              <w:left w:val="single" w:sz="4" w:space="0" w:color="000000"/>
              <w:bottom w:val="single" w:sz="4" w:space="0" w:color="000000"/>
              <w:right w:val="single" w:sz="4" w:space="0" w:color="000000"/>
            </w:tcBorders>
            <w:vAlign w:val="bottom"/>
          </w:tcPr>
          <w:p>
            <w:pPr>
              <w:pStyle w:val="Normal"/>
              <w:ind w:hanging="0"/>
              <w:jc w:val="left"/>
              <w:rPr>
                <w:bCs/>
                <w:color w:val="000000"/>
                <w:sz w:val="20"/>
                <w:szCs w:val="20"/>
              </w:rPr>
            </w:pPr>
            <w:r>
              <w:rPr>
                <w:bCs/>
                <w:color w:val="000000"/>
                <w:sz w:val="20"/>
                <w:szCs w:val="20"/>
              </w:rPr>
              <w:t>- для постоянного населения</w:t>
            </w:r>
          </w:p>
        </w:tc>
        <w:tc>
          <w:tcPr>
            <w:tcW w:w="2254" w:type="dxa"/>
            <w:tcBorders>
              <w:top w:val="single" w:sz="4" w:space="0" w:color="000000"/>
              <w:left w:val="single" w:sz="4" w:space="0" w:color="000000"/>
              <w:bottom w:val="single" w:sz="4" w:space="0" w:color="000000"/>
              <w:right w:val="single" w:sz="4" w:space="0" w:color="000000"/>
            </w:tcBorders>
            <w:vAlign w:val="center"/>
          </w:tcPr>
          <w:p>
            <w:pPr>
              <w:pStyle w:val="Normal"/>
              <w:ind w:hanging="2"/>
              <w:jc w:val="center"/>
              <w:rPr>
                <w:color w:val="000000"/>
                <w:sz w:val="20"/>
                <w:szCs w:val="20"/>
              </w:rPr>
            </w:pPr>
            <w:r>
              <w:rPr>
                <w:color w:val="000000"/>
                <w:sz w:val="20"/>
                <w:szCs w:val="20"/>
              </w:rPr>
              <w:t>9,1</w:t>
            </w:r>
          </w:p>
        </w:tc>
        <w:tc>
          <w:tcPr>
            <w:tcW w:w="2394" w:type="dxa"/>
            <w:tcBorders>
              <w:top w:val="single" w:sz="4" w:space="0" w:color="000000"/>
              <w:left w:val="single" w:sz="4" w:space="0" w:color="000000"/>
              <w:bottom w:val="single" w:sz="4" w:space="0" w:color="000000"/>
              <w:right w:val="single" w:sz="4" w:space="0" w:color="000000"/>
            </w:tcBorders>
            <w:vAlign w:val="center"/>
          </w:tcPr>
          <w:p>
            <w:pPr>
              <w:pStyle w:val="Normal"/>
              <w:ind w:hanging="2"/>
              <w:jc w:val="center"/>
              <w:rPr>
                <w:color w:val="000000"/>
                <w:sz w:val="20"/>
                <w:szCs w:val="20"/>
              </w:rPr>
            </w:pPr>
            <w:r>
              <w:rPr>
                <w:color w:val="000000"/>
                <w:sz w:val="20"/>
                <w:szCs w:val="20"/>
              </w:rPr>
              <w:t>10,9</w:t>
            </w:r>
          </w:p>
        </w:tc>
        <w:tc>
          <w:tcPr>
            <w:tcW w:w="223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1,8</w:t>
            </w:r>
          </w:p>
        </w:tc>
        <w:tc>
          <w:tcPr>
            <w:tcW w:w="2285" w:type="dxa"/>
            <w:tcBorders>
              <w:top w:val="single" w:sz="4" w:space="0" w:color="000000"/>
              <w:left w:val="single" w:sz="4" w:space="0" w:color="000000"/>
              <w:bottom w:val="single" w:sz="4" w:space="0" w:color="000000"/>
              <w:right w:val="single" w:sz="4" w:space="0" w:color="000000"/>
            </w:tcBorders>
            <w:vAlign w:val="center"/>
          </w:tcPr>
          <w:p>
            <w:pPr>
              <w:pStyle w:val="Normal"/>
              <w:ind w:hanging="2"/>
              <w:jc w:val="center"/>
              <w:rPr>
                <w:color w:val="000000"/>
                <w:sz w:val="20"/>
                <w:szCs w:val="20"/>
              </w:rPr>
            </w:pPr>
            <w:r>
              <w:rPr>
                <w:color w:val="000000"/>
                <w:sz w:val="20"/>
                <w:szCs w:val="20"/>
              </w:rPr>
              <w:t>12,46</w:t>
            </w:r>
          </w:p>
        </w:tc>
        <w:tc>
          <w:tcPr>
            <w:tcW w:w="241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1,56</w:t>
            </w:r>
          </w:p>
        </w:tc>
      </w:tr>
      <w:tr>
        <w:trPr>
          <w:trHeight w:val="70" w:hRule="atLeast"/>
        </w:trPr>
        <w:tc>
          <w:tcPr>
            <w:tcW w:w="14853" w:type="dxa"/>
            <w:gridSpan w:val="6"/>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п.Бакча-Сарай</w:t>
            </w:r>
          </w:p>
        </w:tc>
      </w:tr>
      <w:tr>
        <w:trPr>
          <w:trHeight w:val="68" w:hRule="atLeast"/>
        </w:trPr>
        <w:tc>
          <w:tcPr>
            <w:tcW w:w="3265" w:type="dxa"/>
            <w:tcBorders>
              <w:top w:val="single" w:sz="4" w:space="0" w:color="000000"/>
              <w:left w:val="single" w:sz="4" w:space="0" w:color="000000"/>
              <w:bottom w:val="single" w:sz="4" w:space="0" w:color="000000"/>
              <w:right w:val="single" w:sz="4" w:space="0" w:color="000000"/>
            </w:tcBorders>
            <w:vAlign w:val="bottom"/>
          </w:tcPr>
          <w:p>
            <w:pPr>
              <w:pStyle w:val="Normal"/>
              <w:ind w:hanging="0"/>
              <w:jc w:val="left"/>
              <w:rPr>
                <w:bCs/>
                <w:color w:val="000000"/>
                <w:sz w:val="20"/>
                <w:szCs w:val="20"/>
              </w:rPr>
            </w:pPr>
            <w:r>
              <w:rPr>
                <w:bCs/>
                <w:color w:val="000000"/>
                <w:sz w:val="20"/>
                <w:szCs w:val="20"/>
              </w:rPr>
              <w:t>- для постоянного населения</w:t>
            </w:r>
          </w:p>
        </w:tc>
        <w:tc>
          <w:tcPr>
            <w:tcW w:w="2254" w:type="dxa"/>
            <w:tcBorders>
              <w:top w:val="single" w:sz="4" w:space="0" w:color="000000"/>
              <w:left w:val="single" w:sz="4" w:space="0" w:color="000000"/>
              <w:bottom w:val="single" w:sz="4" w:space="0" w:color="000000"/>
              <w:right w:val="single" w:sz="4" w:space="0" w:color="000000"/>
            </w:tcBorders>
            <w:vAlign w:val="center"/>
          </w:tcPr>
          <w:p>
            <w:pPr>
              <w:pStyle w:val="Normal"/>
              <w:ind w:hanging="2"/>
              <w:jc w:val="center"/>
              <w:rPr>
                <w:color w:val="000000"/>
                <w:sz w:val="20"/>
                <w:szCs w:val="20"/>
              </w:rPr>
            </w:pPr>
            <w:r>
              <w:rPr>
                <w:color w:val="000000"/>
                <w:sz w:val="20"/>
                <w:szCs w:val="20"/>
              </w:rPr>
              <w:t>7,8</w:t>
            </w:r>
          </w:p>
        </w:tc>
        <w:tc>
          <w:tcPr>
            <w:tcW w:w="2394" w:type="dxa"/>
            <w:tcBorders>
              <w:top w:val="single" w:sz="4" w:space="0" w:color="000000"/>
              <w:left w:val="single" w:sz="4" w:space="0" w:color="000000"/>
              <w:bottom w:val="single" w:sz="4" w:space="0" w:color="000000"/>
              <w:right w:val="single" w:sz="4" w:space="0" w:color="000000"/>
            </w:tcBorders>
            <w:vAlign w:val="center"/>
          </w:tcPr>
          <w:p>
            <w:pPr>
              <w:pStyle w:val="Normal"/>
              <w:ind w:hanging="2"/>
              <w:jc w:val="center"/>
              <w:rPr>
                <w:color w:val="000000"/>
                <w:sz w:val="20"/>
                <w:szCs w:val="20"/>
              </w:rPr>
            </w:pPr>
            <w:r>
              <w:rPr>
                <w:color w:val="000000"/>
                <w:sz w:val="20"/>
                <w:szCs w:val="20"/>
              </w:rPr>
              <w:t>15,12</w:t>
            </w:r>
          </w:p>
        </w:tc>
        <w:tc>
          <w:tcPr>
            <w:tcW w:w="223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7,32</w:t>
            </w:r>
          </w:p>
        </w:tc>
        <w:tc>
          <w:tcPr>
            <w:tcW w:w="2285" w:type="dxa"/>
            <w:tcBorders>
              <w:top w:val="single" w:sz="4" w:space="0" w:color="000000"/>
              <w:left w:val="single" w:sz="4" w:space="0" w:color="000000"/>
              <w:bottom w:val="single" w:sz="4" w:space="0" w:color="000000"/>
              <w:right w:val="single" w:sz="4" w:space="0" w:color="000000"/>
            </w:tcBorders>
            <w:vAlign w:val="center"/>
          </w:tcPr>
          <w:p>
            <w:pPr>
              <w:pStyle w:val="Normal"/>
              <w:ind w:hanging="2"/>
              <w:jc w:val="center"/>
              <w:rPr>
                <w:color w:val="000000"/>
                <w:sz w:val="20"/>
                <w:szCs w:val="20"/>
              </w:rPr>
            </w:pPr>
            <w:r>
              <w:rPr>
                <w:color w:val="000000"/>
                <w:sz w:val="20"/>
                <w:szCs w:val="20"/>
              </w:rPr>
              <w:t>17,52</w:t>
            </w:r>
          </w:p>
        </w:tc>
        <w:tc>
          <w:tcPr>
            <w:tcW w:w="241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2,4</w:t>
            </w:r>
          </w:p>
        </w:tc>
      </w:tr>
      <w:tr>
        <w:trPr>
          <w:trHeight w:val="270" w:hRule="atLeast"/>
        </w:trPr>
        <w:tc>
          <w:tcPr>
            <w:tcW w:w="14853" w:type="dxa"/>
            <w:gridSpan w:val="6"/>
            <w:tcBorders>
              <w:top w:val="single" w:sz="4" w:space="0" w:color="000000"/>
              <w:left w:val="single" w:sz="4" w:space="0" w:color="000000"/>
              <w:bottom w:val="single" w:sz="4" w:space="0" w:color="000000"/>
              <w:right w:val="single" w:sz="4" w:space="0" w:color="000000"/>
            </w:tcBorders>
            <w:vAlign w:val="bottom"/>
          </w:tcPr>
          <w:p>
            <w:pPr>
              <w:pStyle w:val="Normal"/>
              <w:ind w:hanging="0"/>
              <w:jc w:val="center"/>
              <w:rPr>
                <w:color w:val="000000"/>
                <w:sz w:val="20"/>
                <w:szCs w:val="20"/>
              </w:rPr>
            </w:pPr>
            <w:r>
              <w:rPr>
                <w:color w:val="000000"/>
                <w:sz w:val="20"/>
                <w:szCs w:val="20"/>
              </w:rPr>
              <w:t>с.Ташевка</w:t>
            </w:r>
          </w:p>
        </w:tc>
      </w:tr>
      <w:tr>
        <w:trPr>
          <w:trHeight w:val="270" w:hRule="atLeast"/>
        </w:trPr>
        <w:tc>
          <w:tcPr>
            <w:tcW w:w="3265" w:type="dxa"/>
            <w:tcBorders>
              <w:top w:val="single" w:sz="4" w:space="0" w:color="000000"/>
              <w:left w:val="single" w:sz="4" w:space="0" w:color="000000"/>
              <w:bottom w:val="single" w:sz="4" w:space="0" w:color="000000"/>
              <w:right w:val="single" w:sz="4" w:space="0" w:color="000000"/>
            </w:tcBorders>
            <w:vAlign w:val="bottom"/>
          </w:tcPr>
          <w:p>
            <w:pPr>
              <w:pStyle w:val="Normal"/>
              <w:ind w:hanging="0"/>
              <w:jc w:val="left"/>
              <w:rPr>
                <w:bCs/>
                <w:color w:val="000000"/>
                <w:sz w:val="20"/>
                <w:szCs w:val="20"/>
              </w:rPr>
            </w:pPr>
            <w:r>
              <w:rPr>
                <w:bCs/>
                <w:color w:val="000000"/>
                <w:sz w:val="20"/>
                <w:szCs w:val="20"/>
              </w:rPr>
              <w:t>- для постоянного населения</w:t>
            </w:r>
          </w:p>
        </w:tc>
        <w:tc>
          <w:tcPr>
            <w:tcW w:w="2254" w:type="dxa"/>
            <w:tcBorders>
              <w:top w:val="single" w:sz="4" w:space="0" w:color="000000"/>
              <w:left w:val="single" w:sz="4" w:space="0" w:color="000000"/>
              <w:bottom w:val="single" w:sz="4" w:space="0" w:color="000000"/>
              <w:right w:val="single" w:sz="4" w:space="0" w:color="000000"/>
            </w:tcBorders>
            <w:vAlign w:val="center"/>
          </w:tcPr>
          <w:p>
            <w:pPr>
              <w:pStyle w:val="Normal"/>
              <w:ind w:hanging="2"/>
              <w:jc w:val="center"/>
              <w:rPr>
                <w:bCs/>
                <w:color w:val="000000"/>
                <w:sz w:val="20"/>
                <w:szCs w:val="20"/>
              </w:rPr>
            </w:pPr>
            <w:r>
              <w:rPr>
                <w:bCs/>
                <w:color w:val="000000"/>
                <w:sz w:val="20"/>
                <w:szCs w:val="20"/>
              </w:rPr>
              <w:t>5,7</w:t>
            </w:r>
          </w:p>
        </w:tc>
        <w:tc>
          <w:tcPr>
            <w:tcW w:w="2394" w:type="dxa"/>
            <w:tcBorders>
              <w:top w:val="single" w:sz="4" w:space="0" w:color="000000"/>
              <w:left w:val="single" w:sz="4" w:space="0" w:color="000000"/>
              <w:bottom w:val="single" w:sz="4" w:space="0" w:color="000000"/>
              <w:right w:val="single" w:sz="4" w:space="0" w:color="000000"/>
            </w:tcBorders>
            <w:vAlign w:val="center"/>
          </w:tcPr>
          <w:p>
            <w:pPr>
              <w:pStyle w:val="Normal"/>
              <w:ind w:hanging="2"/>
              <w:jc w:val="center"/>
              <w:rPr>
                <w:bCs/>
                <w:color w:val="000000"/>
                <w:sz w:val="20"/>
                <w:szCs w:val="20"/>
              </w:rPr>
            </w:pPr>
            <w:r>
              <w:rPr>
                <w:bCs/>
                <w:color w:val="000000"/>
                <w:sz w:val="20"/>
                <w:szCs w:val="20"/>
              </w:rPr>
              <w:t>11,94</w:t>
            </w:r>
          </w:p>
        </w:tc>
        <w:tc>
          <w:tcPr>
            <w:tcW w:w="223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6,24</w:t>
            </w:r>
          </w:p>
        </w:tc>
        <w:tc>
          <w:tcPr>
            <w:tcW w:w="2285" w:type="dxa"/>
            <w:tcBorders>
              <w:top w:val="single" w:sz="4" w:space="0" w:color="000000"/>
              <w:left w:val="single" w:sz="4" w:space="0" w:color="000000"/>
              <w:bottom w:val="single" w:sz="4" w:space="0" w:color="000000"/>
              <w:right w:val="single" w:sz="4" w:space="0" w:color="000000"/>
            </w:tcBorders>
            <w:vAlign w:val="center"/>
          </w:tcPr>
          <w:p>
            <w:pPr>
              <w:pStyle w:val="Normal"/>
              <w:ind w:hanging="2"/>
              <w:jc w:val="center"/>
              <w:rPr>
                <w:bCs/>
                <w:color w:val="000000"/>
                <w:sz w:val="20"/>
                <w:szCs w:val="20"/>
              </w:rPr>
            </w:pPr>
            <w:r>
              <w:rPr>
                <w:bCs/>
                <w:color w:val="000000"/>
                <w:sz w:val="20"/>
                <w:szCs w:val="20"/>
              </w:rPr>
              <w:t>15,78</w:t>
            </w:r>
          </w:p>
        </w:tc>
        <w:tc>
          <w:tcPr>
            <w:tcW w:w="241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3,84</w:t>
            </w:r>
          </w:p>
        </w:tc>
      </w:tr>
      <w:tr>
        <w:trPr>
          <w:trHeight w:val="270" w:hRule="atLeast"/>
        </w:trPr>
        <w:tc>
          <w:tcPr>
            <w:tcW w:w="14853" w:type="dxa"/>
            <w:gridSpan w:val="6"/>
            <w:tcBorders>
              <w:top w:val="single" w:sz="4" w:space="0" w:color="000000"/>
              <w:left w:val="single" w:sz="4" w:space="0" w:color="000000"/>
              <w:bottom w:val="single" w:sz="4" w:space="0" w:color="000000"/>
              <w:right w:val="single" w:sz="4" w:space="0" w:color="000000"/>
            </w:tcBorders>
            <w:vAlign w:val="bottom"/>
          </w:tcPr>
          <w:p>
            <w:pPr>
              <w:pStyle w:val="Normal"/>
              <w:ind w:hanging="0"/>
              <w:jc w:val="center"/>
              <w:rPr/>
            </w:pPr>
            <w:r>
              <w:rPr>
                <w:color w:val="000000"/>
                <w:sz w:val="20"/>
                <w:szCs w:val="20"/>
              </w:rPr>
              <w:t>д.Ватан</w:t>
            </w:r>
          </w:p>
        </w:tc>
      </w:tr>
      <w:tr>
        <w:trPr>
          <w:trHeight w:val="270" w:hRule="atLeast"/>
        </w:trPr>
        <w:tc>
          <w:tcPr>
            <w:tcW w:w="3265" w:type="dxa"/>
            <w:tcBorders>
              <w:top w:val="single" w:sz="4" w:space="0" w:color="000000"/>
              <w:left w:val="single" w:sz="4" w:space="0" w:color="000000"/>
              <w:bottom w:val="single" w:sz="4" w:space="0" w:color="000000"/>
              <w:right w:val="single" w:sz="4" w:space="0" w:color="000000"/>
            </w:tcBorders>
            <w:vAlign w:val="bottom"/>
          </w:tcPr>
          <w:p>
            <w:pPr>
              <w:pStyle w:val="Normal"/>
              <w:ind w:hanging="0"/>
              <w:jc w:val="left"/>
              <w:rPr>
                <w:bCs/>
                <w:color w:val="000000"/>
                <w:sz w:val="20"/>
                <w:szCs w:val="20"/>
              </w:rPr>
            </w:pPr>
            <w:r>
              <w:rPr>
                <w:bCs/>
                <w:color w:val="000000"/>
                <w:sz w:val="20"/>
                <w:szCs w:val="20"/>
              </w:rPr>
              <w:t>- для постоянного населения</w:t>
            </w:r>
          </w:p>
        </w:tc>
        <w:tc>
          <w:tcPr>
            <w:tcW w:w="2254" w:type="dxa"/>
            <w:tcBorders>
              <w:top w:val="single" w:sz="4" w:space="0" w:color="000000"/>
              <w:left w:val="single" w:sz="4" w:space="0" w:color="000000"/>
              <w:bottom w:val="single" w:sz="4" w:space="0" w:color="000000"/>
              <w:right w:val="single" w:sz="4" w:space="0" w:color="000000"/>
            </w:tcBorders>
            <w:vAlign w:val="center"/>
          </w:tcPr>
          <w:p>
            <w:pPr>
              <w:pStyle w:val="Normal"/>
              <w:ind w:hanging="2"/>
              <w:jc w:val="center"/>
              <w:rPr>
                <w:bCs/>
                <w:color w:val="000000"/>
                <w:sz w:val="20"/>
                <w:szCs w:val="20"/>
              </w:rPr>
            </w:pPr>
            <w:r>
              <w:rPr>
                <w:bCs/>
                <w:color w:val="000000"/>
                <w:sz w:val="20"/>
                <w:szCs w:val="20"/>
              </w:rPr>
              <w:t>1,8</w:t>
            </w:r>
          </w:p>
        </w:tc>
        <w:tc>
          <w:tcPr>
            <w:tcW w:w="2394" w:type="dxa"/>
            <w:tcBorders>
              <w:top w:val="single" w:sz="4" w:space="0" w:color="000000"/>
              <w:left w:val="single" w:sz="4" w:space="0" w:color="000000"/>
              <w:bottom w:val="single" w:sz="4" w:space="0" w:color="000000"/>
              <w:right w:val="single" w:sz="4" w:space="0" w:color="000000"/>
            </w:tcBorders>
            <w:vAlign w:val="center"/>
          </w:tcPr>
          <w:p>
            <w:pPr>
              <w:pStyle w:val="Normal"/>
              <w:ind w:hanging="2"/>
              <w:jc w:val="center"/>
              <w:rPr>
                <w:bCs/>
                <w:color w:val="000000"/>
                <w:sz w:val="20"/>
                <w:szCs w:val="20"/>
              </w:rPr>
            </w:pPr>
            <w:r>
              <w:rPr>
                <w:bCs/>
                <w:color w:val="000000"/>
                <w:sz w:val="20"/>
                <w:szCs w:val="20"/>
              </w:rPr>
              <w:t>3</w:t>
            </w:r>
          </w:p>
        </w:tc>
        <w:tc>
          <w:tcPr>
            <w:tcW w:w="223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1,2</w:t>
            </w:r>
          </w:p>
        </w:tc>
        <w:tc>
          <w:tcPr>
            <w:tcW w:w="2285" w:type="dxa"/>
            <w:tcBorders>
              <w:top w:val="single" w:sz="4" w:space="0" w:color="000000"/>
              <w:left w:val="single" w:sz="4" w:space="0" w:color="000000"/>
              <w:bottom w:val="single" w:sz="4" w:space="0" w:color="000000"/>
              <w:right w:val="single" w:sz="4" w:space="0" w:color="000000"/>
            </w:tcBorders>
            <w:vAlign w:val="center"/>
          </w:tcPr>
          <w:p>
            <w:pPr>
              <w:pStyle w:val="Normal"/>
              <w:ind w:hanging="2"/>
              <w:jc w:val="center"/>
              <w:rPr>
                <w:bCs/>
                <w:color w:val="000000"/>
                <w:sz w:val="20"/>
                <w:szCs w:val="20"/>
              </w:rPr>
            </w:pPr>
            <w:r>
              <w:rPr>
                <w:bCs/>
                <w:color w:val="000000"/>
                <w:sz w:val="20"/>
                <w:szCs w:val="20"/>
              </w:rPr>
              <w:t>4,32</w:t>
            </w:r>
          </w:p>
        </w:tc>
        <w:tc>
          <w:tcPr>
            <w:tcW w:w="241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1,32</w:t>
            </w:r>
          </w:p>
        </w:tc>
      </w:tr>
      <w:tr>
        <w:trPr>
          <w:trHeight w:val="270" w:hRule="atLeast"/>
        </w:trPr>
        <w:tc>
          <w:tcPr>
            <w:tcW w:w="14853" w:type="dxa"/>
            <w:gridSpan w:val="6"/>
            <w:tcBorders>
              <w:top w:val="single" w:sz="4" w:space="0" w:color="000000"/>
              <w:left w:val="single" w:sz="4" w:space="0" w:color="000000"/>
              <w:bottom w:val="single" w:sz="4" w:space="0" w:color="000000"/>
              <w:right w:val="single" w:sz="4" w:space="0" w:color="000000"/>
            </w:tcBorders>
            <w:vAlign w:val="bottom"/>
          </w:tcPr>
          <w:p>
            <w:pPr>
              <w:pStyle w:val="Normal"/>
              <w:ind w:hanging="0"/>
              <w:jc w:val="center"/>
              <w:rPr>
                <w:color w:val="000000"/>
                <w:sz w:val="20"/>
                <w:szCs w:val="20"/>
              </w:rPr>
            </w:pPr>
            <w:r>
              <w:rPr>
                <w:color w:val="000000"/>
                <w:sz w:val="20"/>
                <w:szCs w:val="20"/>
              </w:rPr>
              <w:t>д.Гребени</w:t>
            </w:r>
          </w:p>
        </w:tc>
      </w:tr>
      <w:tr>
        <w:trPr>
          <w:trHeight w:val="270" w:hRule="atLeast"/>
        </w:trPr>
        <w:tc>
          <w:tcPr>
            <w:tcW w:w="3265" w:type="dxa"/>
            <w:tcBorders>
              <w:top w:val="single" w:sz="4" w:space="0" w:color="000000"/>
              <w:left w:val="single" w:sz="4" w:space="0" w:color="000000"/>
              <w:bottom w:val="single" w:sz="4" w:space="0" w:color="000000"/>
              <w:right w:val="single" w:sz="4" w:space="0" w:color="000000"/>
            </w:tcBorders>
            <w:vAlign w:val="bottom"/>
          </w:tcPr>
          <w:p>
            <w:pPr>
              <w:pStyle w:val="Normal"/>
              <w:ind w:hanging="0"/>
              <w:jc w:val="left"/>
              <w:rPr>
                <w:bCs/>
                <w:color w:val="000000"/>
                <w:sz w:val="20"/>
                <w:szCs w:val="20"/>
              </w:rPr>
            </w:pPr>
            <w:r>
              <w:rPr>
                <w:bCs/>
                <w:color w:val="000000"/>
                <w:sz w:val="20"/>
                <w:szCs w:val="20"/>
              </w:rPr>
              <w:t>- для постоянного населения</w:t>
            </w:r>
          </w:p>
        </w:tc>
        <w:tc>
          <w:tcPr>
            <w:tcW w:w="2254" w:type="dxa"/>
            <w:tcBorders>
              <w:top w:val="single" w:sz="4" w:space="0" w:color="000000"/>
              <w:left w:val="single" w:sz="4" w:space="0" w:color="000000"/>
              <w:bottom w:val="single" w:sz="4" w:space="0" w:color="000000"/>
              <w:right w:val="single" w:sz="4" w:space="0" w:color="000000"/>
            </w:tcBorders>
            <w:vAlign w:val="center"/>
          </w:tcPr>
          <w:p>
            <w:pPr>
              <w:pStyle w:val="Normal"/>
              <w:ind w:hanging="2"/>
              <w:jc w:val="center"/>
              <w:rPr>
                <w:bCs/>
                <w:color w:val="000000"/>
                <w:sz w:val="20"/>
                <w:szCs w:val="20"/>
              </w:rPr>
            </w:pPr>
            <w:r>
              <w:rPr>
                <w:bCs/>
                <w:color w:val="000000"/>
                <w:sz w:val="20"/>
                <w:szCs w:val="20"/>
              </w:rPr>
              <w:t>0,9</w:t>
            </w:r>
          </w:p>
        </w:tc>
        <w:tc>
          <w:tcPr>
            <w:tcW w:w="2394" w:type="dxa"/>
            <w:tcBorders>
              <w:top w:val="single" w:sz="4" w:space="0" w:color="000000"/>
              <w:left w:val="single" w:sz="4" w:space="0" w:color="000000"/>
              <w:bottom w:val="single" w:sz="4" w:space="0" w:color="000000"/>
              <w:right w:val="single" w:sz="4" w:space="0" w:color="000000"/>
            </w:tcBorders>
            <w:vAlign w:val="center"/>
          </w:tcPr>
          <w:p>
            <w:pPr>
              <w:pStyle w:val="Normal"/>
              <w:ind w:hanging="2"/>
              <w:jc w:val="center"/>
              <w:rPr>
                <w:bCs/>
                <w:color w:val="000000"/>
                <w:sz w:val="20"/>
                <w:szCs w:val="20"/>
              </w:rPr>
            </w:pPr>
            <w:r>
              <w:rPr>
                <w:bCs/>
                <w:color w:val="000000"/>
                <w:sz w:val="20"/>
                <w:szCs w:val="20"/>
              </w:rPr>
              <w:t>6,18</w:t>
            </w:r>
          </w:p>
        </w:tc>
        <w:tc>
          <w:tcPr>
            <w:tcW w:w="223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5,28</w:t>
            </w:r>
          </w:p>
        </w:tc>
        <w:tc>
          <w:tcPr>
            <w:tcW w:w="2285" w:type="dxa"/>
            <w:tcBorders>
              <w:top w:val="single" w:sz="4" w:space="0" w:color="000000"/>
              <w:left w:val="single" w:sz="4" w:space="0" w:color="000000"/>
              <w:bottom w:val="single" w:sz="4" w:space="0" w:color="000000"/>
              <w:right w:val="single" w:sz="4" w:space="0" w:color="000000"/>
            </w:tcBorders>
            <w:vAlign w:val="center"/>
          </w:tcPr>
          <w:p>
            <w:pPr>
              <w:pStyle w:val="Normal"/>
              <w:ind w:hanging="2"/>
              <w:jc w:val="center"/>
              <w:rPr>
                <w:bCs/>
                <w:color w:val="000000"/>
                <w:sz w:val="20"/>
                <w:szCs w:val="20"/>
              </w:rPr>
            </w:pPr>
            <w:r>
              <w:rPr>
                <w:bCs/>
                <w:color w:val="000000"/>
                <w:sz w:val="20"/>
                <w:szCs w:val="20"/>
              </w:rPr>
              <w:t>11,34</w:t>
            </w:r>
          </w:p>
        </w:tc>
        <w:tc>
          <w:tcPr>
            <w:tcW w:w="241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5,16</w:t>
            </w:r>
          </w:p>
        </w:tc>
      </w:tr>
      <w:tr>
        <w:trPr>
          <w:trHeight w:val="70" w:hRule="atLeast"/>
        </w:trPr>
        <w:tc>
          <w:tcPr>
            <w:tcW w:w="3265" w:type="dxa"/>
            <w:tcBorders>
              <w:top w:val="single" w:sz="4" w:space="0" w:color="000000"/>
              <w:left w:val="single" w:sz="4" w:space="0" w:color="000000"/>
              <w:bottom w:val="single" w:sz="4" w:space="0" w:color="000000"/>
              <w:right w:val="single" w:sz="4" w:space="0" w:color="000000"/>
            </w:tcBorders>
            <w:vAlign w:val="bottom"/>
          </w:tcPr>
          <w:p>
            <w:pPr>
              <w:pStyle w:val="Normal"/>
              <w:ind w:hanging="0"/>
              <w:jc w:val="left"/>
              <w:rPr>
                <w:bCs/>
                <w:color w:val="000000"/>
                <w:sz w:val="20"/>
                <w:szCs w:val="20"/>
              </w:rPr>
            </w:pPr>
            <w:r>
              <w:rPr>
                <w:bCs/>
                <w:color w:val="000000"/>
                <w:sz w:val="20"/>
                <w:szCs w:val="20"/>
              </w:rPr>
              <w:t>Всего по поселению</w:t>
            </w:r>
          </w:p>
        </w:tc>
        <w:tc>
          <w:tcPr>
            <w:tcW w:w="2254" w:type="dxa"/>
            <w:tcBorders>
              <w:top w:val="single" w:sz="4" w:space="0" w:color="000000"/>
              <w:left w:val="single" w:sz="4" w:space="0" w:color="000000"/>
              <w:bottom w:val="single" w:sz="4" w:space="0" w:color="000000"/>
              <w:right w:val="single" w:sz="4" w:space="0" w:color="000000"/>
            </w:tcBorders>
            <w:vAlign w:val="center"/>
          </w:tcPr>
          <w:p>
            <w:pPr>
              <w:pStyle w:val="Normal"/>
              <w:ind w:hanging="2"/>
              <w:jc w:val="center"/>
              <w:rPr>
                <w:bCs/>
                <w:color w:val="000000"/>
                <w:sz w:val="20"/>
                <w:szCs w:val="20"/>
              </w:rPr>
            </w:pPr>
            <w:r>
              <w:rPr>
                <w:bCs/>
                <w:color w:val="000000"/>
                <w:sz w:val="20"/>
                <w:szCs w:val="20"/>
              </w:rPr>
              <w:t>25,3</w:t>
            </w:r>
          </w:p>
        </w:tc>
        <w:tc>
          <w:tcPr>
            <w:tcW w:w="2394" w:type="dxa"/>
            <w:tcBorders>
              <w:top w:val="single" w:sz="4" w:space="0" w:color="000000"/>
              <w:left w:val="single" w:sz="4" w:space="0" w:color="000000"/>
              <w:bottom w:val="single" w:sz="4" w:space="0" w:color="000000"/>
              <w:right w:val="single" w:sz="4" w:space="0" w:color="000000"/>
            </w:tcBorders>
            <w:vAlign w:val="center"/>
          </w:tcPr>
          <w:p>
            <w:pPr>
              <w:pStyle w:val="Normal"/>
              <w:ind w:hanging="2"/>
              <w:jc w:val="center"/>
              <w:rPr>
                <w:bCs/>
                <w:color w:val="000000"/>
                <w:sz w:val="20"/>
                <w:szCs w:val="20"/>
              </w:rPr>
            </w:pPr>
            <w:r>
              <w:rPr>
                <w:bCs/>
                <w:color w:val="000000"/>
                <w:sz w:val="20"/>
                <w:szCs w:val="20"/>
              </w:rPr>
              <w:t>47,14</w:t>
            </w:r>
          </w:p>
        </w:tc>
        <w:tc>
          <w:tcPr>
            <w:tcW w:w="223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21,84</w:t>
            </w:r>
          </w:p>
        </w:tc>
        <w:tc>
          <w:tcPr>
            <w:tcW w:w="2285" w:type="dxa"/>
            <w:tcBorders>
              <w:top w:val="single" w:sz="4" w:space="0" w:color="000000"/>
              <w:left w:val="single" w:sz="4" w:space="0" w:color="000000"/>
              <w:bottom w:val="single" w:sz="4" w:space="0" w:color="000000"/>
              <w:right w:val="single" w:sz="4" w:space="0" w:color="000000"/>
            </w:tcBorders>
            <w:vAlign w:val="center"/>
          </w:tcPr>
          <w:p>
            <w:pPr>
              <w:pStyle w:val="Normal"/>
              <w:ind w:hanging="2"/>
              <w:jc w:val="center"/>
              <w:rPr>
                <w:bCs/>
                <w:color w:val="000000"/>
                <w:sz w:val="20"/>
                <w:szCs w:val="20"/>
              </w:rPr>
            </w:pPr>
            <w:r>
              <w:rPr>
                <w:bCs/>
                <w:color w:val="000000"/>
                <w:sz w:val="20"/>
                <w:szCs w:val="20"/>
              </w:rPr>
              <w:t>61,42</w:t>
            </w:r>
          </w:p>
        </w:tc>
        <w:tc>
          <w:tcPr>
            <w:tcW w:w="241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14,28</w:t>
            </w:r>
          </w:p>
        </w:tc>
      </w:tr>
    </w:tbl>
    <w:p>
      <w:pPr>
        <w:pStyle w:val="Normal"/>
        <w:ind w:hanging="0"/>
        <w:rPr>
          <w:color w:val="FF0066"/>
          <w:szCs w:val="28"/>
        </w:rPr>
      </w:pPr>
      <w:r>
        <w:rPr>
          <w:color w:val="FF0066"/>
          <w:szCs w:val="28"/>
        </w:rPr>
      </w:r>
    </w:p>
    <w:p>
      <w:pPr>
        <w:pStyle w:val="Normal"/>
        <w:ind w:firstLine="700"/>
        <w:jc w:val="right"/>
        <w:rPr>
          <w:color w:val="FF0066"/>
          <w:szCs w:val="28"/>
        </w:rPr>
      </w:pPr>
      <w:r>
        <w:rPr>
          <w:color w:val="FF0066"/>
          <w:szCs w:val="28"/>
        </w:rPr>
      </w:r>
    </w:p>
    <w:p>
      <w:pPr>
        <w:pStyle w:val="Normal"/>
        <w:ind w:firstLine="700"/>
        <w:jc w:val="right"/>
        <w:rPr>
          <w:color w:val="FF0066"/>
          <w:szCs w:val="28"/>
        </w:rPr>
      </w:pPr>
      <w:r>
        <w:rPr>
          <w:color w:val="FF0066"/>
          <w:szCs w:val="28"/>
        </w:rPr>
      </w:r>
    </w:p>
    <w:p>
      <w:pPr>
        <w:pStyle w:val="Normal"/>
        <w:ind w:firstLine="700"/>
        <w:jc w:val="right"/>
        <w:rPr>
          <w:color w:val="FF0066"/>
          <w:szCs w:val="28"/>
        </w:rPr>
      </w:pPr>
      <w:r>
        <w:rPr>
          <w:color w:val="FF0066"/>
          <w:szCs w:val="28"/>
        </w:rPr>
      </w:r>
    </w:p>
    <w:p>
      <w:pPr>
        <w:pStyle w:val="Normal"/>
        <w:ind w:hanging="0"/>
        <w:rPr>
          <w:color w:val="FF0066"/>
          <w:szCs w:val="28"/>
        </w:rPr>
      </w:pPr>
      <w:r>
        <w:rPr>
          <w:color w:val="FF0066"/>
          <w:szCs w:val="28"/>
        </w:rPr>
      </w:r>
    </w:p>
    <w:p>
      <w:pPr>
        <w:pStyle w:val="Normal"/>
        <w:ind w:hanging="0"/>
        <w:rPr>
          <w:color w:val="FF0066"/>
          <w:szCs w:val="28"/>
        </w:rPr>
      </w:pPr>
      <w:r>
        <w:rPr>
          <w:color w:val="FF0066"/>
          <w:szCs w:val="28"/>
        </w:rPr>
      </w:r>
    </w:p>
    <w:p>
      <w:pPr>
        <w:pStyle w:val="Normal"/>
        <w:ind w:hanging="0"/>
        <w:rPr>
          <w:color w:val="FF0066"/>
          <w:szCs w:val="28"/>
        </w:rPr>
      </w:pPr>
      <w:r>
        <w:rPr>
          <w:color w:val="FF0066"/>
          <w:szCs w:val="28"/>
        </w:rPr>
      </w:r>
    </w:p>
    <w:p>
      <w:pPr>
        <w:pStyle w:val="Normal"/>
        <w:ind w:hanging="0"/>
        <w:rPr>
          <w:color w:val="FF0066"/>
          <w:szCs w:val="28"/>
        </w:rPr>
      </w:pPr>
      <w:r>
        <w:rPr>
          <w:color w:val="FF0066"/>
          <w:szCs w:val="28"/>
        </w:rPr>
      </w:r>
    </w:p>
    <w:p>
      <w:pPr>
        <w:pStyle w:val="Normal"/>
        <w:ind w:hanging="0"/>
        <w:rPr>
          <w:color w:val="FF0066"/>
          <w:szCs w:val="28"/>
        </w:rPr>
      </w:pPr>
      <w:r>
        <w:rPr>
          <w:color w:val="FF0066"/>
          <w:szCs w:val="28"/>
        </w:rPr>
      </w:r>
    </w:p>
    <w:p>
      <w:pPr>
        <w:pStyle w:val="Normal"/>
        <w:ind w:hanging="0"/>
        <w:rPr>
          <w:color w:val="FF0066"/>
          <w:szCs w:val="28"/>
        </w:rPr>
      </w:pPr>
      <w:r>
        <w:rPr>
          <w:color w:val="FF0066"/>
          <w:szCs w:val="28"/>
        </w:rPr>
      </w:r>
    </w:p>
    <w:p>
      <w:pPr>
        <w:pStyle w:val="Normal"/>
        <w:ind w:hanging="0"/>
        <w:rPr>
          <w:color w:val="FF0066"/>
          <w:szCs w:val="28"/>
        </w:rPr>
      </w:pPr>
      <w:r>
        <w:rPr>
          <w:color w:val="FF0066"/>
          <w:szCs w:val="28"/>
        </w:rPr>
      </w:r>
    </w:p>
    <w:p>
      <w:pPr>
        <w:pStyle w:val="Normal"/>
        <w:ind w:hanging="0"/>
        <w:rPr>
          <w:color w:val="FF0066"/>
          <w:szCs w:val="28"/>
        </w:rPr>
      </w:pPr>
      <w:r>
        <w:rPr>
          <w:color w:val="FF0066"/>
          <w:szCs w:val="28"/>
        </w:rPr>
      </w:r>
    </w:p>
    <w:p>
      <w:pPr>
        <w:pStyle w:val="Normal"/>
        <w:ind w:hanging="0"/>
        <w:rPr>
          <w:color w:val="FF0066"/>
          <w:szCs w:val="28"/>
        </w:rPr>
      </w:pPr>
      <w:r>
        <w:rPr>
          <w:color w:val="FF0066"/>
          <w:szCs w:val="28"/>
        </w:rPr>
      </w:r>
    </w:p>
    <w:p>
      <w:pPr>
        <w:pStyle w:val="Normal"/>
        <w:ind w:hanging="0"/>
        <w:rPr>
          <w:color w:val="FF0066"/>
          <w:szCs w:val="28"/>
        </w:rPr>
      </w:pPr>
      <w:r>
        <w:rPr>
          <w:color w:val="FF0066"/>
          <w:szCs w:val="28"/>
        </w:rPr>
      </w:r>
    </w:p>
    <w:p>
      <w:pPr>
        <w:pStyle w:val="Normal"/>
        <w:ind w:firstLine="700"/>
        <w:jc w:val="right"/>
        <w:rPr>
          <w:color w:val="000000"/>
          <w:szCs w:val="28"/>
        </w:rPr>
      </w:pPr>
      <w:r>
        <w:rPr>
          <w:color w:val="000000"/>
          <w:szCs w:val="28"/>
        </w:rPr>
        <w:t>Таблица 4.6.2</w:t>
      </w:r>
    </w:p>
    <w:p>
      <w:pPr>
        <w:pStyle w:val="Normal"/>
        <w:ind w:firstLine="700"/>
        <w:jc w:val="center"/>
        <w:rPr>
          <w:color w:val="000000"/>
          <w:szCs w:val="28"/>
        </w:rPr>
      </w:pPr>
      <w:r>
        <w:rPr>
          <w:color w:val="000000"/>
          <w:szCs w:val="28"/>
        </w:rPr>
        <w:t>Перечень мероприятий по развитию жилищной инфраструктуры на территории</w:t>
      </w:r>
    </w:p>
    <w:p>
      <w:pPr>
        <w:pStyle w:val="Normal"/>
        <w:ind w:firstLine="700"/>
        <w:jc w:val="center"/>
        <w:rPr/>
      </w:pPr>
      <w:r>
        <w:rPr>
          <w:color w:val="000000"/>
          <w:szCs w:val="28"/>
        </w:rPr>
        <w:t xml:space="preserve"> </w:t>
      </w:r>
      <w:r>
        <w:rPr>
          <w:color w:val="000000"/>
          <w:szCs w:val="28"/>
        </w:rPr>
        <w:t>Вахитовск</w:t>
      </w:r>
      <w:r>
        <w:rPr/>
        <w:t>ого сельского поселения</w:t>
      </w:r>
    </w:p>
    <w:tbl>
      <w:tblPr>
        <w:tblW w:w="5000" w:type="pct"/>
        <w:jc w:val="center"/>
        <w:tblInd w:w="0" w:type="dxa"/>
        <w:tblLayout w:type="fixed"/>
        <w:tblCellMar>
          <w:top w:w="0" w:type="dxa"/>
          <w:left w:w="108" w:type="dxa"/>
          <w:bottom w:w="0" w:type="dxa"/>
          <w:right w:w="108" w:type="dxa"/>
        </w:tblCellMar>
      </w:tblPr>
      <w:tblGrid>
        <w:gridCol w:w="654"/>
        <w:gridCol w:w="1572"/>
        <w:gridCol w:w="2453"/>
        <w:gridCol w:w="1676"/>
        <w:gridCol w:w="1396"/>
        <w:gridCol w:w="1164"/>
        <w:gridCol w:w="1164"/>
        <w:gridCol w:w="1257"/>
        <w:gridCol w:w="1398"/>
        <w:gridCol w:w="2119"/>
      </w:tblGrid>
      <w:tr>
        <w:trPr>
          <w:tblHeader w:val="true"/>
          <w:trHeight w:val="90" w:hRule="atLeast"/>
          <w:cantSplit w:val="true"/>
        </w:trPr>
        <w:tc>
          <w:tcPr>
            <w:tcW w:w="654"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bookmarkStart w:id="303" w:name="_Hlk151559971_Копия_1"/>
            <w:bookmarkEnd w:id="303"/>
            <w:r>
              <w:rPr>
                <w:color w:val="000000"/>
                <w:sz w:val="20"/>
                <w:szCs w:val="20"/>
              </w:rPr>
              <w:t xml:space="preserve">№ </w:t>
            </w:r>
            <w:r>
              <w:rPr>
                <w:color w:val="000000"/>
                <w:sz w:val="20"/>
                <w:szCs w:val="20"/>
              </w:rPr>
              <w:t>п/п</w:t>
            </w:r>
          </w:p>
        </w:tc>
        <w:tc>
          <w:tcPr>
            <w:tcW w:w="1572"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Наименование населенного пункта, входящего в состав поселения</w:t>
            </w:r>
          </w:p>
        </w:tc>
        <w:tc>
          <w:tcPr>
            <w:tcW w:w="2453"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pPr>
            <w:r>
              <w:rPr>
                <w:color w:val="000000"/>
                <w:sz w:val="20"/>
                <w:szCs w:val="20"/>
              </w:rPr>
              <w:t>Наименование объекта</w:t>
            </w:r>
          </w:p>
        </w:tc>
        <w:tc>
          <w:tcPr>
            <w:tcW w:w="1676"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Вид мероприятия</w:t>
            </w:r>
          </w:p>
        </w:tc>
        <w:tc>
          <w:tcPr>
            <w:tcW w:w="1396"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Единица измерения</w:t>
            </w:r>
          </w:p>
        </w:tc>
        <w:tc>
          <w:tcPr>
            <w:tcW w:w="2328" w:type="dxa"/>
            <w:gridSpan w:val="2"/>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Мощность</w:t>
            </w:r>
          </w:p>
        </w:tc>
        <w:tc>
          <w:tcPr>
            <w:tcW w:w="2655" w:type="dxa"/>
            <w:gridSpan w:val="2"/>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Сроки реализации</w:t>
            </w:r>
          </w:p>
        </w:tc>
        <w:tc>
          <w:tcPr>
            <w:tcW w:w="2119"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Источник мероприятия</w:t>
            </w:r>
          </w:p>
          <w:p>
            <w:pPr>
              <w:pStyle w:val="Style75"/>
              <w:rPr>
                <w:color w:val="000000"/>
                <w:sz w:val="20"/>
                <w:szCs w:val="20"/>
              </w:rPr>
            </w:pPr>
            <w:r>
              <w:rPr>
                <w:color w:val="000000"/>
                <w:sz w:val="20"/>
                <w:szCs w:val="20"/>
              </w:rPr>
              <w:t>(наименование документа)</w:t>
            </w:r>
          </w:p>
        </w:tc>
      </w:tr>
      <w:tr>
        <w:trPr>
          <w:tblHeader w:val="true"/>
          <w:trHeight w:val="381" w:hRule="atLeast"/>
          <w:cantSplit w:val="true"/>
        </w:trPr>
        <w:tc>
          <w:tcPr>
            <w:tcW w:w="654"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1572"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2453"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1676"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1396"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1164" w:type="dxa"/>
            <w:tcBorders>
              <w:top w:val="single" w:sz="4" w:space="0" w:color="000000"/>
              <w:left w:val="single" w:sz="4" w:space="0" w:color="000000"/>
              <w:bottom w:val="single" w:sz="4" w:space="0" w:color="000000"/>
              <w:right w:val="single" w:sz="4" w:space="0" w:color="000000"/>
            </w:tcBorders>
            <w:vAlign w:val="center"/>
          </w:tcPr>
          <w:p>
            <w:pPr>
              <w:pStyle w:val="Style75"/>
              <w:rPr/>
            </w:pPr>
            <w:r>
              <w:rPr>
                <w:color w:val="000000"/>
                <w:sz w:val="20"/>
                <w:szCs w:val="20"/>
              </w:rPr>
              <w:t>Сущест-вующая</w:t>
            </w:r>
          </w:p>
        </w:tc>
        <w:tc>
          <w:tcPr>
            <w:tcW w:w="1164" w:type="dxa"/>
            <w:tcBorders>
              <w:top w:val="single" w:sz="4" w:space="0" w:color="000000"/>
              <w:left w:val="single" w:sz="4" w:space="0" w:color="000000"/>
              <w:bottom w:val="single" w:sz="4" w:space="0" w:color="000000"/>
              <w:right w:val="single" w:sz="4" w:space="0" w:color="000000"/>
            </w:tcBorders>
            <w:vAlign w:val="center"/>
          </w:tcPr>
          <w:p>
            <w:pPr>
              <w:pStyle w:val="Style75"/>
              <w:rPr/>
            </w:pPr>
            <w:r>
              <w:rPr>
                <w:color w:val="000000"/>
                <w:sz w:val="20"/>
                <w:szCs w:val="20"/>
              </w:rPr>
              <w:t>Новая (дополни-тельная)</w:t>
            </w:r>
          </w:p>
        </w:tc>
        <w:tc>
          <w:tcPr>
            <w:tcW w:w="1257" w:type="dxa"/>
            <w:tcBorders>
              <w:top w:val="single" w:sz="4" w:space="0" w:color="000000"/>
              <w:left w:val="single" w:sz="4" w:space="0" w:color="000000"/>
              <w:bottom w:val="single" w:sz="4" w:space="0" w:color="000000"/>
              <w:right w:val="single" w:sz="4" w:space="0" w:color="000000"/>
            </w:tcBorders>
            <w:vAlign w:val="center"/>
          </w:tcPr>
          <w:p>
            <w:pPr>
              <w:pStyle w:val="Style75"/>
              <w:rPr/>
            </w:pPr>
            <w:r>
              <w:rPr>
                <w:color w:val="000000"/>
                <w:sz w:val="20"/>
                <w:szCs w:val="20"/>
              </w:rPr>
              <w:t>Первая очередь (до 2032 г.)</w:t>
            </w:r>
          </w:p>
        </w:tc>
        <w:tc>
          <w:tcPr>
            <w:tcW w:w="1398"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Расчетный срок</w:t>
            </w:r>
          </w:p>
          <w:p>
            <w:pPr>
              <w:pStyle w:val="Style75"/>
              <w:rPr/>
            </w:pPr>
            <w:r>
              <w:rPr>
                <w:color w:val="000000"/>
                <w:sz w:val="20"/>
                <w:szCs w:val="20"/>
              </w:rPr>
              <w:t>(2033-2047 гг.)</w:t>
            </w:r>
          </w:p>
        </w:tc>
        <w:tc>
          <w:tcPr>
            <w:tcW w:w="2119"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r>
      <w:tr>
        <w:trPr>
          <w:trHeight w:val="141" w:hRule="atLeast"/>
          <w:cantSplit w:val="true"/>
        </w:trPr>
        <w:tc>
          <w:tcPr>
            <w:tcW w:w="14853" w:type="dxa"/>
            <w:gridSpan w:val="10"/>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МЕРОПРИЯТИЯ МЕСТНОГО ЗНАЧЕНИЯ (ПОСЕЛЕНИЯ)</w:t>
            </w:r>
          </w:p>
        </w:tc>
      </w:tr>
      <w:tr>
        <w:trPr>
          <w:trHeight w:val="340" w:hRule="atLeast"/>
          <w:cantSplit w:val="true"/>
        </w:trPr>
        <w:tc>
          <w:tcPr>
            <w:tcW w:w="654"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1</w:t>
            </w:r>
          </w:p>
        </w:tc>
        <w:tc>
          <w:tcPr>
            <w:tcW w:w="1572"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д.им. Мулланура Вахитова</w:t>
            </w:r>
          </w:p>
        </w:tc>
        <w:tc>
          <w:tcPr>
            <w:tcW w:w="2453"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pPr>
            <w:r>
              <w:rPr>
                <w:color w:val="000000"/>
                <w:sz w:val="20"/>
                <w:szCs w:val="20"/>
              </w:rPr>
              <w:t>индивидуальный жилищный фонд в существующих границах населенного пункта</w:t>
            </w:r>
          </w:p>
        </w:tc>
        <w:tc>
          <w:tcPr>
            <w:tcW w:w="167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новое строительство</w:t>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га</w:t>
            </w:r>
          </w:p>
        </w:tc>
        <w:tc>
          <w:tcPr>
            <w:tcW w:w="116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16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1,5</w:t>
            </w:r>
          </w:p>
        </w:tc>
        <w:tc>
          <w:tcPr>
            <w:tcW w:w="1257"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398"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2119" w:type="dxa"/>
            <w:vMerge w:val="restart"/>
            <w:tcBorders>
              <w:top w:val="single" w:sz="4" w:space="0" w:color="000000"/>
              <w:left w:val="single" w:sz="4" w:space="0" w:color="000000"/>
              <w:bottom w:val="single" w:sz="4" w:space="0" w:color="000000"/>
              <w:right w:val="single" w:sz="4" w:space="0" w:color="000000"/>
            </w:tcBorders>
          </w:tcPr>
          <w:p>
            <w:pPr>
              <w:pStyle w:val="Normal"/>
              <w:ind w:hanging="0"/>
              <w:jc w:val="center"/>
              <w:rPr>
                <w:color w:val="000000"/>
                <w:sz w:val="20"/>
                <w:szCs w:val="20"/>
              </w:rPr>
            </w:pPr>
            <w:r>
              <w:rPr>
                <w:color w:val="000000"/>
                <w:sz w:val="20"/>
                <w:szCs w:val="20"/>
              </w:rPr>
              <w:t>Проект внесения изменений в генеральный план Вахитовского СП</w:t>
            </w:r>
          </w:p>
        </w:tc>
      </w:tr>
      <w:tr>
        <w:trPr>
          <w:trHeight w:val="340" w:hRule="atLeast"/>
          <w:cantSplit w:val="true"/>
        </w:trPr>
        <w:tc>
          <w:tcPr>
            <w:tcW w:w="654"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1572"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2453"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1676"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тыс.кв.м</w:t>
            </w:r>
          </w:p>
        </w:tc>
        <w:tc>
          <w:tcPr>
            <w:tcW w:w="116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16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1,8</w:t>
            </w:r>
          </w:p>
        </w:tc>
        <w:tc>
          <w:tcPr>
            <w:tcW w:w="1257"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2119"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ind w:hanging="0"/>
              <w:jc w:val="center"/>
              <w:rPr>
                <w:color w:val="000000"/>
                <w:sz w:val="20"/>
                <w:szCs w:val="20"/>
              </w:rPr>
            </w:pPr>
            <w:r>
              <w:rPr>
                <w:color w:val="000000"/>
                <w:sz w:val="20"/>
                <w:szCs w:val="20"/>
              </w:rPr>
            </w:r>
          </w:p>
        </w:tc>
      </w:tr>
      <w:tr>
        <w:trPr>
          <w:trHeight w:val="340" w:hRule="atLeast"/>
          <w:cantSplit w:val="true"/>
        </w:trPr>
        <w:tc>
          <w:tcPr>
            <w:tcW w:w="654"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2</w:t>
            </w:r>
          </w:p>
        </w:tc>
        <w:tc>
          <w:tcPr>
            <w:tcW w:w="1572"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д.им. Мулланура Вахитова</w:t>
            </w:r>
          </w:p>
        </w:tc>
        <w:tc>
          <w:tcPr>
            <w:tcW w:w="2453"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pPr>
            <w:r>
              <w:rPr>
                <w:color w:val="000000"/>
                <w:sz w:val="20"/>
                <w:szCs w:val="20"/>
              </w:rPr>
              <w:t>индивидуальный жилищный фонд в существующих границах населенного пункта</w:t>
            </w:r>
          </w:p>
        </w:tc>
        <w:tc>
          <w:tcPr>
            <w:tcW w:w="167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новое строительство</w:t>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га</w:t>
            </w:r>
          </w:p>
        </w:tc>
        <w:tc>
          <w:tcPr>
            <w:tcW w:w="116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16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1,35</w:t>
            </w:r>
          </w:p>
        </w:tc>
        <w:tc>
          <w:tcPr>
            <w:tcW w:w="1257"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398"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2119" w:type="dxa"/>
            <w:vMerge w:val="restart"/>
            <w:tcBorders>
              <w:top w:val="single" w:sz="4" w:space="0" w:color="000000"/>
              <w:left w:val="single" w:sz="4" w:space="0" w:color="000000"/>
              <w:bottom w:val="single" w:sz="4" w:space="0" w:color="000000"/>
              <w:right w:val="single" w:sz="4" w:space="0" w:color="000000"/>
            </w:tcBorders>
          </w:tcPr>
          <w:p>
            <w:pPr>
              <w:pStyle w:val="Normal"/>
              <w:ind w:hanging="0"/>
              <w:jc w:val="center"/>
              <w:rPr>
                <w:color w:val="000000"/>
                <w:sz w:val="20"/>
                <w:szCs w:val="20"/>
              </w:rPr>
            </w:pPr>
            <w:r>
              <w:rPr>
                <w:color w:val="000000"/>
                <w:sz w:val="20"/>
                <w:szCs w:val="20"/>
              </w:rPr>
              <w:t>Проект внесения изменений в генеральный план Вахитовского СП</w:t>
            </w:r>
          </w:p>
        </w:tc>
      </w:tr>
      <w:tr>
        <w:trPr>
          <w:trHeight w:val="340" w:hRule="atLeast"/>
          <w:cantSplit w:val="true"/>
        </w:trPr>
        <w:tc>
          <w:tcPr>
            <w:tcW w:w="654"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1572"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2453"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1676"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тыс.кв.м</w:t>
            </w:r>
          </w:p>
        </w:tc>
        <w:tc>
          <w:tcPr>
            <w:tcW w:w="116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16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1,56</w:t>
            </w:r>
          </w:p>
        </w:tc>
        <w:tc>
          <w:tcPr>
            <w:tcW w:w="1257"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2119"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ind w:hanging="0"/>
              <w:jc w:val="center"/>
              <w:rPr>
                <w:color w:val="000000"/>
                <w:sz w:val="20"/>
                <w:szCs w:val="20"/>
              </w:rPr>
            </w:pPr>
            <w:r>
              <w:rPr>
                <w:color w:val="000000"/>
                <w:sz w:val="20"/>
                <w:szCs w:val="20"/>
              </w:rPr>
            </w:r>
          </w:p>
        </w:tc>
      </w:tr>
      <w:tr>
        <w:trPr>
          <w:trHeight w:val="340" w:hRule="atLeast"/>
          <w:cantSplit w:val="true"/>
        </w:trPr>
        <w:tc>
          <w:tcPr>
            <w:tcW w:w="654"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3</w:t>
            </w:r>
          </w:p>
        </w:tc>
        <w:tc>
          <w:tcPr>
            <w:tcW w:w="1572"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 xml:space="preserve">п.Бакча-Сарай </w:t>
            </w:r>
          </w:p>
        </w:tc>
        <w:tc>
          <w:tcPr>
            <w:tcW w:w="2453"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pPr>
            <w:r>
              <w:rPr>
                <w:color w:val="000000"/>
                <w:sz w:val="20"/>
                <w:szCs w:val="20"/>
              </w:rPr>
              <w:t>индивидуальный жилищный фонд в существующих границах населенного пункта</w:t>
            </w:r>
          </w:p>
        </w:tc>
        <w:tc>
          <w:tcPr>
            <w:tcW w:w="167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новое строительство</w:t>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га</w:t>
            </w:r>
          </w:p>
        </w:tc>
        <w:tc>
          <w:tcPr>
            <w:tcW w:w="116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16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6,18</w:t>
            </w:r>
          </w:p>
        </w:tc>
        <w:tc>
          <w:tcPr>
            <w:tcW w:w="1257"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398"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2119" w:type="dxa"/>
            <w:vMerge w:val="restart"/>
            <w:tcBorders>
              <w:top w:val="single" w:sz="4" w:space="0" w:color="000000"/>
              <w:left w:val="single" w:sz="4" w:space="0" w:color="000000"/>
              <w:bottom w:val="single" w:sz="4" w:space="0" w:color="000000"/>
              <w:right w:val="single" w:sz="4" w:space="0" w:color="000000"/>
            </w:tcBorders>
          </w:tcPr>
          <w:p>
            <w:pPr>
              <w:pStyle w:val="Normal"/>
              <w:ind w:hanging="0"/>
              <w:jc w:val="center"/>
              <w:rPr>
                <w:color w:val="000000"/>
                <w:sz w:val="20"/>
                <w:szCs w:val="20"/>
              </w:rPr>
            </w:pPr>
            <w:r>
              <w:rPr>
                <w:color w:val="000000"/>
                <w:sz w:val="20"/>
                <w:szCs w:val="20"/>
              </w:rPr>
              <w:t>Проект внесения изменений в генеральный план Вахитовского СП</w:t>
            </w:r>
          </w:p>
        </w:tc>
      </w:tr>
      <w:tr>
        <w:trPr>
          <w:trHeight w:val="340" w:hRule="atLeast"/>
          <w:cantSplit w:val="true"/>
        </w:trPr>
        <w:tc>
          <w:tcPr>
            <w:tcW w:w="654"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1572"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2453"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1676"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тыс.кв.м</w:t>
            </w:r>
          </w:p>
        </w:tc>
        <w:tc>
          <w:tcPr>
            <w:tcW w:w="116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16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7,32</w:t>
            </w:r>
          </w:p>
        </w:tc>
        <w:tc>
          <w:tcPr>
            <w:tcW w:w="1257"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2119"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ind w:hanging="0"/>
              <w:jc w:val="center"/>
              <w:rPr>
                <w:color w:val="000000"/>
                <w:sz w:val="20"/>
                <w:szCs w:val="20"/>
              </w:rPr>
            </w:pPr>
            <w:r>
              <w:rPr>
                <w:color w:val="000000"/>
                <w:sz w:val="20"/>
                <w:szCs w:val="20"/>
              </w:rPr>
            </w:r>
          </w:p>
        </w:tc>
      </w:tr>
      <w:tr>
        <w:trPr>
          <w:trHeight w:val="458" w:hRule="atLeast"/>
          <w:cantSplit w:val="true"/>
        </w:trPr>
        <w:tc>
          <w:tcPr>
            <w:tcW w:w="654"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4</w:t>
            </w:r>
          </w:p>
        </w:tc>
        <w:tc>
          <w:tcPr>
            <w:tcW w:w="1572"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 xml:space="preserve">п.Бакча-Сарай </w:t>
            </w:r>
          </w:p>
        </w:tc>
        <w:tc>
          <w:tcPr>
            <w:tcW w:w="2453"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pPr>
            <w:r>
              <w:rPr>
                <w:color w:val="000000"/>
                <w:sz w:val="20"/>
                <w:szCs w:val="20"/>
              </w:rPr>
              <w:t>индивидуальный жилищный фонд в существующих границах населенного пункта</w:t>
            </w:r>
          </w:p>
        </w:tc>
        <w:tc>
          <w:tcPr>
            <w:tcW w:w="167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новое строительство</w:t>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га</w:t>
            </w:r>
          </w:p>
        </w:tc>
        <w:tc>
          <w:tcPr>
            <w:tcW w:w="116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16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2</w:t>
            </w:r>
          </w:p>
        </w:tc>
        <w:tc>
          <w:tcPr>
            <w:tcW w:w="1257"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398"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2119" w:type="dxa"/>
            <w:vMerge w:val="restart"/>
            <w:tcBorders>
              <w:top w:val="single" w:sz="4" w:space="0" w:color="000000"/>
              <w:left w:val="single" w:sz="4" w:space="0" w:color="000000"/>
              <w:bottom w:val="single" w:sz="4" w:space="0" w:color="000000"/>
              <w:right w:val="single" w:sz="4" w:space="0" w:color="000000"/>
            </w:tcBorders>
          </w:tcPr>
          <w:p>
            <w:pPr>
              <w:pStyle w:val="Normal"/>
              <w:ind w:hanging="0"/>
              <w:jc w:val="center"/>
              <w:rPr/>
            </w:pPr>
            <w:r>
              <w:rPr>
                <w:color w:val="000000"/>
                <w:sz w:val="20"/>
                <w:szCs w:val="20"/>
              </w:rPr>
              <w:t>Проект внесения изменений в генеральный план Вахитовского СП</w:t>
            </w:r>
          </w:p>
        </w:tc>
      </w:tr>
      <w:tr>
        <w:trPr>
          <w:trHeight w:val="457" w:hRule="atLeast"/>
          <w:cantSplit w:val="true"/>
        </w:trPr>
        <w:tc>
          <w:tcPr>
            <w:tcW w:w="654"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1572"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2453"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16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center"/>
              <w:rPr>
                <w:color w:val="000000"/>
                <w:sz w:val="20"/>
                <w:szCs w:val="20"/>
              </w:rPr>
            </w:pPr>
            <w:r>
              <w:rPr>
                <w:color w:val="000000"/>
                <w:sz w:val="20"/>
                <w:szCs w:val="20"/>
              </w:rPr>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тыс.кв.м</w:t>
            </w:r>
          </w:p>
        </w:tc>
        <w:tc>
          <w:tcPr>
            <w:tcW w:w="116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16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2,4</w:t>
            </w:r>
          </w:p>
        </w:tc>
        <w:tc>
          <w:tcPr>
            <w:tcW w:w="1257"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2119" w:type="dxa"/>
            <w:vMerge w:val="continue"/>
            <w:tcBorders>
              <w:top w:val="single" w:sz="4" w:space="0" w:color="000000"/>
              <w:left w:val="single" w:sz="4" w:space="0" w:color="000000"/>
              <w:bottom w:val="single" w:sz="4" w:space="0" w:color="000000"/>
              <w:right w:val="single" w:sz="4" w:space="0" w:color="000000"/>
            </w:tcBorders>
          </w:tcPr>
          <w:p>
            <w:pPr>
              <w:pStyle w:val="Style75"/>
              <w:snapToGrid w:val="false"/>
              <w:rPr>
                <w:color w:val="000000"/>
                <w:sz w:val="20"/>
                <w:szCs w:val="20"/>
              </w:rPr>
            </w:pPr>
            <w:r>
              <w:rPr>
                <w:color w:val="000000"/>
                <w:sz w:val="20"/>
                <w:szCs w:val="20"/>
              </w:rPr>
            </w:r>
          </w:p>
        </w:tc>
      </w:tr>
      <w:tr>
        <w:trPr>
          <w:trHeight w:val="340" w:hRule="atLeast"/>
          <w:cantSplit w:val="true"/>
        </w:trPr>
        <w:tc>
          <w:tcPr>
            <w:tcW w:w="654"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5</w:t>
            </w:r>
          </w:p>
        </w:tc>
        <w:tc>
          <w:tcPr>
            <w:tcW w:w="1572"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с.Ташевка</w:t>
            </w:r>
          </w:p>
        </w:tc>
        <w:tc>
          <w:tcPr>
            <w:tcW w:w="2453"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pPr>
            <w:r>
              <w:rPr>
                <w:color w:val="000000"/>
                <w:sz w:val="20"/>
                <w:szCs w:val="20"/>
              </w:rPr>
              <w:t>индивидуальный жилищный фонд в существующих границах населенного пункта</w:t>
            </w:r>
          </w:p>
        </w:tc>
        <w:tc>
          <w:tcPr>
            <w:tcW w:w="167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новое строительство</w:t>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га</w:t>
            </w:r>
          </w:p>
        </w:tc>
        <w:tc>
          <w:tcPr>
            <w:tcW w:w="116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16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5,20</w:t>
            </w:r>
          </w:p>
        </w:tc>
        <w:tc>
          <w:tcPr>
            <w:tcW w:w="1257"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398"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211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Проект внесения изменений в генеральный план Вахитовского СП</w:t>
            </w:r>
          </w:p>
        </w:tc>
      </w:tr>
      <w:tr>
        <w:trPr>
          <w:trHeight w:val="340" w:hRule="atLeast"/>
          <w:cantSplit w:val="true"/>
        </w:trPr>
        <w:tc>
          <w:tcPr>
            <w:tcW w:w="654"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1572"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2453"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1676"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тыс.кв.м</w:t>
            </w:r>
          </w:p>
        </w:tc>
        <w:tc>
          <w:tcPr>
            <w:tcW w:w="116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16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6,24</w:t>
            </w:r>
          </w:p>
        </w:tc>
        <w:tc>
          <w:tcPr>
            <w:tcW w:w="1257"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2119"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FF0000"/>
                <w:sz w:val="20"/>
                <w:szCs w:val="20"/>
              </w:rPr>
            </w:pPr>
            <w:r>
              <w:rPr>
                <w:color w:val="FF0000"/>
                <w:sz w:val="20"/>
                <w:szCs w:val="20"/>
              </w:rPr>
            </w:r>
          </w:p>
        </w:tc>
      </w:tr>
      <w:tr>
        <w:trPr>
          <w:trHeight w:val="340" w:hRule="atLeast"/>
          <w:cantSplit w:val="true"/>
        </w:trPr>
        <w:tc>
          <w:tcPr>
            <w:tcW w:w="654"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6</w:t>
            </w:r>
          </w:p>
        </w:tc>
        <w:tc>
          <w:tcPr>
            <w:tcW w:w="1572"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с.Ташевка</w:t>
            </w:r>
          </w:p>
        </w:tc>
        <w:tc>
          <w:tcPr>
            <w:tcW w:w="2453"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pPr>
            <w:r>
              <w:rPr>
                <w:color w:val="000000"/>
                <w:sz w:val="20"/>
                <w:szCs w:val="20"/>
              </w:rPr>
              <w:t>индивидуальный жилищный фонд в существующих границах населенного пункта</w:t>
            </w:r>
          </w:p>
        </w:tc>
        <w:tc>
          <w:tcPr>
            <w:tcW w:w="167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новое строительство</w:t>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га</w:t>
            </w:r>
          </w:p>
        </w:tc>
        <w:tc>
          <w:tcPr>
            <w:tcW w:w="116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16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3,22</w:t>
            </w:r>
          </w:p>
        </w:tc>
        <w:tc>
          <w:tcPr>
            <w:tcW w:w="1257"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398"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2119"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pPr>
            <w:r>
              <w:rPr>
                <w:color w:val="000000"/>
                <w:sz w:val="20"/>
                <w:szCs w:val="20"/>
              </w:rPr>
              <w:t>Проект внесения изменений в генеральный план Вахитовского СП</w:t>
            </w:r>
          </w:p>
        </w:tc>
      </w:tr>
      <w:tr>
        <w:trPr>
          <w:trHeight w:val="340" w:hRule="atLeast"/>
          <w:cantSplit w:val="true"/>
        </w:trPr>
        <w:tc>
          <w:tcPr>
            <w:tcW w:w="654"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1572"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2453"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1676"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тыс.кв.м</w:t>
            </w:r>
          </w:p>
        </w:tc>
        <w:tc>
          <w:tcPr>
            <w:tcW w:w="116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16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3,84</w:t>
            </w:r>
          </w:p>
        </w:tc>
        <w:tc>
          <w:tcPr>
            <w:tcW w:w="1257"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2119"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r>
      <w:tr>
        <w:trPr>
          <w:trHeight w:val="340" w:hRule="atLeast"/>
          <w:cantSplit w:val="true"/>
        </w:trPr>
        <w:tc>
          <w:tcPr>
            <w:tcW w:w="654"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7</w:t>
            </w:r>
          </w:p>
        </w:tc>
        <w:tc>
          <w:tcPr>
            <w:tcW w:w="1572"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 xml:space="preserve">д.Ватан </w:t>
            </w:r>
          </w:p>
        </w:tc>
        <w:tc>
          <w:tcPr>
            <w:tcW w:w="2453"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pPr>
            <w:r>
              <w:rPr>
                <w:color w:val="000000"/>
                <w:sz w:val="20"/>
                <w:szCs w:val="20"/>
              </w:rPr>
              <w:t>индивидуальный жилищный фонд в существующих границах населенного пункта</w:t>
            </w:r>
          </w:p>
        </w:tc>
        <w:tc>
          <w:tcPr>
            <w:tcW w:w="167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новое строительство</w:t>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га</w:t>
            </w:r>
          </w:p>
        </w:tc>
        <w:tc>
          <w:tcPr>
            <w:tcW w:w="116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16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1</w:t>
            </w:r>
          </w:p>
        </w:tc>
        <w:tc>
          <w:tcPr>
            <w:tcW w:w="1257"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398"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2119"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pPr>
            <w:r>
              <w:rPr>
                <w:color w:val="000000"/>
                <w:sz w:val="20"/>
                <w:szCs w:val="20"/>
              </w:rPr>
              <w:t>Проект внесения изменений в генеральный план Вахитовского СП</w:t>
            </w:r>
          </w:p>
        </w:tc>
      </w:tr>
      <w:tr>
        <w:trPr>
          <w:trHeight w:val="340" w:hRule="atLeast"/>
          <w:cantSplit w:val="true"/>
        </w:trPr>
        <w:tc>
          <w:tcPr>
            <w:tcW w:w="654"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1572"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2453"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1676"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тыс.кв.м</w:t>
            </w:r>
          </w:p>
        </w:tc>
        <w:tc>
          <w:tcPr>
            <w:tcW w:w="116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16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1,2</w:t>
            </w:r>
          </w:p>
        </w:tc>
        <w:tc>
          <w:tcPr>
            <w:tcW w:w="1257"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2119"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r>
      <w:tr>
        <w:trPr>
          <w:trHeight w:val="458" w:hRule="atLeast"/>
          <w:cantSplit w:val="true"/>
        </w:trPr>
        <w:tc>
          <w:tcPr>
            <w:tcW w:w="654"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8</w:t>
            </w:r>
          </w:p>
        </w:tc>
        <w:tc>
          <w:tcPr>
            <w:tcW w:w="1572"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д.Ватан</w:t>
            </w:r>
          </w:p>
        </w:tc>
        <w:tc>
          <w:tcPr>
            <w:tcW w:w="2453"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pPr>
            <w:r>
              <w:rPr>
                <w:color w:val="000000"/>
                <w:sz w:val="20"/>
                <w:szCs w:val="20"/>
              </w:rPr>
              <w:t>индивидуальный жилищный фонд в существующих границах населенного пункта</w:t>
            </w:r>
          </w:p>
        </w:tc>
        <w:tc>
          <w:tcPr>
            <w:tcW w:w="167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новое строительство</w:t>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га</w:t>
            </w:r>
          </w:p>
        </w:tc>
        <w:tc>
          <w:tcPr>
            <w:tcW w:w="116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16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1,18</w:t>
            </w:r>
          </w:p>
        </w:tc>
        <w:tc>
          <w:tcPr>
            <w:tcW w:w="1257"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398"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2119" w:type="dxa"/>
            <w:vMerge w:val="restart"/>
            <w:tcBorders>
              <w:top w:val="single" w:sz="4" w:space="0" w:color="000000"/>
              <w:left w:val="single" w:sz="4" w:space="0" w:color="000000"/>
              <w:bottom w:val="single" w:sz="4" w:space="0" w:color="000000"/>
              <w:right w:val="single" w:sz="4" w:space="0" w:color="000000"/>
            </w:tcBorders>
          </w:tcPr>
          <w:p>
            <w:pPr>
              <w:pStyle w:val="Normal"/>
              <w:ind w:hanging="0"/>
              <w:jc w:val="center"/>
              <w:rPr>
                <w:color w:val="000000"/>
                <w:sz w:val="20"/>
                <w:szCs w:val="20"/>
              </w:rPr>
            </w:pPr>
            <w:r>
              <w:rPr>
                <w:color w:val="000000"/>
                <w:sz w:val="20"/>
                <w:szCs w:val="20"/>
              </w:rPr>
              <w:t>Проект внесения изменений в генеральный план Вахитовского СП</w:t>
            </w:r>
          </w:p>
        </w:tc>
      </w:tr>
      <w:tr>
        <w:trPr>
          <w:trHeight w:val="457" w:hRule="atLeast"/>
          <w:cantSplit w:val="true"/>
        </w:trPr>
        <w:tc>
          <w:tcPr>
            <w:tcW w:w="654"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1572"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2453"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16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center"/>
              <w:rPr>
                <w:color w:val="000000"/>
                <w:sz w:val="20"/>
                <w:szCs w:val="20"/>
              </w:rPr>
            </w:pPr>
            <w:r>
              <w:rPr>
                <w:color w:val="000000"/>
                <w:sz w:val="20"/>
                <w:szCs w:val="20"/>
              </w:rPr>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тыс.кв.м</w:t>
            </w:r>
          </w:p>
        </w:tc>
        <w:tc>
          <w:tcPr>
            <w:tcW w:w="116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16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1,32</w:t>
            </w:r>
          </w:p>
        </w:tc>
        <w:tc>
          <w:tcPr>
            <w:tcW w:w="1257"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2119"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ind w:hanging="0"/>
              <w:jc w:val="center"/>
              <w:rPr>
                <w:color w:val="000000"/>
                <w:sz w:val="20"/>
                <w:szCs w:val="20"/>
              </w:rPr>
            </w:pPr>
            <w:r>
              <w:rPr>
                <w:color w:val="000000"/>
                <w:sz w:val="20"/>
                <w:szCs w:val="20"/>
              </w:rPr>
            </w:r>
          </w:p>
        </w:tc>
      </w:tr>
      <w:tr>
        <w:trPr>
          <w:trHeight w:val="340" w:hRule="atLeast"/>
          <w:cantSplit w:val="true"/>
        </w:trPr>
        <w:tc>
          <w:tcPr>
            <w:tcW w:w="654"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9</w:t>
            </w:r>
          </w:p>
        </w:tc>
        <w:tc>
          <w:tcPr>
            <w:tcW w:w="1572"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д.Гребени</w:t>
            </w:r>
          </w:p>
        </w:tc>
        <w:tc>
          <w:tcPr>
            <w:tcW w:w="2453"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pPr>
            <w:r>
              <w:rPr>
                <w:color w:val="000000"/>
                <w:sz w:val="20"/>
                <w:szCs w:val="20"/>
              </w:rPr>
              <w:t>индивидуальный жилищный фонд в существующих границах населенного пункта</w:t>
            </w:r>
          </w:p>
        </w:tc>
        <w:tc>
          <w:tcPr>
            <w:tcW w:w="167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новое строительство</w:t>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га</w:t>
            </w:r>
          </w:p>
        </w:tc>
        <w:tc>
          <w:tcPr>
            <w:tcW w:w="116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16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4,4</w:t>
            </w:r>
          </w:p>
        </w:tc>
        <w:tc>
          <w:tcPr>
            <w:tcW w:w="1257"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398"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2119" w:type="dxa"/>
            <w:vMerge w:val="restart"/>
            <w:tcBorders>
              <w:top w:val="single" w:sz="4" w:space="0" w:color="000000"/>
              <w:left w:val="single" w:sz="4" w:space="0" w:color="000000"/>
              <w:bottom w:val="single" w:sz="4" w:space="0" w:color="000000"/>
              <w:right w:val="single" w:sz="4" w:space="0" w:color="000000"/>
            </w:tcBorders>
          </w:tcPr>
          <w:p>
            <w:pPr>
              <w:pStyle w:val="Normal"/>
              <w:ind w:hanging="0"/>
              <w:jc w:val="center"/>
              <w:rPr>
                <w:color w:val="000000"/>
                <w:sz w:val="20"/>
                <w:szCs w:val="20"/>
              </w:rPr>
            </w:pPr>
            <w:r>
              <w:rPr>
                <w:color w:val="000000"/>
                <w:sz w:val="20"/>
                <w:szCs w:val="20"/>
              </w:rPr>
              <w:t>Проект внесения изменений в генеральный план Вахитовского СП</w:t>
            </w:r>
          </w:p>
        </w:tc>
      </w:tr>
      <w:tr>
        <w:trPr>
          <w:trHeight w:val="340" w:hRule="atLeast"/>
          <w:cantSplit w:val="true"/>
        </w:trPr>
        <w:tc>
          <w:tcPr>
            <w:tcW w:w="654"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1572"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2453"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1676"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тыс.кв.м</w:t>
            </w:r>
          </w:p>
        </w:tc>
        <w:tc>
          <w:tcPr>
            <w:tcW w:w="116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16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5,28</w:t>
            </w:r>
          </w:p>
        </w:tc>
        <w:tc>
          <w:tcPr>
            <w:tcW w:w="1257"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2119"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ind w:hanging="0"/>
              <w:jc w:val="center"/>
              <w:rPr>
                <w:color w:val="000000"/>
                <w:sz w:val="20"/>
                <w:szCs w:val="20"/>
              </w:rPr>
            </w:pPr>
            <w:r>
              <w:rPr>
                <w:color w:val="000000"/>
                <w:sz w:val="20"/>
                <w:szCs w:val="20"/>
              </w:rPr>
            </w:r>
          </w:p>
        </w:tc>
      </w:tr>
      <w:tr>
        <w:trPr>
          <w:trHeight w:val="555" w:hRule="atLeast"/>
          <w:cantSplit w:val="true"/>
        </w:trPr>
        <w:tc>
          <w:tcPr>
            <w:tcW w:w="654"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10</w:t>
            </w:r>
          </w:p>
        </w:tc>
        <w:tc>
          <w:tcPr>
            <w:tcW w:w="1572"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д.Гребени</w:t>
            </w:r>
          </w:p>
        </w:tc>
        <w:tc>
          <w:tcPr>
            <w:tcW w:w="2453"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pPr>
            <w:r>
              <w:rPr>
                <w:color w:val="000000"/>
                <w:sz w:val="20"/>
                <w:szCs w:val="20"/>
              </w:rPr>
              <w:t>индивидуальный жилищный фонд в существующих границах населенного пункта</w:t>
            </w:r>
          </w:p>
        </w:tc>
        <w:tc>
          <w:tcPr>
            <w:tcW w:w="167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новое строительство</w:t>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га</w:t>
            </w:r>
          </w:p>
        </w:tc>
        <w:tc>
          <w:tcPr>
            <w:tcW w:w="116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16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4,39</w:t>
            </w:r>
          </w:p>
        </w:tc>
        <w:tc>
          <w:tcPr>
            <w:tcW w:w="1257"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398"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2119" w:type="dxa"/>
            <w:vMerge w:val="restart"/>
            <w:tcBorders>
              <w:top w:val="single" w:sz="4" w:space="0" w:color="000000"/>
              <w:left w:val="single" w:sz="4" w:space="0" w:color="000000"/>
              <w:bottom w:val="single" w:sz="4" w:space="0" w:color="000000"/>
              <w:right w:val="single" w:sz="4" w:space="0" w:color="000000"/>
            </w:tcBorders>
          </w:tcPr>
          <w:p>
            <w:pPr>
              <w:pStyle w:val="Normal"/>
              <w:ind w:hanging="0"/>
              <w:jc w:val="center"/>
              <w:rPr>
                <w:color w:val="000000"/>
                <w:sz w:val="20"/>
                <w:szCs w:val="20"/>
              </w:rPr>
            </w:pPr>
            <w:r>
              <w:rPr>
                <w:color w:val="000000"/>
                <w:sz w:val="20"/>
                <w:szCs w:val="20"/>
              </w:rPr>
              <w:t>Проект внесения изменений в генеральный план Вахитовского СП</w:t>
            </w:r>
          </w:p>
        </w:tc>
      </w:tr>
      <w:tr>
        <w:trPr>
          <w:trHeight w:val="350" w:hRule="atLeast"/>
          <w:cantSplit w:val="true"/>
        </w:trPr>
        <w:tc>
          <w:tcPr>
            <w:tcW w:w="654"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1572"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2453"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16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center"/>
              <w:rPr>
                <w:color w:val="000000"/>
                <w:sz w:val="20"/>
                <w:szCs w:val="20"/>
              </w:rPr>
            </w:pPr>
            <w:r>
              <w:rPr>
                <w:color w:val="000000"/>
                <w:sz w:val="20"/>
                <w:szCs w:val="20"/>
              </w:rPr>
            </w:r>
          </w:p>
        </w:tc>
        <w:tc>
          <w:tcPr>
            <w:tcW w:w="1396"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тыс.кв.м</w:t>
            </w:r>
          </w:p>
        </w:tc>
        <w:tc>
          <w:tcPr>
            <w:tcW w:w="116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16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5,16</w:t>
            </w:r>
          </w:p>
        </w:tc>
        <w:tc>
          <w:tcPr>
            <w:tcW w:w="1257"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1398" w:type="dxa"/>
            <w:vMerge w:val="continue"/>
            <w:tcBorders>
              <w:top w:val="single" w:sz="4" w:space="0" w:color="000000"/>
              <w:left w:val="single" w:sz="4" w:space="0" w:color="000000"/>
              <w:bottom w:val="single" w:sz="4" w:space="0" w:color="000000"/>
              <w:right w:val="single" w:sz="4" w:space="0" w:color="000000"/>
            </w:tcBorders>
            <w:vAlign w:val="center"/>
          </w:tcPr>
          <w:p>
            <w:pPr>
              <w:pStyle w:val="Style75"/>
              <w:snapToGrid w:val="false"/>
              <w:rPr>
                <w:color w:val="000000"/>
                <w:sz w:val="20"/>
                <w:szCs w:val="20"/>
              </w:rPr>
            </w:pPr>
            <w:r>
              <w:rPr>
                <w:color w:val="000000"/>
                <w:sz w:val="20"/>
                <w:szCs w:val="20"/>
              </w:rPr>
            </w:r>
          </w:p>
        </w:tc>
        <w:tc>
          <w:tcPr>
            <w:tcW w:w="2119" w:type="dxa"/>
            <w:vMerge w:val="continue"/>
            <w:tcBorders>
              <w:top w:val="single" w:sz="4" w:space="0" w:color="000000"/>
              <w:left w:val="single" w:sz="4" w:space="0" w:color="000000"/>
              <w:bottom w:val="single" w:sz="4" w:space="0" w:color="000000"/>
              <w:right w:val="single" w:sz="4" w:space="0" w:color="000000"/>
            </w:tcBorders>
          </w:tcPr>
          <w:p>
            <w:pPr>
              <w:pStyle w:val="Style75"/>
              <w:snapToGrid w:val="false"/>
              <w:rPr>
                <w:color w:val="000000"/>
                <w:sz w:val="20"/>
                <w:szCs w:val="20"/>
              </w:rPr>
            </w:pPr>
            <w:r>
              <w:rPr>
                <w:color w:val="000000"/>
                <w:sz w:val="20"/>
                <w:szCs w:val="20"/>
              </w:rPr>
            </w:r>
          </w:p>
        </w:tc>
      </w:tr>
    </w:tbl>
    <w:p>
      <w:pPr>
        <w:pStyle w:val="Normal"/>
        <w:ind w:hanging="0"/>
        <w:rPr>
          <w:color w:val="000000"/>
          <w:szCs w:val="28"/>
        </w:rPr>
      </w:pPr>
      <w:r>
        <w:rPr>
          <w:color w:val="000000"/>
          <w:szCs w:val="28"/>
        </w:rPr>
      </w:r>
    </w:p>
    <w:p>
      <w:pPr>
        <w:sectPr>
          <w:footerReference w:type="default" r:id="rId116"/>
          <w:footerReference w:type="first" r:id="rId117"/>
          <w:footnotePr>
            <w:numFmt w:val="decimal"/>
          </w:footnotePr>
          <w:type w:val="nextPage"/>
          <w:pgSz w:orient="landscape" w:w="16838" w:h="11906"/>
          <w:pgMar w:left="1134" w:right="851" w:gutter="0" w:header="0" w:top="851" w:footer="709" w:bottom="851"/>
          <w:pgNumType w:fmt="decimal"/>
          <w:formProt w:val="false"/>
          <w:textDirection w:val="lrTb"/>
          <w:docGrid w:type="default" w:linePitch="360" w:charSpace="0"/>
        </w:sectPr>
        <w:pStyle w:val="Normal"/>
        <w:ind w:hanging="0"/>
        <w:rPr>
          <w:color w:val="000000"/>
          <w:szCs w:val="28"/>
        </w:rPr>
      </w:pPr>
      <w:r>
        <w:rPr>
          <w:color w:val="000000"/>
          <w:szCs w:val="28"/>
        </w:rPr>
      </w:r>
    </w:p>
    <w:p>
      <w:pPr>
        <w:pStyle w:val="2"/>
        <w:numPr>
          <w:ilvl w:val="1"/>
          <w:numId w:val="7"/>
        </w:numPr>
        <w:rPr>
          <w:color w:val="000000"/>
          <w:lang w:val="ru-RU"/>
        </w:rPr>
      </w:pPr>
      <w:bookmarkStart w:id="304" w:name="__RefHeading___Toc156489434"/>
      <w:bookmarkEnd w:id="304"/>
      <w:r>
        <w:rPr>
          <w:color w:val="000000"/>
        </w:rPr>
        <w:t xml:space="preserve">Развитие </w:t>
      </w:r>
      <w:r>
        <w:rPr>
          <w:color w:val="000000"/>
          <w:lang w:val="ru-RU"/>
        </w:rPr>
        <w:t>объектов социального и культурно-бытового</w:t>
      </w:r>
      <w:r>
        <w:rPr>
          <w:color w:val="000000"/>
        </w:rPr>
        <w:t xml:space="preserve"> обслуживания населения</w:t>
      </w:r>
    </w:p>
    <w:p>
      <w:pPr>
        <w:pStyle w:val="Style30"/>
        <w:spacing w:before="0" w:after="0"/>
        <w:rPr/>
      </w:pPr>
      <w:r>
        <w:rPr>
          <w:color w:val="000000"/>
          <w:szCs w:val="28"/>
        </w:rPr>
        <w:t xml:space="preserve">Одной из основных целей генерального плана </w:t>
      </w:r>
      <w:r>
        <w:rPr>
          <w:color w:val="000000"/>
          <w:szCs w:val="28"/>
          <w:lang w:val="ru-RU"/>
        </w:rPr>
        <w:t>Вахитовского</w:t>
      </w:r>
      <w:r>
        <w:rPr>
          <w:color w:val="000000"/>
          <w:szCs w:val="28"/>
        </w:rPr>
        <w:t xml:space="preserve"> сельского поселения является удовлетворение потребностей населения в объектах обслуживания с учетом прогнозируемых характеристик и социальных норм, а также обеспечение равных условий доступности объектов обслуживания для всех жителей.</w:t>
      </w:r>
    </w:p>
    <w:p>
      <w:pPr>
        <w:pStyle w:val="Style30"/>
        <w:spacing w:before="0" w:after="0"/>
        <w:rPr/>
      </w:pPr>
      <w:r>
        <w:rPr>
          <w:color w:val="000000"/>
          <w:szCs w:val="28"/>
        </w:rPr>
        <w:t xml:space="preserve">Мероприятия по размещению объектов обслуживания в Вахитовском сельском поселении определены с учетом мероприятий схемы территориального планирования Верхнеуслонского муниципального района </w:t>
      </w:r>
      <w:r>
        <w:rPr>
          <w:color w:val="000000"/>
          <w:szCs w:val="28"/>
          <w:lang w:val="ru-RU"/>
        </w:rPr>
        <w:t>Республики Татарстан.</w:t>
      </w:r>
    </w:p>
    <w:p>
      <w:pPr>
        <w:pStyle w:val="Style30"/>
        <w:spacing w:before="0" w:after="0"/>
        <w:rPr/>
      </w:pPr>
      <w:r>
        <w:rPr>
          <w:color w:val="000000"/>
          <w:szCs w:val="28"/>
        </w:rPr>
        <w:t>Расчет необходимых мощностей объектов обслуживания согласно действующим нормативам представлен в таблице 4.7.1.</w:t>
      </w:r>
    </w:p>
    <w:p>
      <w:pPr>
        <w:pStyle w:val="Style30"/>
        <w:spacing w:before="0" w:after="0"/>
        <w:rPr/>
      </w:pPr>
      <w:r>
        <w:rPr>
          <w:color w:val="000000"/>
          <w:szCs w:val="28"/>
          <w:lang w:val="ru-RU"/>
        </w:rPr>
        <w:t>Перечень мероприятий по развитию объектов социального и культурно-бытового обслуживания населения Вахитовского сельского поселения представлен в таблице 4.7.2.</w:t>
      </w:r>
    </w:p>
    <w:p>
      <w:pPr>
        <w:pStyle w:val="113"/>
        <w:spacing w:lineRule="auto" w:line="240"/>
        <w:rPr>
          <w:color w:val="FF0066"/>
          <w:sz w:val="28"/>
          <w:szCs w:val="28"/>
          <w:lang w:val="ru-RU"/>
        </w:rPr>
      </w:pPr>
      <w:r>
        <w:rPr>
          <w:color w:val="FF0066"/>
          <w:sz w:val="28"/>
          <w:szCs w:val="28"/>
          <w:lang w:val="ru-RU"/>
        </w:rPr>
      </w:r>
    </w:p>
    <w:p>
      <w:pPr>
        <w:sectPr>
          <w:footerReference w:type="default" r:id="rId118"/>
          <w:footerReference w:type="first" r:id="rId119"/>
          <w:footnotePr>
            <w:numFmt w:val="decimal"/>
          </w:footnotePr>
          <w:type w:val="nextPage"/>
          <w:pgSz w:w="11906" w:h="16838"/>
          <w:pgMar w:left="1134" w:right="851" w:gutter="0" w:header="0" w:top="851" w:footer="708" w:bottom="851"/>
          <w:pgNumType w:fmt="decimal"/>
          <w:formProt w:val="false"/>
          <w:textDirection w:val="lrTb"/>
          <w:docGrid w:type="default" w:linePitch="360" w:charSpace="0"/>
        </w:sectPr>
        <w:pStyle w:val="113"/>
        <w:spacing w:lineRule="auto" w:line="240"/>
        <w:rPr>
          <w:color w:val="FF0066"/>
          <w:sz w:val="28"/>
          <w:szCs w:val="28"/>
          <w:lang w:val="ru-RU"/>
        </w:rPr>
      </w:pPr>
      <w:r>
        <w:rPr>
          <w:color w:val="FF0066"/>
          <w:sz w:val="28"/>
          <w:szCs w:val="28"/>
          <w:lang w:val="ru-RU"/>
        </w:rPr>
      </w:r>
    </w:p>
    <w:p>
      <w:pPr>
        <w:pStyle w:val="Style78"/>
        <w:rPr/>
      </w:pPr>
      <w:r>
        <w:rPr>
          <w:color w:val="000000"/>
        </w:rPr>
        <w:t>Таблица 4.7.1</w:t>
      </w:r>
    </w:p>
    <w:p>
      <w:pPr>
        <w:pStyle w:val="Style76"/>
        <w:ind w:firstLine="700"/>
        <w:jc w:val="center"/>
        <w:rPr/>
      </w:pPr>
      <w:r>
        <w:rPr>
          <w:color w:val="000000"/>
          <w:sz w:val="28"/>
          <w:szCs w:val="28"/>
        </w:rPr>
        <w:t xml:space="preserve">Расчет необходимой мощности объектов социально-культурного и коммунально-бытового обслуживания          </w:t>
      </w:r>
    </w:p>
    <w:p>
      <w:pPr>
        <w:pStyle w:val="Style76"/>
        <w:ind w:firstLine="700"/>
        <w:jc w:val="center"/>
        <w:rPr/>
      </w:pPr>
      <w:r>
        <w:rPr>
          <w:color w:val="000000"/>
          <w:sz w:val="28"/>
          <w:szCs w:val="28"/>
          <w:lang w:val="ru-RU"/>
        </w:rPr>
        <w:t>Вахитовского</w:t>
      </w:r>
      <w:r>
        <w:rPr/>
        <w:t xml:space="preserve"> сельского поселения (для наличного населения)</w:t>
      </w:r>
    </w:p>
    <w:tbl>
      <w:tblPr>
        <w:tblW w:w="15069" w:type="dxa"/>
        <w:jc w:val="center"/>
        <w:tblInd w:w="0" w:type="dxa"/>
        <w:tblLayout w:type="fixed"/>
        <w:tblCellMar>
          <w:top w:w="0" w:type="dxa"/>
          <w:left w:w="108" w:type="dxa"/>
          <w:bottom w:w="0" w:type="dxa"/>
          <w:right w:w="108" w:type="dxa"/>
        </w:tblCellMar>
      </w:tblPr>
      <w:tblGrid>
        <w:gridCol w:w="2067"/>
        <w:gridCol w:w="1362"/>
        <w:gridCol w:w="1542"/>
        <w:gridCol w:w="1483"/>
        <w:gridCol w:w="857"/>
        <w:gridCol w:w="851"/>
        <w:gridCol w:w="1483"/>
        <w:gridCol w:w="857"/>
        <w:gridCol w:w="851"/>
        <w:gridCol w:w="724"/>
        <w:gridCol w:w="1434"/>
        <w:gridCol w:w="1558"/>
      </w:tblGrid>
      <w:tr>
        <w:trPr>
          <w:tblHeader w:val="true"/>
          <w:trHeight w:val="525" w:hRule="atLeast"/>
        </w:trPr>
        <w:tc>
          <w:tcPr>
            <w:tcW w:w="20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bookmarkStart w:id="305" w:name="_Hlk150434690"/>
            <w:bookmarkEnd w:id="305"/>
            <w:r>
              <w:rPr>
                <w:color w:val="000000"/>
                <w:sz w:val="20"/>
                <w:szCs w:val="20"/>
              </w:rPr>
              <w:t>Наименование</w:t>
            </w:r>
          </w:p>
        </w:tc>
        <w:tc>
          <w:tcPr>
            <w:tcW w:w="136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Единица измерения</w:t>
            </w:r>
          </w:p>
        </w:tc>
        <w:tc>
          <w:tcPr>
            <w:tcW w:w="154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Норма</w:t>
            </w:r>
          </w:p>
        </w:tc>
        <w:tc>
          <w:tcPr>
            <w:tcW w:w="148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Существующее положение</w:t>
            </w:r>
          </w:p>
        </w:tc>
        <w:tc>
          <w:tcPr>
            <w:tcW w:w="1708"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Потребность для сельского поселения</w:t>
            </w:r>
          </w:p>
        </w:tc>
        <w:tc>
          <w:tcPr>
            <w:tcW w:w="148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 xml:space="preserve">Существующее сохраняемое </w:t>
            </w:r>
          </w:p>
        </w:tc>
        <w:tc>
          <w:tcPr>
            <w:tcW w:w="2432" w:type="dxa"/>
            <w:gridSpan w:val="3"/>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Потребное новое строительство</w:t>
            </w:r>
          </w:p>
        </w:tc>
        <w:tc>
          <w:tcPr>
            <w:tcW w:w="143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Предлагаемое новое строительство/</w:t>
            </w:r>
          </w:p>
          <w:p>
            <w:pPr>
              <w:pStyle w:val="Normal"/>
              <w:ind w:hanging="0"/>
              <w:jc w:val="center"/>
              <w:rPr/>
            </w:pPr>
            <w:r>
              <w:rPr>
                <w:color w:val="000000"/>
                <w:sz w:val="20"/>
                <w:szCs w:val="20"/>
              </w:rPr>
              <w:t>увеличение мощности объектов к 2047 г.</w:t>
            </w:r>
          </w:p>
        </w:tc>
        <w:tc>
          <w:tcPr>
            <w:tcW w:w="155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 xml:space="preserve">Обеспеченность к 2047г. </w:t>
            </w:r>
          </w:p>
          <w:p>
            <w:pPr>
              <w:pStyle w:val="Normal"/>
              <w:ind w:hanging="0"/>
              <w:jc w:val="center"/>
              <w:rPr/>
            </w:pPr>
            <w:r>
              <w:rPr>
                <w:color w:val="000000"/>
                <w:sz w:val="20"/>
                <w:szCs w:val="20"/>
              </w:rPr>
              <w:t>(с учетом реализации мероприятий по строительству объектов обслуживания</w:t>
            </w:r>
            <w:r>
              <w:rPr>
                <w:color w:val="000000"/>
                <w:sz w:val="20"/>
                <w:szCs w:val="20"/>
                <w:vertAlign w:val="superscript"/>
              </w:rPr>
              <w:t>4</w:t>
            </w:r>
            <w:r>
              <w:rPr>
                <w:color w:val="000000"/>
                <w:sz w:val="20"/>
                <w:szCs w:val="20"/>
              </w:rPr>
              <w:t>),</w:t>
              <w:br/>
              <w:t>%</w:t>
            </w:r>
          </w:p>
        </w:tc>
      </w:tr>
      <w:tr>
        <w:trPr>
          <w:tblHeader w:val="true"/>
          <w:trHeight w:val="1140" w:hRule="atLeast"/>
        </w:trPr>
        <w:tc>
          <w:tcPr>
            <w:tcW w:w="206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rPr>
                <w:color w:val="000000"/>
                <w:sz w:val="20"/>
                <w:szCs w:val="20"/>
              </w:rPr>
            </w:pPr>
            <w:r>
              <w:rPr>
                <w:color w:val="000000"/>
                <w:sz w:val="20"/>
                <w:szCs w:val="20"/>
              </w:rPr>
            </w:r>
          </w:p>
        </w:tc>
        <w:tc>
          <w:tcPr>
            <w:tcW w:w="136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rPr>
                <w:color w:val="000000"/>
                <w:sz w:val="20"/>
                <w:szCs w:val="20"/>
              </w:rPr>
            </w:pPr>
            <w:r>
              <w:rPr>
                <w:color w:val="000000"/>
                <w:sz w:val="20"/>
                <w:szCs w:val="20"/>
              </w:rPr>
            </w:r>
          </w:p>
        </w:tc>
        <w:tc>
          <w:tcPr>
            <w:tcW w:w="154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rPr>
                <w:color w:val="000000"/>
                <w:sz w:val="20"/>
                <w:szCs w:val="20"/>
              </w:rPr>
            </w:pPr>
            <w:r>
              <w:rPr>
                <w:color w:val="000000"/>
                <w:sz w:val="20"/>
                <w:szCs w:val="20"/>
              </w:rPr>
            </w:r>
          </w:p>
        </w:tc>
        <w:tc>
          <w:tcPr>
            <w:tcW w:w="148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rPr>
                <w:color w:val="000000"/>
                <w:sz w:val="20"/>
                <w:szCs w:val="20"/>
              </w:rPr>
            </w:pPr>
            <w:r>
              <w:rPr>
                <w:color w:val="000000"/>
                <w:sz w:val="20"/>
                <w:szCs w:val="20"/>
              </w:rPr>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Первая очередь (2032 г.)</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 xml:space="preserve">Расч. срок (2047г.) </w:t>
            </w:r>
          </w:p>
        </w:tc>
        <w:tc>
          <w:tcPr>
            <w:tcW w:w="148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center"/>
              <w:rPr>
                <w:color w:val="FF0066"/>
                <w:sz w:val="20"/>
                <w:szCs w:val="20"/>
              </w:rPr>
            </w:pPr>
            <w:r>
              <w:rPr>
                <w:color w:val="FF0066"/>
                <w:sz w:val="20"/>
                <w:szCs w:val="20"/>
              </w:rPr>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Первая очередь</w:t>
            </w:r>
          </w:p>
          <w:p>
            <w:pPr>
              <w:pStyle w:val="Normal"/>
              <w:ind w:hanging="0"/>
              <w:jc w:val="center"/>
              <w:rPr/>
            </w:pPr>
            <w:r>
              <w:rPr>
                <w:color w:val="000000"/>
                <w:sz w:val="20"/>
                <w:szCs w:val="20"/>
              </w:rPr>
              <w:t>(до 2032г.)</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Расч.</w:t>
            </w:r>
          </w:p>
          <w:p>
            <w:pPr>
              <w:pStyle w:val="Normal"/>
              <w:ind w:hanging="0"/>
              <w:jc w:val="center"/>
              <w:rPr>
                <w:color w:val="000000"/>
                <w:sz w:val="20"/>
                <w:szCs w:val="20"/>
              </w:rPr>
            </w:pPr>
            <w:r>
              <w:rPr>
                <w:color w:val="000000"/>
                <w:sz w:val="20"/>
                <w:szCs w:val="20"/>
              </w:rPr>
              <w:t>срок</w:t>
            </w:r>
          </w:p>
          <w:p>
            <w:pPr>
              <w:pStyle w:val="Normal"/>
              <w:ind w:hanging="0"/>
              <w:jc w:val="center"/>
              <w:rPr/>
            </w:pPr>
            <w:r>
              <w:rPr>
                <w:color w:val="000000"/>
                <w:sz w:val="20"/>
                <w:szCs w:val="20"/>
              </w:rPr>
              <w:t>(2033г.-2047г.)</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Всего к 2047г.</w:t>
            </w:r>
          </w:p>
          <w:p>
            <w:pPr>
              <w:pStyle w:val="Normal"/>
              <w:ind w:hanging="0"/>
              <w:jc w:val="center"/>
              <w:rPr>
                <w:color w:val="000000"/>
                <w:sz w:val="20"/>
                <w:szCs w:val="20"/>
              </w:rPr>
            </w:pPr>
            <w:r>
              <w:rPr>
                <w:color w:val="000000"/>
                <w:sz w:val="20"/>
                <w:szCs w:val="20"/>
              </w:rPr>
            </w:r>
          </w:p>
        </w:tc>
        <w:tc>
          <w:tcPr>
            <w:tcW w:w="14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center"/>
              <w:rPr>
                <w:color w:val="FF0066"/>
                <w:sz w:val="20"/>
                <w:szCs w:val="20"/>
              </w:rPr>
            </w:pPr>
            <w:r>
              <w:rPr>
                <w:color w:val="FF0066"/>
                <w:sz w:val="20"/>
                <w:szCs w:val="20"/>
              </w:rPr>
            </w:r>
          </w:p>
        </w:tc>
        <w:tc>
          <w:tcPr>
            <w:tcW w:w="155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rPr>
                <w:color w:val="FF0066"/>
                <w:sz w:val="20"/>
                <w:szCs w:val="20"/>
              </w:rPr>
            </w:pPr>
            <w:r>
              <w:rPr>
                <w:color w:val="FF0066"/>
                <w:sz w:val="20"/>
                <w:szCs w:val="20"/>
              </w:rPr>
            </w:r>
          </w:p>
        </w:tc>
      </w:tr>
      <w:tr>
        <w:trPr>
          <w:trHeight w:val="765" w:hRule="atLeast"/>
        </w:trPr>
        <w:tc>
          <w:tcPr>
            <w:tcW w:w="20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bookmarkStart w:id="306" w:name="_Hlk150434607"/>
            <w:bookmarkEnd w:id="306"/>
            <w:r>
              <w:rPr>
                <w:color w:val="000000"/>
                <w:sz w:val="20"/>
                <w:szCs w:val="20"/>
              </w:rPr>
              <w:t>Дошкольные образовательные организации</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место</w:t>
            </w:r>
          </w:p>
        </w:tc>
        <w:tc>
          <w:tcPr>
            <w:tcW w:w="154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45 мест на 100 детей от</w:t>
              <w:br/>
              <w:t>0-7 лет</w:t>
            </w:r>
          </w:p>
        </w:tc>
        <w:tc>
          <w:tcPr>
            <w:tcW w:w="14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отсутствуют</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29</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41</w:t>
            </w:r>
          </w:p>
        </w:tc>
        <w:tc>
          <w:tcPr>
            <w:tcW w:w="14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29</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41</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41</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100</w:t>
            </w:r>
          </w:p>
        </w:tc>
      </w:tr>
      <w:tr>
        <w:trPr>
          <w:trHeight w:val="645" w:hRule="atLeast"/>
        </w:trPr>
        <w:tc>
          <w:tcPr>
            <w:tcW w:w="20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Общеобразовательные организации</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место</w:t>
            </w:r>
          </w:p>
        </w:tc>
        <w:tc>
          <w:tcPr>
            <w:tcW w:w="154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45 мест на 100 детей 7-18 лет</w:t>
            </w:r>
          </w:p>
        </w:tc>
        <w:tc>
          <w:tcPr>
            <w:tcW w:w="14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162</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34</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48</w:t>
            </w:r>
          </w:p>
        </w:tc>
        <w:tc>
          <w:tcPr>
            <w:tcW w:w="14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162</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338</w:t>
            </w:r>
            <w:r>
              <w:rPr>
                <w:color w:val="000000"/>
                <w:sz w:val="20"/>
                <w:szCs w:val="20"/>
                <w:vertAlign w:val="superscript"/>
              </w:rPr>
              <w:t>3</w:t>
            </w:r>
          </w:p>
        </w:tc>
      </w:tr>
      <w:tr>
        <w:trPr>
          <w:trHeight w:val="765" w:hRule="atLeast"/>
        </w:trPr>
        <w:tc>
          <w:tcPr>
            <w:tcW w:w="20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Организации дополнительного образования детей</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место</w:t>
            </w:r>
          </w:p>
        </w:tc>
        <w:tc>
          <w:tcPr>
            <w:tcW w:w="154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11 мест на 100 детей от 5-18 лет</w:t>
            </w:r>
          </w:p>
        </w:tc>
        <w:tc>
          <w:tcPr>
            <w:tcW w:w="14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отсутствуют</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11</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15</w:t>
            </w:r>
          </w:p>
        </w:tc>
        <w:tc>
          <w:tcPr>
            <w:tcW w:w="14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11</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15</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15</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100</w:t>
            </w:r>
            <w:r>
              <w:rPr>
                <w:color w:val="000000"/>
                <w:sz w:val="20"/>
                <w:szCs w:val="20"/>
                <w:vertAlign w:val="superscript"/>
              </w:rPr>
              <w:t>1</w:t>
            </w:r>
          </w:p>
        </w:tc>
      </w:tr>
      <w:tr>
        <w:trPr>
          <w:trHeight w:val="510" w:hRule="atLeast"/>
        </w:trPr>
        <w:tc>
          <w:tcPr>
            <w:tcW w:w="20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Больницы</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 xml:space="preserve">койка </w:t>
            </w:r>
          </w:p>
        </w:tc>
        <w:tc>
          <w:tcPr>
            <w:tcW w:w="154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7,5 коек на 1000 человек</w:t>
            </w:r>
          </w:p>
        </w:tc>
        <w:tc>
          <w:tcPr>
            <w:tcW w:w="14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отсутствуют</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1483"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ind w:hanging="0"/>
              <w:jc w:val="center"/>
              <w:rPr>
                <w:color w:val="000000"/>
                <w:sz w:val="20"/>
                <w:szCs w:val="20"/>
              </w:rPr>
            </w:pPr>
            <w:r>
              <w:rPr>
                <w:color w:val="000000"/>
                <w:sz w:val="20"/>
                <w:szCs w:val="20"/>
              </w:rPr>
              <w:t>-</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 </w:t>
            </w:r>
            <w:r>
              <w:rPr>
                <w:color w:val="000000"/>
                <w:sz w:val="20"/>
                <w:szCs w:val="20"/>
              </w:rPr>
              <w:t>0</w:t>
            </w:r>
            <w:r>
              <w:rPr>
                <w:color w:val="000000"/>
                <w:sz w:val="20"/>
                <w:szCs w:val="20"/>
                <w:vertAlign w:val="superscript"/>
              </w:rPr>
              <w:t>2</w:t>
            </w:r>
          </w:p>
        </w:tc>
      </w:tr>
      <w:tr>
        <w:trPr>
          <w:trHeight w:val="90" w:hRule="atLeast"/>
        </w:trPr>
        <w:tc>
          <w:tcPr>
            <w:tcW w:w="20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Станции скорой медицинской помощи</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автомобиль</w:t>
            </w:r>
          </w:p>
        </w:tc>
        <w:tc>
          <w:tcPr>
            <w:tcW w:w="154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 автомобиль на 10000 чел.</w:t>
            </w:r>
          </w:p>
        </w:tc>
        <w:tc>
          <w:tcPr>
            <w:tcW w:w="14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отсутствуют</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14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 </w:t>
            </w:r>
            <w:r>
              <w:rPr>
                <w:color w:val="000000"/>
                <w:sz w:val="20"/>
                <w:szCs w:val="20"/>
              </w:rPr>
              <w:t>0</w:t>
            </w:r>
            <w:r>
              <w:rPr>
                <w:color w:val="000000"/>
                <w:sz w:val="20"/>
                <w:szCs w:val="20"/>
                <w:vertAlign w:val="superscript"/>
              </w:rPr>
              <w:t>2</w:t>
            </w:r>
          </w:p>
        </w:tc>
      </w:tr>
      <w:tr>
        <w:trPr>
          <w:trHeight w:val="932" w:hRule="atLeast"/>
        </w:trPr>
        <w:tc>
          <w:tcPr>
            <w:tcW w:w="20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Лечебно-профилактические медицинские организации</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посещение в смену</w:t>
            </w:r>
          </w:p>
        </w:tc>
        <w:tc>
          <w:tcPr>
            <w:tcW w:w="154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19,7 посещений в смену на 1000 чел.</w:t>
            </w:r>
          </w:p>
        </w:tc>
        <w:tc>
          <w:tcPr>
            <w:tcW w:w="14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10</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15</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21</w:t>
            </w:r>
          </w:p>
        </w:tc>
        <w:tc>
          <w:tcPr>
            <w:tcW w:w="14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10</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6</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11</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11</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100</w:t>
            </w:r>
          </w:p>
        </w:tc>
      </w:tr>
      <w:tr>
        <w:trPr>
          <w:trHeight w:val="510" w:hRule="atLeast"/>
        </w:trPr>
        <w:tc>
          <w:tcPr>
            <w:tcW w:w="20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Спортивные залы</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объект</w:t>
            </w:r>
          </w:p>
        </w:tc>
        <w:tc>
          <w:tcPr>
            <w:tcW w:w="154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 объект на 1000 чел.</w:t>
            </w:r>
          </w:p>
        </w:tc>
        <w:tc>
          <w:tcPr>
            <w:tcW w:w="14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отсутствуют</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14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100</w:t>
            </w:r>
          </w:p>
        </w:tc>
      </w:tr>
      <w:tr>
        <w:trPr>
          <w:trHeight w:val="90" w:hRule="atLeast"/>
        </w:trPr>
        <w:tc>
          <w:tcPr>
            <w:tcW w:w="20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Бассейны</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объект</w:t>
            </w:r>
          </w:p>
        </w:tc>
        <w:tc>
          <w:tcPr>
            <w:tcW w:w="154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 объект на муниципальный район</w:t>
            </w:r>
          </w:p>
        </w:tc>
        <w:tc>
          <w:tcPr>
            <w:tcW w:w="14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отсутствуют</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14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0</w:t>
            </w:r>
            <w:r>
              <w:rPr>
                <w:color w:val="000000"/>
                <w:sz w:val="20"/>
                <w:szCs w:val="20"/>
                <w:vertAlign w:val="superscript"/>
              </w:rPr>
              <w:t>2</w:t>
            </w:r>
          </w:p>
        </w:tc>
      </w:tr>
      <w:tr>
        <w:trPr>
          <w:trHeight w:val="510" w:hRule="atLeast"/>
        </w:trPr>
        <w:tc>
          <w:tcPr>
            <w:tcW w:w="20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Плоскостные спортивные сооружения</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объект</w:t>
            </w:r>
          </w:p>
        </w:tc>
        <w:tc>
          <w:tcPr>
            <w:tcW w:w="154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 объект на 1000 чел.</w:t>
            </w:r>
          </w:p>
        </w:tc>
        <w:tc>
          <w:tcPr>
            <w:tcW w:w="14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отсутствуют</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14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100</w:t>
            </w:r>
            <w:r>
              <w:rPr>
                <w:color w:val="000000"/>
                <w:sz w:val="20"/>
                <w:szCs w:val="20"/>
                <w:vertAlign w:val="superscript"/>
              </w:rPr>
              <w:t>3</w:t>
            </w:r>
          </w:p>
        </w:tc>
      </w:tr>
      <w:tr>
        <w:trPr>
          <w:trHeight w:val="305" w:hRule="atLeast"/>
        </w:trPr>
        <w:tc>
          <w:tcPr>
            <w:tcW w:w="20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Клубы, Дома культуры</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место</w:t>
            </w:r>
          </w:p>
        </w:tc>
        <w:tc>
          <w:tcPr>
            <w:tcW w:w="154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 xml:space="preserve">300 мест на 1000 чел. </w:t>
            </w:r>
          </w:p>
          <w:p>
            <w:pPr>
              <w:pStyle w:val="Normal"/>
              <w:ind w:hanging="0"/>
              <w:jc w:val="center"/>
              <w:rPr>
                <w:color w:val="000000"/>
                <w:sz w:val="20"/>
                <w:szCs w:val="20"/>
              </w:rPr>
            </w:pPr>
            <w:r>
              <w:rPr>
                <w:color w:val="000000"/>
                <w:sz w:val="20"/>
                <w:szCs w:val="20"/>
              </w:rPr>
            </w:r>
          </w:p>
        </w:tc>
        <w:tc>
          <w:tcPr>
            <w:tcW w:w="14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150</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229</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323</w:t>
            </w:r>
          </w:p>
        </w:tc>
        <w:tc>
          <w:tcPr>
            <w:tcW w:w="14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150</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79</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94</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173</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173</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100</w:t>
            </w:r>
          </w:p>
        </w:tc>
      </w:tr>
      <w:tr>
        <w:trPr>
          <w:trHeight w:val="255" w:hRule="atLeast"/>
        </w:trPr>
        <w:tc>
          <w:tcPr>
            <w:tcW w:w="20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Библиотеки</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тыс. экз.</w:t>
            </w:r>
          </w:p>
        </w:tc>
        <w:tc>
          <w:tcPr>
            <w:tcW w:w="154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6 тыс.экз. на 1000 чел.</w:t>
            </w:r>
          </w:p>
        </w:tc>
        <w:tc>
          <w:tcPr>
            <w:tcW w:w="14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10,3</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4,572</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6,45</w:t>
            </w:r>
          </w:p>
        </w:tc>
        <w:tc>
          <w:tcPr>
            <w:tcW w:w="14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10,3</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100</w:t>
            </w:r>
          </w:p>
        </w:tc>
      </w:tr>
      <w:tr>
        <w:trPr>
          <w:trHeight w:val="555" w:hRule="atLeast"/>
        </w:trPr>
        <w:tc>
          <w:tcPr>
            <w:tcW w:w="20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 xml:space="preserve">Магазины </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кв.м торг.пл.</w:t>
            </w:r>
          </w:p>
        </w:tc>
        <w:tc>
          <w:tcPr>
            <w:tcW w:w="154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300 кв.м на 1000 чел.</w:t>
            </w:r>
          </w:p>
        </w:tc>
        <w:tc>
          <w:tcPr>
            <w:tcW w:w="14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631</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229</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323</w:t>
            </w:r>
          </w:p>
        </w:tc>
        <w:tc>
          <w:tcPr>
            <w:tcW w:w="14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631</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195</w:t>
            </w:r>
            <w:r>
              <w:rPr>
                <w:color w:val="000000"/>
                <w:sz w:val="20"/>
                <w:szCs w:val="20"/>
                <w:vertAlign w:val="superscript"/>
              </w:rPr>
              <w:t>1</w:t>
            </w:r>
          </w:p>
        </w:tc>
      </w:tr>
      <w:tr>
        <w:trPr>
          <w:trHeight w:val="480" w:hRule="atLeast"/>
        </w:trPr>
        <w:tc>
          <w:tcPr>
            <w:tcW w:w="20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Предприятия общепита</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место</w:t>
            </w:r>
          </w:p>
        </w:tc>
        <w:tc>
          <w:tcPr>
            <w:tcW w:w="154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40 мест на 1000 чел.</w:t>
            </w:r>
          </w:p>
        </w:tc>
        <w:tc>
          <w:tcPr>
            <w:tcW w:w="14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отсутствуют</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31</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43</w:t>
            </w:r>
          </w:p>
        </w:tc>
        <w:tc>
          <w:tcPr>
            <w:tcW w:w="14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31</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43</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43</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100</w:t>
            </w:r>
          </w:p>
        </w:tc>
      </w:tr>
      <w:tr>
        <w:trPr>
          <w:trHeight w:val="510" w:hRule="atLeast"/>
        </w:trPr>
        <w:tc>
          <w:tcPr>
            <w:tcW w:w="20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pPr>
            <w:r>
              <w:rPr>
                <w:color w:val="000000"/>
                <w:sz w:val="20"/>
                <w:szCs w:val="20"/>
              </w:rPr>
              <w:t>Предприятия бытового обслуживания</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раб. место</w:t>
            </w:r>
          </w:p>
        </w:tc>
        <w:tc>
          <w:tcPr>
            <w:tcW w:w="154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7 раб. мест на 1000 чел.</w:t>
            </w:r>
          </w:p>
        </w:tc>
        <w:tc>
          <w:tcPr>
            <w:tcW w:w="14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отсутствуют</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7</w:t>
            </w:r>
          </w:p>
        </w:tc>
        <w:tc>
          <w:tcPr>
            <w:tcW w:w="14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7</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7</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100</w:t>
            </w:r>
          </w:p>
        </w:tc>
      </w:tr>
      <w:tr>
        <w:trPr>
          <w:trHeight w:val="510" w:hRule="atLeast"/>
        </w:trPr>
        <w:tc>
          <w:tcPr>
            <w:tcW w:w="20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pPr>
            <w:r>
              <w:rPr>
                <w:color w:val="000000"/>
                <w:sz w:val="20"/>
                <w:szCs w:val="20"/>
              </w:rPr>
              <w:t>Полиция*</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объект</w:t>
            </w:r>
          </w:p>
        </w:tc>
        <w:tc>
          <w:tcPr>
            <w:tcW w:w="154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 на 1-4 участка, где адм.участок равен 2,8 тыс.чел.</w:t>
            </w:r>
          </w:p>
        </w:tc>
        <w:tc>
          <w:tcPr>
            <w:tcW w:w="14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отсутствуют</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4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100</w:t>
            </w:r>
          </w:p>
        </w:tc>
      </w:tr>
      <w:tr>
        <w:trPr>
          <w:trHeight w:val="510" w:hRule="atLeast"/>
        </w:trPr>
        <w:tc>
          <w:tcPr>
            <w:tcW w:w="20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Отделения, филиал банка</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операционное место</w:t>
            </w:r>
          </w:p>
        </w:tc>
        <w:tc>
          <w:tcPr>
            <w:tcW w:w="1542" w:type="dxa"/>
            <w:tcBorders>
              <w:top w:val="single" w:sz="4" w:space="0" w:color="000000"/>
              <w:left w:val="single" w:sz="4" w:space="0" w:color="000000"/>
              <w:bottom w:val="single" w:sz="4" w:space="0" w:color="000000"/>
              <w:right w:val="single" w:sz="4" w:space="0" w:color="000000"/>
            </w:tcBorders>
            <w:vAlign w:val="center"/>
          </w:tcPr>
          <w:p>
            <w:pPr>
              <w:pStyle w:val="Normal"/>
              <w:ind w:left="-57" w:hanging="0"/>
              <w:jc w:val="center"/>
              <w:rPr>
                <w:sz w:val="20"/>
                <w:szCs w:val="20"/>
              </w:rPr>
            </w:pPr>
            <w:r>
              <w:rPr>
                <w:sz w:val="20"/>
                <w:szCs w:val="20"/>
              </w:rPr>
              <w:t>1 операц.место на 1-2 тыс.жителей</w:t>
            </w:r>
          </w:p>
        </w:tc>
        <w:tc>
          <w:tcPr>
            <w:tcW w:w="14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отсутствуют</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14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100</w:t>
            </w:r>
          </w:p>
        </w:tc>
      </w:tr>
      <w:tr>
        <w:trPr>
          <w:trHeight w:val="510" w:hRule="atLeast"/>
        </w:trPr>
        <w:tc>
          <w:tcPr>
            <w:tcW w:w="20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Отделения связи</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объект</w:t>
            </w:r>
          </w:p>
        </w:tc>
        <w:tc>
          <w:tcPr>
            <w:tcW w:w="154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 xml:space="preserve">1 объект на </w:t>
            </w:r>
          </w:p>
          <w:p>
            <w:pPr>
              <w:pStyle w:val="Normal"/>
              <w:ind w:hanging="0"/>
              <w:jc w:val="center"/>
              <w:rPr>
                <w:color w:val="000000"/>
                <w:sz w:val="20"/>
                <w:szCs w:val="20"/>
              </w:rPr>
            </w:pPr>
            <w:r>
              <w:rPr>
                <w:color w:val="000000"/>
                <w:sz w:val="20"/>
                <w:szCs w:val="20"/>
              </w:rPr>
              <w:t>поселение</w:t>
            </w:r>
          </w:p>
        </w:tc>
        <w:tc>
          <w:tcPr>
            <w:tcW w:w="14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14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100</w:t>
            </w:r>
          </w:p>
        </w:tc>
      </w:tr>
      <w:tr>
        <w:trPr>
          <w:trHeight w:val="510" w:hRule="atLeast"/>
        </w:trPr>
        <w:tc>
          <w:tcPr>
            <w:tcW w:w="20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Общественные уборные</w:t>
            </w:r>
          </w:p>
        </w:tc>
        <w:tc>
          <w:tcPr>
            <w:tcW w:w="136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прибор</w:t>
            </w:r>
          </w:p>
        </w:tc>
        <w:tc>
          <w:tcPr>
            <w:tcW w:w="154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 прибор на 1000 чел.</w:t>
            </w:r>
          </w:p>
        </w:tc>
        <w:tc>
          <w:tcPr>
            <w:tcW w:w="14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отсутствуют</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14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8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14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155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100</w:t>
            </w:r>
          </w:p>
        </w:tc>
      </w:tr>
    </w:tbl>
    <w:p>
      <w:pPr>
        <w:pStyle w:val="Style88"/>
        <w:ind w:hanging="0"/>
        <w:rPr/>
      </w:pPr>
      <w:r>
        <w:rPr>
          <w:color w:val="000000"/>
          <w:vertAlign w:val="superscript"/>
        </w:rPr>
        <w:t xml:space="preserve">1 </w:t>
      </w:r>
      <w:r>
        <w:rPr>
          <w:b w:val="false"/>
          <w:bCs w:val="false"/>
          <w:color w:val="000000"/>
        </w:rPr>
        <w:t>показатель обеспеченности более 100% связан с тем, что существующая мощность объектов превышает потребную на расчетный срок</w:t>
      </w:r>
      <w:r>
        <w:rPr>
          <w:b w:val="false"/>
          <w:bCs w:val="false"/>
          <w:color w:val="000000"/>
          <w:lang w:val="ru-RU"/>
        </w:rPr>
        <w:t>;</w:t>
      </w:r>
    </w:p>
    <w:p>
      <w:pPr>
        <w:pStyle w:val="Style78"/>
        <w:jc w:val="both"/>
        <w:rPr/>
      </w:pPr>
      <w:r>
        <w:rPr>
          <w:color w:val="000000"/>
          <w:sz w:val="20"/>
          <w:szCs w:val="20"/>
          <w:vertAlign w:val="superscript"/>
        </w:rPr>
        <w:t xml:space="preserve">2 </w:t>
      </w:r>
      <w:r>
        <w:rPr>
          <w:color w:val="000000"/>
          <w:sz w:val="20"/>
          <w:szCs w:val="20"/>
        </w:rPr>
        <w:t>поскольку больницы, СМП, бассейны имеют районный уровень обслуживания, размещение их предусматривается в районном центре муниципального района.        Обеспеченность рассчитывается от населения района в целом;</w:t>
      </w:r>
    </w:p>
    <w:p>
      <w:pPr>
        <w:pStyle w:val="Style78"/>
        <w:jc w:val="both"/>
        <w:rPr/>
      </w:pPr>
      <w:r>
        <w:rPr>
          <w:color w:val="000000"/>
          <w:sz w:val="20"/>
          <w:szCs w:val="20"/>
          <w:vertAlign w:val="superscript"/>
        </w:rPr>
        <w:t xml:space="preserve">3 </w:t>
      </w:r>
      <w:r>
        <w:rPr>
          <w:color w:val="000000"/>
          <w:sz w:val="20"/>
          <w:szCs w:val="20"/>
        </w:rPr>
        <w:t>показатель обеспеченности более 100% связан с запланированным строительством новых объектов согласно данным исполнительного комитета сельского поселения;</w:t>
      </w:r>
    </w:p>
    <w:p>
      <w:pPr>
        <w:pStyle w:val="Style78"/>
        <w:jc w:val="both"/>
        <w:rPr/>
      </w:pPr>
      <w:r>
        <w:rPr>
          <w:color w:val="000000"/>
          <w:sz w:val="20"/>
          <w:szCs w:val="20"/>
          <w:vertAlign w:val="superscript"/>
        </w:rPr>
        <w:t xml:space="preserve">4 </w:t>
      </w:r>
      <w:r>
        <w:rPr>
          <w:color w:val="000000"/>
          <w:sz w:val="20"/>
          <w:szCs w:val="20"/>
        </w:rPr>
        <w:t>по данным таблицы 4.7.2. Перечень мероприятий по развитию сферы обслуживания в Вахитовском сельском поселении.</w:t>
      </w:r>
    </w:p>
    <w:p>
      <w:pPr>
        <w:sectPr>
          <w:footerReference w:type="default" r:id="rId120"/>
          <w:footerReference w:type="first" r:id="rId121"/>
          <w:footnotePr>
            <w:numFmt w:val="decimal"/>
          </w:footnotePr>
          <w:type w:val="nextPage"/>
          <w:pgSz w:orient="landscape" w:w="16838" w:h="11906"/>
          <w:pgMar w:left="1134" w:right="851" w:gutter="0" w:header="0" w:top="851" w:footer="709" w:bottom="851"/>
          <w:pgNumType w:fmt="decimal"/>
          <w:formProt w:val="false"/>
          <w:textDirection w:val="lrTb"/>
          <w:docGrid w:type="default" w:linePitch="360" w:charSpace="0"/>
        </w:sectPr>
        <w:pStyle w:val="Style78"/>
        <w:jc w:val="left"/>
        <w:rPr>
          <w:color w:val="000000"/>
          <w:sz w:val="20"/>
          <w:szCs w:val="20"/>
        </w:rPr>
      </w:pPr>
      <w:r>
        <w:rPr>
          <w:color w:val="000000"/>
          <w:sz w:val="20"/>
          <w:szCs w:val="20"/>
        </w:rPr>
        <w:t xml:space="preserve">*сельское поселение обслуживается пунктом полиции в с.Шеланга </w:t>
      </w:r>
    </w:p>
    <w:p>
      <w:pPr>
        <w:pStyle w:val="Style56"/>
        <w:jc w:val="left"/>
        <w:rPr>
          <w:i w:val="false"/>
          <w:i w:val="false"/>
          <w:color w:val="000000"/>
          <w:sz w:val="20"/>
          <w:szCs w:val="20"/>
        </w:rPr>
      </w:pPr>
      <w:r>
        <w:rPr>
          <w:i w:val="false"/>
          <w:color w:val="000000"/>
          <w:sz w:val="20"/>
          <w:szCs w:val="20"/>
        </w:rPr>
      </w:r>
    </w:p>
    <w:p>
      <w:pPr>
        <w:pStyle w:val="Normal"/>
        <w:ind w:hanging="0"/>
        <w:rPr>
          <w:i/>
          <w:i/>
          <w:color w:val="FF0066"/>
        </w:rPr>
      </w:pPr>
      <w:r>
        <w:rPr>
          <w:i/>
          <w:color w:val="FF0066"/>
        </w:rPr>
      </w:r>
    </w:p>
    <w:p>
      <w:pPr>
        <w:pStyle w:val="Normal"/>
        <w:jc w:val="right"/>
        <w:rPr/>
      </w:pPr>
      <w:r>
        <w:rPr>
          <w:color w:val="000000"/>
        </w:rPr>
        <w:t>Таблица 4.7.2</w:t>
      </w:r>
    </w:p>
    <w:p>
      <w:pPr>
        <w:pStyle w:val="Style56"/>
        <w:ind w:left="720" w:hanging="0"/>
        <w:rPr>
          <w:i w:val="false"/>
          <w:i w:val="false"/>
          <w:color w:val="000000"/>
        </w:rPr>
      </w:pPr>
      <w:r>
        <w:rPr>
          <w:i w:val="false"/>
          <w:color w:val="000000"/>
          <w:szCs w:val="28"/>
        </w:rPr>
        <w:t>Перечень мероприятий по развитию объектов социального и культурно-бытового обслуживания населения Вахитовского сельского поселения</w:t>
      </w:r>
    </w:p>
    <w:tbl>
      <w:tblPr>
        <w:tblW w:w="5000" w:type="pct"/>
        <w:jc w:val="center"/>
        <w:tblInd w:w="0" w:type="dxa"/>
        <w:tblLayout w:type="fixed"/>
        <w:tblCellMar>
          <w:top w:w="0" w:type="dxa"/>
          <w:left w:w="108" w:type="dxa"/>
          <w:bottom w:w="0" w:type="dxa"/>
          <w:right w:w="108" w:type="dxa"/>
        </w:tblCellMar>
      </w:tblPr>
      <w:tblGrid>
        <w:gridCol w:w="526"/>
        <w:gridCol w:w="1399"/>
        <w:gridCol w:w="1954"/>
        <w:gridCol w:w="1815"/>
        <w:gridCol w:w="1259"/>
        <w:gridCol w:w="1536"/>
        <w:gridCol w:w="1679"/>
        <w:gridCol w:w="1122"/>
        <w:gridCol w:w="1201"/>
        <w:gridCol w:w="50"/>
        <w:gridCol w:w="2312"/>
      </w:tblGrid>
      <w:tr>
        <w:trPr>
          <w:tblHeader w:val="true"/>
          <w:trHeight w:val="362" w:hRule="atLeast"/>
          <w:cantSplit w:val="true"/>
        </w:trPr>
        <w:tc>
          <w:tcPr>
            <w:tcW w:w="526"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bookmarkStart w:id="307" w:name="_Hlk151560185"/>
            <w:bookmarkEnd w:id="307"/>
            <w:r>
              <w:rPr>
                <w:color w:val="000000"/>
                <w:sz w:val="20"/>
                <w:szCs w:val="20"/>
              </w:rPr>
              <w:t xml:space="preserve">№ </w:t>
            </w:r>
            <w:r>
              <w:rPr>
                <w:color w:val="000000"/>
                <w:sz w:val="20"/>
                <w:szCs w:val="20"/>
              </w:rPr>
              <w:t>п/п</w:t>
            </w:r>
          </w:p>
        </w:tc>
        <w:tc>
          <w:tcPr>
            <w:tcW w:w="1399"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Наименование населенного пункта, входящего в состав поселения</w:t>
            </w:r>
          </w:p>
        </w:tc>
        <w:tc>
          <w:tcPr>
            <w:tcW w:w="1954"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pPr>
            <w:r>
              <w:rPr>
                <w:color w:val="000000"/>
                <w:sz w:val="20"/>
                <w:szCs w:val="20"/>
              </w:rPr>
              <w:t>Наименование объекта</w:t>
            </w:r>
          </w:p>
        </w:tc>
        <w:tc>
          <w:tcPr>
            <w:tcW w:w="1815"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Вид мероприятия</w:t>
            </w:r>
          </w:p>
        </w:tc>
        <w:tc>
          <w:tcPr>
            <w:tcW w:w="1259"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Единица измерения</w:t>
            </w:r>
          </w:p>
        </w:tc>
        <w:tc>
          <w:tcPr>
            <w:tcW w:w="3215" w:type="dxa"/>
            <w:gridSpan w:val="2"/>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Мощность</w:t>
            </w:r>
          </w:p>
        </w:tc>
        <w:tc>
          <w:tcPr>
            <w:tcW w:w="2323" w:type="dxa"/>
            <w:gridSpan w:val="2"/>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Сроки реализации</w:t>
            </w:r>
          </w:p>
        </w:tc>
        <w:tc>
          <w:tcPr>
            <w:tcW w:w="2362"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Источник мероприятия (наименование документа)</w:t>
            </w:r>
          </w:p>
        </w:tc>
      </w:tr>
      <w:tr>
        <w:trPr>
          <w:tblHeader w:val="true"/>
          <w:trHeight w:val="381" w:hRule="atLeast"/>
          <w:cantSplit w:val="true"/>
        </w:trPr>
        <w:tc>
          <w:tcPr>
            <w:tcW w:w="526" w:type="dxa"/>
            <w:vMerge w:val="continue"/>
            <w:tcBorders>
              <w:top w:val="single" w:sz="4" w:space="0" w:color="000000"/>
              <w:left w:val="single" w:sz="4" w:space="0" w:color="000000"/>
              <w:bottom w:val="single" w:sz="4" w:space="0" w:color="000000"/>
              <w:right w:val="single" w:sz="4" w:space="0" w:color="000000"/>
            </w:tcBorders>
            <w:vAlign w:val="center"/>
          </w:tcPr>
          <w:p>
            <w:pPr>
              <w:pStyle w:val="Style76"/>
              <w:snapToGrid w:val="false"/>
              <w:rPr>
                <w:color w:val="FF0066"/>
                <w:sz w:val="20"/>
                <w:szCs w:val="20"/>
                <w:lang w:val="ru-RU" w:eastAsia="ru-RU"/>
              </w:rPr>
            </w:pPr>
            <w:r>
              <w:rPr>
                <w:color w:val="FF0066"/>
                <w:sz w:val="20"/>
                <w:szCs w:val="20"/>
                <w:lang w:val="ru-RU" w:eastAsia="ru-RU"/>
              </w:rPr>
            </w:r>
          </w:p>
        </w:tc>
        <w:tc>
          <w:tcPr>
            <w:tcW w:w="1399" w:type="dxa"/>
            <w:vMerge w:val="continue"/>
            <w:tcBorders>
              <w:top w:val="single" w:sz="4" w:space="0" w:color="000000"/>
              <w:left w:val="single" w:sz="4" w:space="0" w:color="000000"/>
              <w:bottom w:val="single" w:sz="4" w:space="0" w:color="000000"/>
              <w:right w:val="single" w:sz="4" w:space="0" w:color="000000"/>
            </w:tcBorders>
            <w:vAlign w:val="center"/>
          </w:tcPr>
          <w:p>
            <w:pPr>
              <w:pStyle w:val="Style76"/>
              <w:snapToGrid w:val="false"/>
              <w:rPr>
                <w:color w:val="FF0066"/>
                <w:sz w:val="20"/>
                <w:szCs w:val="20"/>
                <w:lang w:val="ru-RU" w:eastAsia="ru-RU"/>
              </w:rPr>
            </w:pPr>
            <w:r>
              <w:rPr>
                <w:color w:val="FF0066"/>
                <w:sz w:val="20"/>
                <w:szCs w:val="20"/>
                <w:lang w:val="ru-RU" w:eastAsia="ru-RU"/>
              </w:rPr>
            </w:r>
          </w:p>
        </w:tc>
        <w:tc>
          <w:tcPr>
            <w:tcW w:w="1954" w:type="dxa"/>
            <w:vMerge w:val="continue"/>
            <w:tcBorders>
              <w:top w:val="single" w:sz="4" w:space="0" w:color="000000"/>
              <w:left w:val="single" w:sz="4" w:space="0" w:color="000000"/>
              <w:bottom w:val="single" w:sz="4" w:space="0" w:color="000000"/>
              <w:right w:val="single" w:sz="4" w:space="0" w:color="000000"/>
            </w:tcBorders>
            <w:vAlign w:val="center"/>
          </w:tcPr>
          <w:p>
            <w:pPr>
              <w:pStyle w:val="Style76"/>
              <w:snapToGrid w:val="false"/>
              <w:rPr>
                <w:color w:val="FF0066"/>
                <w:sz w:val="20"/>
                <w:szCs w:val="20"/>
                <w:lang w:val="ru-RU" w:eastAsia="ru-RU"/>
              </w:rPr>
            </w:pPr>
            <w:r>
              <w:rPr>
                <w:color w:val="FF0066"/>
                <w:sz w:val="20"/>
                <w:szCs w:val="20"/>
                <w:lang w:val="ru-RU" w:eastAsia="ru-RU"/>
              </w:rPr>
            </w:r>
          </w:p>
        </w:tc>
        <w:tc>
          <w:tcPr>
            <w:tcW w:w="1815" w:type="dxa"/>
            <w:vMerge w:val="continue"/>
            <w:tcBorders>
              <w:top w:val="single" w:sz="4" w:space="0" w:color="000000"/>
              <w:left w:val="single" w:sz="4" w:space="0" w:color="000000"/>
              <w:bottom w:val="single" w:sz="4" w:space="0" w:color="000000"/>
              <w:right w:val="single" w:sz="4" w:space="0" w:color="000000"/>
            </w:tcBorders>
            <w:vAlign w:val="center"/>
          </w:tcPr>
          <w:p>
            <w:pPr>
              <w:pStyle w:val="Style76"/>
              <w:snapToGrid w:val="false"/>
              <w:rPr>
                <w:color w:val="FF0066"/>
                <w:sz w:val="20"/>
                <w:szCs w:val="20"/>
                <w:lang w:val="ru-RU" w:eastAsia="ru-RU"/>
              </w:rPr>
            </w:pPr>
            <w:r>
              <w:rPr>
                <w:color w:val="FF0066"/>
                <w:sz w:val="20"/>
                <w:szCs w:val="20"/>
                <w:lang w:val="ru-RU" w:eastAsia="ru-RU"/>
              </w:rPr>
            </w:r>
          </w:p>
        </w:tc>
        <w:tc>
          <w:tcPr>
            <w:tcW w:w="1259" w:type="dxa"/>
            <w:vMerge w:val="continue"/>
            <w:tcBorders>
              <w:top w:val="single" w:sz="4" w:space="0" w:color="000000"/>
              <w:left w:val="single" w:sz="4" w:space="0" w:color="000000"/>
              <w:bottom w:val="single" w:sz="4" w:space="0" w:color="000000"/>
              <w:right w:val="single" w:sz="4" w:space="0" w:color="000000"/>
            </w:tcBorders>
            <w:vAlign w:val="center"/>
          </w:tcPr>
          <w:p>
            <w:pPr>
              <w:pStyle w:val="Style76"/>
              <w:snapToGrid w:val="false"/>
              <w:rPr>
                <w:color w:val="FF0066"/>
                <w:sz w:val="20"/>
                <w:szCs w:val="20"/>
                <w:lang w:val="ru-RU" w:eastAsia="ru-RU"/>
              </w:rPr>
            </w:pPr>
            <w:r>
              <w:rPr>
                <w:color w:val="FF0066"/>
                <w:sz w:val="20"/>
                <w:szCs w:val="20"/>
                <w:lang w:val="ru-RU" w:eastAsia="ru-RU"/>
              </w:rPr>
            </w:r>
          </w:p>
        </w:tc>
        <w:tc>
          <w:tcPr>
            <w:tcW w:w="1536" w:type="dxa"/>
            <w:tcBorders>
              <w:top w:val="single" w:sz="4" w:space="0" w:color="000000"/>
              <w:left w:val="single" w:sz="4" w:space="0" w:color="000000"/>
              <w:bottom w:val="single" w:sz="4" w:space="0" w:color="000000"/>
              <w:right w:val="single" w:sz="4" w:space="0" w:color="000000"/>
            </w:tcBorders>
            <w:vAlign w:val="center"/>
          </w:tcPr>
          <w:p>
            <w:pPr>
              <w:pStyle w:val="Style76"/>
              <w:jc w:val="center"/>
              <w:rPr/>
            </w:pPr>
            <w:r>
              <w:rPr>
                <w:color w:val="000000"/>
                <w:sz w:val="20"/>
                <w:szCs w:val="20"/>
                <w:lang w:val="ru-RU" w:eastAsia="ru-RU"/>
              </w:rPr>
              <w:t>Существующая</w:t>
            </w:r>
          </w:p>
        </w:tc>
        <w:tc>
          <w:tcPr>
            <w:tcW w:w="1679" w:type="dxa"/>
            <w:tcBorders>
              <w:top w:val="single" w:sz="4" w:space="0" w:color="000000"/>
              <w:left w:val="single" w:sz="4" w:space="0" w:color="000000"/>
              <w:bottom w:val="single" w:sz="4" w:space="0" w:color="000000"/>
              <w:right w:val="single" w:sz="4" w:space="0" w:color="000000"/>
            </w:tcBorders>
            <w:vAlign w:val="center"/>
          </w:tcPr>
          <w:p>
            <w:pPr>
              <w:pStyle w:val="Style76"/>
              <w:jc w:val="center"/>
              <w:rPr/>
            </w:pPr>
            <w:r>
              <w:rPr>
                <w:color w:val="000000"/>
                <w:sz w:val="20"/>
                <w:szCs w:val="20"/>
                <w:lang w:val="ru-RU" w:eastAsia="ru-RU"/>
              </w:rPr>
              <w:t>Дополнительная</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Style75"/>
              <w:rPr/>
            </w:pPr>
            <w:r>
              <w:rPr>
                <w:color w:val="000000"/>
                <w:sz w:val="20"/>
                <w:szCs w:val="20"/>
              </w:rPr>
              <w:t>Первая очередь (до 2032 г.)</w:t>
            </w:r>
          </w:p>
        </w:tc>
        <w:tc>
          <w:tcPr>
            <w:tcW w:w="1201" w:type="dxa"/>
            <w:tcBorders>
              <w:top w:val="single" w:sz="4" w:space="0" w:color="000000"/>
              <w:left w:val="single" w:sz="4" w:space="0" w:color="000000"/>
              <w:bottom w:val="single" w:sz="4" w:space="0" w:color="000000"/>
              <w:right w:val="single" w:sz="4" w:space="0" w:color="000000"/>
            </w:tcBorders>
            <w:vAlign w:val="center"/>
          </w:tcPr>
          <w:p>
            <w:pPr>
              <w:pStyle w:val="Style75"/>
              <w:rPr/>
            </w:pPr>
            <w:r>
              <w:rPr>
                <w:color w:val="000000"/>
                <w:sz w:val="20"/>
                <w:szCs w:val="20"/>
              </w:rPr>
              <w:t>Расчетный срок</w:t>
            </w:r>
          </w:p>
          <w:p>
            <w:pPr>
              <w:pStyle w:val="Style75"/>
              <w:rPr/>
            </w:pPr>
            <w:r>
              <w:rPr>
                <w:color w:val="000000"/>
                <w:sz w:val="20"/>
                <w:szCs w:val="20"/>
              </w:rPr>
              <w:t xml:space="preserve"> </w:t>
            </w:r>
            <w:r>
              <w:rPr>
                <w:color w:val="000000"/>
                <w:sz w:val="20"/>
                <w:szCs w:val="20"/>
              </w:rPr>
              <w:t>(2033-2047 гг.)</w:t>
            </w:r>
          </w:p>
        </w:tc>
        <w:tc>
          <w:tcPr>
            <w:tcW w:w="2362"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Style76"/>
              <w:snapToGrid w:val="false"/>
              <w:rPr>
                <w:color w:val="FF0066"/>
                <w:sz w:val="20"/>
                <w:szCs w:val="20"/>
                <w:lang w:val="ru-RU" w:eastAsia="ru-RU"/>
              </w:rPr>
            </w:pPr>
            <w:r>
              <w:rPr>
                <w:color w:val="FF0066"/>
                <w:sz w:val="20"/>
                <w:szCs w:val="20"/>
                <w:lang w:val="ru-RU" w:eastAsia="ru-RU"/>
              </w:rPr>
            </w:r>
          </w:p>
        </w:tc>
      </w:tr>
      <w:tr>
        <w:trPr>
          <w:trHeight w:val="273" w:hRule="atLeast"/>
          <w:cantSplit w:val="true"/>
        </w:trPr>
        <w:tc>
          <w:tcPr>
            <w:tcW w:w="14853" w:type="dxa"/>
            <w:gridSpan w:val="11"/>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
                <w:caps/>
                <w:color w:val="000000"/>
                <w:sz w:val="20"/>
                <w:szCs w:val="20"/>
              </w:rPr>
            </w:pPr>
            <w:r>
              <w:rPr>
                <w:b/>
                <w:caps/>
                <w:color w:val="000000"/>
                <w:sz w:val="20"/>
                <w:szCs w:val="20"/>
              </w:rPr>
              <w:t>МЕРОПРИЯТИЯ МЕСТНОГО (РАЙОННОГО) ЗНАЧЕНИЯ</w:t>
            </w:r>
          </w:p>
        </w:tc>
      </w:tr>
      <w:tr>
        <w:trPr>
          <w:trHeight w:val="273" w:hRule="atLeast"/>
          <w:cantSplit w:val="true"/>
        </w:trPr>
        <w:tc>
          <w:tcPr>
            <w:tcW w:w="14853" w:type="dxa"/>
            <w:gridSpan w:val="11"/>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
                <w:color w:val="000000"/>
                <w:sz w:val="20"/>
                <w:szCs w:val="20"/>
              </w:rPr>
            </w:pPr>
            <w:r>
              <w:rPr>
                <w:b/>
                <w:color w:val="000000"/>
                <w:sz w:val="20"/>
                <w:szCs w:val="20"/>
              </w:rPr>
              <w:t>Образовательные организации</w:t>
            </w:r>
          </w:p>
        </w:tc>
      </w:tr>
      <w:tr>
        <w:trPr>
          <w:trHeight w:val="273" w:hRule="atLeast"/>
          <w:cantSplit w:val="true"/>
        </w:trPr>
        <w:tc>
          <w:tcPr>
            <w:tcW w:w="526"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1</w:t>
            </w:r>
          </w:p>
        </w:tc>
        <w:tc>
          <w:tcPr>
            <w:tcW w:w="1399"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д.им. Мулланура Вахитова</w:t>
            </w:r>
          </w:p>
        </w:tc>
        <w:tc>
          <w:tcPr>
            <w:tcW w:w="195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МБДОУ «Вахитовский детский сад»</w:t>
            </w:r>
          </w:p>
        </w:tc>
        <w:tc>
          <w:tcPr>
            <w:tcW w:w="1815"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 xml:space="preserve">Реконструкция с увеличением мощности </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мест</w:t>
            </w:r>
          </w:p>
        </w:tc>
        <w:tc>
          <w:tcPr>
            <w:tcW w:w="1536"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17</w:t>
            </w:r>
          </w:p>
        </w:tc>
        <w:tc>
          <w:tcPr>
            <w:tcW w:w="1679"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lang w:val="en-US"/>
              </w:rPr>
            </w:pPr>
            <w:r>
              <w:rPr>
                <w:color w:val="000000"/>
                <w:sz w:val="20"/>
                <w:szCs w:val="20"/>
                <w:lang w:val="en-US"/>
              </w:rPr>
              <w:t>28</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251" w:type="dxa"/>
            <w:gridSpan w:val="2"/>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2312" w:type="dxa"/>
            <w:tcBorders>
              <w:top w:val="single" w:sz="4" w:space="0" w:color="000000"/>
              <w:left w:val="single" w:sz="4" w:space="0" w:color="000000"/>
              <w:bottom w:val="single" w:sz="4" w:space="0" w:color="000000"/>
              <w:right w:val="single" w:sz="4" w:space="0" w:color="000000"/>
            </w:tcBorders>
          </w:tcPr>
          <w:p>
            <w:pPr>
              <w:pStyle w:val="114"/>
              <w:rPr>
                <w:color w:val="000000"/>
                <w:sz w:val="20"/>
                <w:szCs w:val="20"/>
              </w:rPr>
            </w:pPr>
            <w:r>
              <w:rPr>
                <w:color w:val="000000"/>
                <w:sz w:val="20"/>
                <w:szCs w:val="20"/>
              </w:rPr>
              <w:t>Проект внесения изменений в генеральный план Вахитовского СП</w:t>
            </w:r>
          </w:p>
        </w:tc>
      </w:tr>
      <w:tr>
        <w:trPr>
          <w:trHeight w:val="273" w:hRule="atLeast"/>
          <w:cantSplit w:val="true"/>
        </w:trPr>
        <w:tc>
          <w:tcPr>
            <w:tcW w:w="526"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2</w:t>
            </w:r>
          </w:p>
        </w:tc>
        <w:tc>
          <w:tcPr>
            <w:tcW w:w="1399"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п.Бакча-Сарай</w:t>
            </w:r>
          </w:p>
        </w:tc>
        <w:tc>
          <w:tcPr>
            <w:tcW w:w="195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МБОУ «Матюшинская СОШ»</w:t>
            </w:r>
          </w:p>
        </w:tc>
        <w:tc>
          <w:tcPr>
            <w:tcW w:w="1815"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Капитальный ремонт</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мест</w:t>
            </w:r>
          </w:p>
        </w:tc>
        <w:tc>
          <w:tcPr>
            <w:tcW w:w="1536"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162</w:t>
            </w:r>
          </w:p>
        </w:tc>
        <w:tc>
          <w:tcPr>
            <w:tcW w:w="1679"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251" w:type="dxa"/>
            <w:gridSpan w:val="2"/>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2312" w:type="dxa"/>
            <w:tcBorders>
              <w:top w:val="single" w:sz="4" w:space="0" w:color="000000"/>
              <w:left w:val="single" w:sz="4" w:space="0" w:color="000000"/>
              <w:bottom w:val="single" w:sz="4" w:space="0" w:color="000000"/>
              <w:right w:val="single" w:sz="4" w:space="0" w:color="000000"/>
            </w:tcBorders>
          </w:tcPr>
          <w:p>
            <w:pPr>
              <w:pStyle w:val="114"/>
              <w:rPr>
                <w:color w:val="000000"/>
                <w:sz w:val="20"/>
                <w:szCs w:val="20"/>
              </w:rPr>
            </w:pPr>
            <w:r>
              <w:rPr>
                <w:color w:val="000000"/>
                <w:sz w:val="20"/>
                <w:szCs w:val="20"/>
              </w:rPr>
              <w:t>Проект внесения изменений в генеральный план Вахитовского СП</w:t>
            </w:r>
          </w:p>
        </w:tc>
      </w:tr>
      <w:tr>
        <w:trPr>
          <w:trHeight w:val="273" w:hRule="atLeast"/>
          <w:cantSplit w:val="true"/>
        </w:trPr>
        <w:tc>
          <w:tcPr>
            <w:tcW w:w="14853" w:type="dxa"/>
            <w:gridSpan w:val="11"/>
            <w:tcBorders>
              <w:top w:val="single" w:sz="4" w:space="0" w:color="000000"/>
              <w:left w:val="single" w:sz="4" w:space="0" w:color="000000"/>
              <w:bottom w:val="single" w:sz="4" w:space="0" w:color="000000"/>
              <w:right w:val="single" w:sz="4" w:space="0" w:color="000000"/>
            </w:tcBorders>
            <w:vAlign w:val="center"/>
          </w:tcPr>
          <w:p>
            <w:pPr>
              <w:pStyle w:val="114"/>
              <w:rPr>
                <w:b/>
                <w:color w:val="000000"/>
                <w:sz w:val="20"/>
                <w:szCs w:val="20"/>
              </w:rPr>
            </w:pPr>
            <w:r>
              <w:rPr>
                <w:b/>
                <w:color w:val="000000"/>
                <w:sz w:val="20"/>
                <w:szCs w:val="20"/>
              </w:rPr>
              <w:t>Лечебно-профилактические медицинские организации</w:t>
            </w:r>
          </w:p>
        </w:tc>
      </w:tr>
      <w:tr>
        <w:trPr>
          <w:trHeight w:val="502" w:hRule="atLeast"/>
          <w:cantSplit w:val="true"/>
        </w:trPr>
        <w:tc>
          <w:tcPr>
            <w:tcW w:w="526"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1</w:t>
            </w:r>
          </w:p>
        </w:tc>
        <w:tc>
          <w:tcPr>
            <w:tcW w:w="1399"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п.Бакча-Сарай</w:t>
            </w:r>
          </w:p>
        </w:tc>
        <w:tc>
          <w:tcPr>
            <w:tcW w:w="195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Фельдшерско-акушерский пункт</w:t>
            </w:r>
          </w:p>
        </w:tc>
        <w:tc>
          <w:tcPr>
            <w:tcW w:w="1815"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Новое строительство</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Посещений в смену</w:t>
            </w:r>
          </w:p>
        </w:tc>
        <w:tc>
          <w:tcPr>
            <w:tcW w:w="1536"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15</w:t>
            </w:r>
          </w:p>
        </w:tc>
        <w:tc>
          <w:tcPr>
            <w:tcW w:w="1679"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201"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2362" w:type="dxa"/>
            <w:gridSpan w:val="2"/>
            <w:tcBorders>
              <w:top w:val="single" w:sz="4" w:space="0" w:color="000000"/>
              <w:left w:val="single" w:sz="4" w:space="0" w:color="000000"/>
              <w:bottom w:val="single" w:sz="4" w:space="0" w:color="000000"/>
              <w:right w:val="single" w:sz="4" w:space="0" w:color="000000"/>
            </w:tcBorders>
            <w:vAlign w:val="center"/>
          </w:tcPr>
          <w:p>
            <w:pPr>
              <w:pStyle w:val="114"/>
              <w:rPr/>
            </w:pPr>
            <w:r>
              <w:rPr>
                <w:color w:val="000000"/>
                <w:sz w:val="20"/>
                <w:szCs w:val="20"/>
              </w:rPr>
              <w:t>Проект внесения изменений в генеральный план Вахитовского СП</w:t>
            </w:r>
          </w:p>
        </w:tc>
      </w:tr>
      <w:tr>
        <w:trPr>
          <w:trHeight w:val="273" w:hRule="atLeast"/>
          <w:cantSplit w:val="true"/>
        </w:trPr>
        <w:tc>
          <w:tcPr>
            <w:tcW w:w="14853" w:type="dxa"/>
            <w:gridSpan w:val="11"/>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
                <w:color w:val="000000"/>
                <w:sz w:val="20"/>
                <w:szCs w:val="20"/>
              </w:rPr>
            </w:pPr>
            <w:r>
              <w:rPr>
                <w:b/>
                <w:color w:val="000000"/>
                <w:sz w:val="20"/>
                <w:szCs w:val="20"/>
              </w:rPr>
              <w:t>Спортивные залы</w:t>
            </w:r>
          </w:p>
        </w:tc>
      </w:tr>
      <w:tr>
        <w:trPr>
          <w:trHeight w:val="273" w:hRule="atLeast"/>
          <w:cantSplit w:val="true"/>
        </w:trPr>
        <w:tc>
          <w:tcPr>
            <w:tcW w:w="526"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1</w:t>
            </w:r>
          </w:p>
        </w:tc>
        <w:tc>
          <w:tcPr>
            <w:tcW w:w="1399"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п.Бакча-Сарай</w:t>
            </w:r>
          </w:p>
        </w:tc>
        <w:tc>
          <w:tcPr>
            <w:tcW w:w="1954" w:type="dxa"/>
            <w:tcBorders>
              <w:top w:val="single" w:sz="4" w:space="0" w:color="000000"/>
              <w:left w:val="single" w:sz="4" w:space="0" w:color="000000"/>
              <w:bottom w:val="single" w:sz="4" w:space="0" w:color="000000"/>
              <w:right w:val="single" w:sz="4" w:space="0" w:color="000000"/>
            </w:tcBorders>
            <w:vAlign w:val="center"/>
          </w:tcPr>
          <w:p>
            <w:pPr>
              <w:pStyle w:val="Style75"/>
              <w:ind w:left="-57" w:right="-57" w:hanging="0"/>
              <w:rPr/>
            </w:pPr>
            <w:r>
              <w:rPr>
                <w:color w:val="000000"/>
                <w:sz w:val="20"/>
                <w:szCs w:val="20"/>
              </w:rPr>
              <w:t>Спортивный зал в составе СОШ</w:t>
            </w:r>
          </w:p>
        </w:tc>
        <w:tc>
          <w:tcPr>
            <w:tcW w:w="1815"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Организационное</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объект</w:t>
            </w:r>
          </w:p>
        </w:tc>
        <w:tc>
          <w:tcPr>
            <w:tcW w:w="1536"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679"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1</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201"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2362" w:type="dxa"/>
            <w:gridSpan w:val="2"/>
            <w:tcBorders>
              <w:top w:val="single" w:sz="4" w:space="0" w:color="000000"/>
              <w:left w:val="single" w:sz="4" w:space="0" w:color="000000"/>
              <w:bottom w:val="single" w:sz="4" w:space="0" w:color="000000"/>
              <w:right w:val="single" w:sz="4" w:space="0" w:color="000000"/>
            </w:tcBorders>
            <w:vAlign w:val="center"/>
          </w:tcPr>
          <w:p>
            <w:pPr>
              <w:pStyle w:val="114"/>
              <w:rPr/>
            </w:pPr>
            <w:r>
              <w:rPr>
                <w:color w:val="000000"/>
                <w:sz w:val="20"/>
                <w:szCs w:val="20"/>
              </w:rPr>
              <w:t>Проект внесения изменений в генеральный план Вахитовского СП</w:t>
            </w:r>
          </w:p>
        </w:tc>
      </w:tr>
      <w:tr>
        <w:trPr>
          <w:trHeight w:val="113" w:hRule="atLeast"/>
          <w:cantSplit w:val="true"/>
        </w:trPr>
        <w:tc>
          <w:tcPr>
            <w:tcW w:w="14853" w:type="dxa"/>
            <w:gridSpan w:val="11"/>
            <w:tcBorders>
              <w:top w:val="single" w:sz="4" w:space="0" w:color="000000"/>
              <w:left w:val="single" w:sz="4" w:space="0" w:color="000000"/>
              <w:bottom w:val="single" w:sz="4" w:space="0" w:color="000000"/>
              <w:right w:val="single" w:sz="4" w:space="0" w:color="000000"/>
            </w:tcBorders>
            <w:vAlign w:val="center"/>
          </w:tcPr>
          <w:p>
            <w:pPr>
              <w:pStyle w:val="114"/>
              <w:rPr>
                <w:b/>
                <w:caps/>
                <w:color w:val="000000"/>
                <w:sz w:val="20"/>
                <w:szCs w:val="20"/>
              </w:rPr>
            </w:pPr>
            <w:r>
              <w:rPr>
                <w:b/>
                <w:caps/>
                <w:color w:val="000000"/>
                <w:sz w:val="20"/>
                <w:szCs w:val="20"/>
              </w:rPr>
              <w:t>МЕРОПРИЯТИЯ Местного значения (Поселения)</w:t>
            </w:r>
          </w:p>
        </w:tc>
      </w:tr>
      <w:tr>
        <w:trPr>
          <w:trHeight w:val="273" w:hRule="atLeast"/>
          <w:cantSplit w:val="true"/>
        </w:trPr>
        <w:tc>
          <w:tcPr>
            <w:tcW w:w="14853" w:type="dxa"/>
            <w:gridSpan w:val="11"/>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
                <w:color w:val="000000"/>
                <w:sz w:val="20"/>
                <w:szCs w:val="20"/>
              </w:rPr>
            </w:pPr>
            <w:r>
              <w:rPr>
                <w:b/>
                <w:color w:val="000000"/>
                <w:sz w:val="20"/>
                <w:szCs w:val="20"/>
              </w:rPr>
              <w:t>Учреждения культуры и досуга</w:t>
            </w:r>
          </w:p>
        </w:tc>
      </w:tr>
      <w:tr>
        <w:trPr>
          <w:trHeight w:val="273" w:hRule="atLeast"/>
          <w:cantSplit w:val="true"/>
        </w:trPr>
        <w:tc>
          <w:tcPr>
            <w:tcW w:w="526"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1</w:t>
            </w:r>
          </w:p>
        </w:tc>
        <w:tc>
          <w:tcPr>
            <w:tcW w:w="1399"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д.им. Мулланура Вахитова</w:t>
            </w:r>
          </w:p>
        </w:tc>
        <w:tc>
          <w:tcPr>
            <w:tcW w:w="195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Вахитовский СДК</w:t>
            </w:r>
          </w:p>
        </w:tc>
        <w:tc>
          <w:tcPr>
            <w:tcW w:w="1815"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Реконструкция с увеличением мощности</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мест</w:t>
            </w:r>
          </w:p>
        </w:tc>
        <w:tc>
          <w:tcPr>
            <w:tcW w:w="1536"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100</w:t>
            </w:r>
          </w:p>
        </w:tc>
        <w:tc>
          <w:tcPr>
            <w:tcW w:w="1679"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50</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251" w:type="dxa"/>
            <w:gridSpan w:val="2"/>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2312" w:type="dxa"/>
            <w:tcBorders>
              <w:top w:val="single" w:sz="4" w:space="0" w:color="000000"/>
              <w:left w:val="single" w:sz="4" w:space="0" w:color="000000"/>
              <w:bottom w:val="single" w:sz="4" w:space="0" w:color="000000"/>
              <w:right w:val="single" w:sz="4" w:space="0" w:color="000000"/>
            </w:tcBorders>
            <w:vAlign w:val="center"/>
          </w:tcPr>
          <w:p>
            <w:pPr>
              <w:pStyle w:val="114"/>
              <w:rPr/>
            </w:pPr>
            <w:r>
              <w:rPr>
                <w:color w:val="000000"/>
                <w:sz w:val="20"/>
                <w:szCs w:val="20"/>
              </w:rPr>
              <w:t>Проект внесения изменений в генеральный план Вахитовского СП</w:t>
            </w:r>
          </w:p>
        </w:tc>
      </w:tr>
      <w:tr>
        <w:trPr>
          <w:trHeight w:val="232" w:hRule="atLeast"/>
          <w:cantSplit w:val="true"/>
        </w:trPr>
        <w:tc>
          <w:tcPr>
            <w:tcW w:w="526"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2</w:t>
            </w:r>
          </w:p>
        </w:tc>
        <w:tc>
          <w:tcPr>
            <w:tcW w:w="1399"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п.Бакча-Сарай</w:t>
            </w:r>
          </w:p>
        </w:tc>
        <w:tc>
          <w:tcPr>
            <w:tcW w:w="1954"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Дом культуры</w:t>
            </w:r>
          </w:p>
        </w:tc>
        <w:tc>
          <w:tcPr>
            <w:tcW w:w="1815"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Реконструкция с увеличением мощности</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мест</w:t>
            </w:r>
          </w:p>
        </w:tc>
        <w:tc>
          <w:tcPr>
            <w:tcW w:w="1536"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50</w:t>
            </w:r>
          </w:p>
        </w:tc>
        <w:tc>
          <w:tcPr>
            <w:tcW w:w="1679"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123</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251" w:type="dxa"/>
            <w:gridSpan w:val="2"/>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2312" w:type="dxa"/>
            <w:tcBorders>
              <w:top w:val="single" w:sz="4" w:space="0" w:color="000000"/>
              <w:left w:val="single" w:sz="4" w:space="0" w:color="000000"/>
              <w:bottom w:val="single" w:sz="4" w:space="0" w:color="000000"/>
              <w:right w:val="single" w:sz="4" w:space="0" w:color="000000"/>
            </w:tcBorders>
            <w:vAlign w:val="center"/>
          </w:tcPr>
          <w:p>
            <w:pPr>
              <w:pStyle w:val="114"/>
              <w:rPr/>
            </w:pPr>
            <w:r>
              <w:rPr>
                <w:color w:val="000000"/>
                <w:sz w:val="20"/>
                <w:szCs w:val="20"/>
              </w:rPr>
              <w:t>Проект внесения изменений в генеральный план Вахитовского СП</w:t>
            </w:r>
          </w:p>
        </w:tc>
      </w:tr>
      <w:tr>
        <w:trPr>
          <w:trHeight w:val="273" w:hRule="atLeast"/>
          <w:cantSplit w:val="true"/>
        </w:trPr>
        <w:tc>
          <w:tcPr>
            <w:tcW w:w="14853" w:type="dxa"/>
            <w:gridSpan w:val="11"/>
            <w:tcBorders>
              <w:top w:val="single" w:sz="4" w:space="0" w:color="000000"/>
              <w:left w:val="single" w:sz="4" w:space="0" w:color="000000"/>
              <w:bottom w:val="single" w:sz="4" w:space="0" w:color="000000"/>
              <w:right w:val="single" w:sz="4" w:space="0" w:color="000000"/>
            </w:tcBorders>
            <w:vAlign w:val="center"/>
          </w:tcPr>
          <w:p>
            <w:pPr>
              <w:pStyle w:val="114"/>
              <w:rPr>
                <w:b/>
                <w:color w:val="000000"/>
                <w:sz w:val="20"/>
                <w:szCs w:val="20"/>
              </w:rPr>
            </w:pPr>
            <w:r>
              <w:rPr>
                <w:b/>
                <w:color w:val="000000"/>
                <w:sz w:val="20"/>
                <w:szCs w:val="20"/>
              </w:rPr>
              <w:t>Плоскостные спортивные сооружения</w:t>
            </w:r>
          </w:p>
        </w:tc>
      </w:tr>
      <w:tr>
        <w:trPr>
          <w:trHeight w:val="273" w:hRule="atLeast"/>
          <w:cantSplit w:val="true"/>
        </w:trPr>
        <w:tc>
          <w:tcPr>
            <w:tcW w:w="526"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1</w:t>
            </w:r>
          </w:p>
        </w:tc>
        <w:tc>
          <w:tcPr>
            <w:tcW w:w="1399" w:type="dxa"/>
            <w:tcBorders>
              <w:top w:val="single" w:sz="4" w:space="0" w:color="000000"/>
              <w:left w:val="single" w:sz="4" w:space="0" w:color="000000"/>
              <w:bottom w:val="single" w:sz="4" w:space="0" w:color="000000"/>
              <w:right w:val="single" w:sz="4" w:space="0" w:color="000000"/>
            </w:tcBorders>
            <w:vAlign w:val="center"/>
          </w:tcPr>
          <w:p>
            <w:pPr>
              <w:pStyle w:val="Style75"/>
              <w:rPr/>
            </w:pPr>
            <w:r>
              <w:rPr>
                <w:color w:val="000000"/>
                <w:sz w:val="20"/>
                <w:szCs w:val="20"/>
              </w:rPr>
              <w:t>с.Ташевка</w:t>
            </w:r>
          </w:p>
        </w:tc>
        <w:tc>
          <w:tcPr>
            <w:tcW w:w="1954" w:type="dxa"/>
            <w:tcBorders>
              <w:top w:val="single" w:sz="4" w:space="0" w:color="000000"/>
              <w:left w:val="single" w:sz="4" w:space="0" w:color="000000"/>
              <w:bottom w:val="single" w:sz="4" w:space="0" w:color="000000"/>
              <w:right w:val="single" w:sz="4" w:space="0" w:color="000000"/>
            </w:tcBorders>
            <w:vAlign w:val="center"/>
          </w:tcPr>
          <w:p>
            <w:pPr>
              <w:pStyle w:val="Style75"/>
              <w:ind w:left="-57" w:right="-57" w:hanging="0"/>
              <w:rPr>
                <w:color w:val="000000"/>
                <w:sz w:val="20"/>
                <w:szCs w:val="20"/>
              </w:rPr>
            </w:pPr>
            <w:r>
              <w:rPr>
                <w:color w:val="000000"/>
                <w:sz w:val="20"/>
                <w:szCs w:val="20"/>
              </w:rPr>
              <w:t>Спортивная площадка</w:t>
            </w:r>
          </w:p>
        </w:tc>
        <w:tc>
          <w:tcPr>
            <w:tcW w:w="1815"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Новое строительство</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объект</w:t>
            </w:r>
          </w:p>
        </w:tc>
        <w:tc>
          <w:tcPr>
            <w:tcW w:w="1536"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679"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1</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201"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2362" w:type="dxa"/>
            <w:gridSpan w:val="2"/>
            <w:tcBorders>
              <w:top w:val="single" w:sz="4" w:space="0" w:color="000000"/>
              <w:left w:val="single" w:sz="4" w:space="0" w:color="000000"/>
              <w:bottom w:val="single" w:sz="4" w:space="0" w:color="000000"/>
              <w:right w:val="single" w:sz="4" w:space="0" w:color="000000"/>
            </w:tcBorders>
            <w:vAlign w:val="center"/>
          </w:tcPr>
          <w:p>
            <w:pPr>
              <w:pStyle w:val="114"/>
              <w:rPr/>
            </w:pPr>
            <w:r>
              <w:rPr>
                <w:color w:val="000000"/>
                <w:sz w:val="20"/>
                <w:szCs w:val="20"/>
              </w:rPr>
              <w:t>Проект внесения изменений в генеральный план Вахитовского СП</w:t>
            </w:r>
          </w:p>
        </w:tc>
      </w:tr>
      <w:tr>
        <w:trPr>
          <w:trHeight w:val="68" w:hRule="atLeast"/>
          <w:cantSplit w:val="true"/>
        </w:trPr>
        <w:tc>
          <w:tcPr>
            <w:tcW w:w="14853" w:type="dxa"/>
            <w:gridSpan w:val="11"/>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b/>
                <w:color w:val="000000"/>
                <w:sz w:val="20"/>
                <w:szCs w:val="20"/>
              </w:rPr>
              <w:t>Предприятия торговли и общественного питания</w:t>
            </w:r>
          </w:p>
        </w:tc>
      </w:tr>
      <w:tr>
        <w:trPr>
          <w:trHeight w:val="68" w:hRule="atLeast"/>
          <w:cantSplit w:val="true"/>
        </w:trPr>
        <w:tc>
          <w:tcPr>
            <w:tcW w:w="52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139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п.Бакча-Сарай</w:t>
            </w:r>
          </w:p>
        </w:tc>
        <w:tc>
          <w:tcPr>
            <w:tcW w:w="1954" w:type="dxa"/>
            <w:tcBorders>
              <w:top w:val="single" w:sz="4" w:space="0" w:color="000000"/>
              <w:left w:val="single" w:sz="4" w:space="0" w:color="000000"/>
              <w:bottom w:val="single" w:sz="4" w:space="0" w:color="000000"/>
              <w:right w:val="single" w:sz="4" w:space="0" w:color="000000"/>
            </w:tcBorders>
            <w:vAlign w:val="center"/>
          </w:tcPr>
          <w:p>
            <w:pPr>
              <w:pStyle w:val="Style75"/>
              <w:rPr/>
            </w:pPr>
            <w:r>
              <w:rPr>
                <w:color w:val="000000"/>
                <w:sz w:val="20"/>
                <w:szCs w:val="20"/>
              </w:rPr>
              <w:t>Предприятия общественного питания в составе проектируемого общественного центра</w:t>
            </w:r>
          </w:p>
        </w:tc>
        <w:tc>
          <w:tcPr>
            <w:tcW w:w="1815"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Организационное</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посадочных мест</w:t>
            </w:r>
          </w:p>
        </w:tc>
        <w:tc>
          <w:tcPr>
            <w:tcW w:w="153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67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43</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251"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231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Проект внесения изменений в генеральный план Вахитовского СП</w:t>
            </w:r>
          </w:p>
        </w:tc>
      </w:tr>
      <w:tr>
        <w:trPr>
          <w:trHeight w:val="68" w:hRule="atLeast"/>
          <w:cantSplit w:val="true"/>
        </w:trPr>
        <w:tc>
          <w:tcPr>
            <w:tcW w:w="14853" w:type="dxa"/>
            <w:gridSpan w:val="11"/>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
                <w:color w:val="000000"/>
                <w:sz w:val="20"/>
                <w:szCs w:val="20"/>
              </w:rPr>
            </w:pPr>
            <w:r>
              <w:rPr>
                <w:b/>
                <w:color w:val="000000"/>
                <w:sz w:val="20"/>
                <w:szCs w:val="20"/>
              </w:rPr>
              <w:t>Предприятия бытового обслуживания</w:t>
            </w:r>
          </w:p>
        </w:tc>
      </w:tr>
      <w:tr>
        <w:trPr>
          <w:trHeight w:val="113" w:hRule="atLeast"/>
          <w:cantSplit w:val="true"/>
        </w:trPr>
        <w:tc>
          <w:tcPr>
            <w:tcW w:w="526"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1</w:t>
            </w:r>
          </w:p>
        </w:tc>
        <w:tc>
          <w:tcPr>
            <w:tcW w:w="1399"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п.Бакча-Сарай</w:t>
            </w:r>
          </w:p>
        </w:tc>
        <w:tc>
          <w:tcPr>
            <w:tcW w:w="195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Предприятия бытового обслуживания в составе проектируемого общественного центра</w:t>
            </w:r>
          </w:p>
        </w:tc>
        <w:tc>
          <w:tcPr>
            <w:tcW w:w="1815"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Организационное</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раб. мест</w:t>
            </w:r>
          </w:p>
        </w:tc>
        <w:tc>
          <w:tcPr>
            <w:tcW w:w="153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67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7</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20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2362" w:type="dxa"/>
            <w:gridSpan w:val="2"/>
            <w:tcBorders>
              <w:top w:val="single" w:sz="4" w:space="0" w:color="000000"/>
              <w:left w:val="single" w:sz="4" w:space="0" w:color="000000"/>
              <w:bottom w:val="single" w:sz="4" w:space="0" w:color="000000"/>
              <w:right w:val="single" w:sz="4" w:space="0" w:color="000000"/>
            </w:tcBorders>
            <w:vAlign w:val="center"/>
          </w:tcPr>
          <w:p>
            <w:pPr>
              <w:pStyle w:val="114"/>
              <w:rPr/>
            </w:pPr>
            <w:r>
              <w:rPr>
                <w:color w:val="000000"/>
                <w:sz w:val="20"/>
                <w:szCs w:val="20"/>
              </w:rPr>
              <w:t>Проект внесения изменений в генеральный план Вахитовского СП</w:t>
            </w:r>
          </w:p>
        </w:tc>
      </w:tr>
      <w:tr>
        <w:trPr>
          <w:trHeight w:val="113" w:hRule="atLeast"/>
          <w:cantSplit w:val="true"/>
        </w:trPr>
        <w:tc>
          <w:tcPr>
            <w:tcW w:w="14853" w:type="dxa"/>
            <w:gridSpan w:val="11"/>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
                <w:color w:val="000000"/>
                <w:sz w:val="20"/>
                <w:szCs w:val="20"/>
              </w:rPr>
            </w:pPr>
            <w:r>
              <w:rPr>
                <w:b/>
                <w:color w:val="000000"/>
                <w:sz w:val="20"/>
                <w:szCs w:val="20"/>
              </w:rPr>
              <w:t>Отделения банков</w:t>
            </w:r>
          </w:p>
        </w:tc>
      </w:tr>
      <w:tr>
        <w:trPr>
          <w:trHeight w:val="113" w:hRule="atLeast"/>
          <w:cantSplit w:val="true"/>
        </w:trPr>
        <w:tc>
          <w:tcPr>
            <w:tcW w:w="526"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1</w:t>
            </w:r>
          </w:p>
        </w:tc>
        <w:tc>
          <w:tcPr>
            <w:tcW w:w="1399"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п.Бакча-Сарай</w:t>
            </w:r>
          </w:p>
        </w:tc>
        <w:tc>
          <w:tcPr>
            <w:tcW w:w="195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 xml:space="preserve">Отделение банка в составе проектируемого общественного центра </w:t>
            </w:r>
          </w:p>
        </w:tc>
        <w:tc>
          <w:tcPr>
            <w:tcW w:w="1815"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Организационное</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операционное место</w:t>
            </w:r>
          </w:p>
        </w:tc>
        <w:tc>
          <w:tcPr>
            <w:tcW w:w="153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67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20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2362" w:type="dxa"/>
            <w:gridSpan w:val="2"/>
            <w:tcBorders>
              <w:top w:val="single" w:sz="4" w:space="0" w:color="000000"/>
              <w:left w:val="single" w:sz="4" w:space="0" w:color="000000"/>
              <w:bottom w:val="single" w:sz="4" w:space="0" w:color="000000"/>
              <w:right w:val="single" w:sz="4" w:space="0" w:color="000000"/>
            </w:tcBorders>
            <w:vAlign w:val="center"/>
          </w:tcPr>
          <w:p>
            <w:pPr>
              <w:pStyle w:val="114"/>
              <w:rPr/>
            </w:pPr>
            <w:r>
              <w:rPr>
                <w:color w:val="000000"/>
                <w:sz w:val="20"/>
                <w:szCs w:val="20"/>
              </w:rPr>
              <w:t>Проект внесения изменений в генеральный план Вахитовского СП</w:t>
            </w:r>
          </w:p>
        </w:tc>
      </w:tr>
      <w:tr>
        <w:trPr>
          <w:trHeight w:val="113" w:hRule="atLeast"/>
          <w:cantSplit w:val="true"/>
        </w:trPr>
        <w:tc>
          <w:tcPr>
            <w:tcW w:w="14853" w:type="dxa"/>
            <w:gridSpan w:val="11"/>
            <w:tcBorders>
              <w:top w:val="single" w:sz="4" w:space="0" w:color="000000"/>
              <w:left w:val="single" w:sz="4" w:space="0" w:color="000000"/>
              <w:bottom w:val="single" w:sz="4" w:space="0" w:color="000000"/>
              <w:right w:val="single" w:sz="4" w:space="0" w:color="000000"/>
            </w:tcBorders>
            <w:vAlign w:val="center"/>
          </w:tcPr>
          <w:p>
            <w:pPr>
              <w:pStyle w:val="114"/>
              <w:rPr>
                <w:b/>
                <w:color w:val="000000"/>
                <w:sz w:val="20"/>
                <w:szCs w:val="20"/>
              </w:rPr>
            </w:pPr>
            <w:r>
              <w:rPr>
                <w:b/>
                <w:color w:val="000000"/>
                <w:sz w:val="20"/>
                <w:szCs w:val="20"/>
              </w:rPr>
              <w:t>Общественные уборные</w:t>
            </w:r>
          </w:p>
        </w:tc>
      </w:tr>
      <w:tr>
        <w:trPr>
          <w:trHeight w:val="113" w:hRule="atLeast"/>
          <w:cantSplit w:val="true"/>
        </w:trPr>
        <w:tc>
          <w:tcPr>
            <w:tcW w:w="526"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1</w:t>
            </w:r>
          </w:p>
        </w:tc>
        <w:tc>
          <w:tcPr>
            <w:tcW w:w="1399"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п.Бакча-Сарай</w:t>
            </w:r>
          </w:p>
        </w:tc>
        <w:tc>
          <w:tcPr>
            <w:tcW w:w="195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 xml:space="preserve">Общественные уборные </w:t>
            </w:r>
          </w:p>
        </w:tc>
        <w:tc>
          <w:tcPr>
            <w:tcW w:w="181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Новое строительство</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прибор</w:t>
            </w:r>
          </w:p>
        </w:tc>
        <w:tc>
          <w:tcPr>
            <w:tcW w:w="153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67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201" w:type="dxa"/>
            <w:tcBorders>
              <w:top w:val="single" w:sz="4" w:space="0" w:color="000000"/>
              <w:left w:val="single" w:sz="4" w:space="0" w:color="000000"/>
              <w:bottom w:val="single" w:sz="4" w:space="0" w:color="000000"/>
              <w:right w:val="single" w:sz="4" w:space="0" w:color="000000"/>
            </w:tcBorders>
            <w:vAlign w:val="center"/>
          </w:tcPr>
          <w:p>
            <w:pPr>
              <w:pStyle w:val="Normal"/>
              <w:ind w:firstLine="47"/>
              <w:jc w:val="center"/>
              <w:rPr>
                <w:color w:val="000000"/>
                <w:sz w:val="20"/>
                <w:szCs w:val="20"/>
              </w:rPr>
            </w:pPr>
            <w:r>
              <w:rPr>
                <w:color w:val="000000"/>
                <w:sz w:val="20"/>
                <w:szCs w:val="20"/>
              </w:rPr>
              <w:t>+</w:t>
            </w:r>
          </w:p>
        </w:tc>
        <w:tc>
          <w:tcPr>
            <w:tcW w:w="2362" w:type="dxa"/>
            <w:gridSpan w:val="2"/>
            <w:tcBorders>
              <w:top w:val="single" w:sz="4" w:space="0" w:color="000000"/>
              <w:left w:val="single" w:sz="4" w:space="0" w:color="000000"/>
              <w:bottom w:val="single" w:sz="4" w:space="0" w:color="000000"/>
              <w:right w:val="single" w:sz="4" w:space="0" w:color="000000"/>
            </w:tcBorders>
            <w:vAlign w:val="center"/>
          </w:tcPr>
          <w:p>
            <w:pPr>
              <w:pStyle w:val="114"/>
              <w:rPr/>
            </w:pPr>
            <w:r>
              <w:rPr>
                <w:color w:val="000000"/>
                <w:sz w:val="20"/>
                <w:szCs w:val="20"/>
              </w:rPr>
              <w:t>Проект внесения изменений в генеральный план Вахитовского СП</w:t>
            </w:r>
          </w:p>
        </w:tc>
      </w:tr>
    </w:tbl>
    <w:p>
      <w:pPr>
        <w:sectPr>
          <w:footerReference w:type="default" r:id="rId122"/>
          <w:footerReference w:type="first" r:id="rId123"/>
          <w:footnotePr>
            <w:numFmt w:val="decimal"/>
          </w:footnotePr>
          <w:type w:val="nextPage"/>
          <w:pgSz w:orient="landscape" w:w="16838" w:h="11906"/>
          <w:pgMar w:left="1134" w:right="851" w:gutter="0" w:header="0" w:top="851" w:footer="709" w:bottom="851"/>
          <w:pgNumType w:fmt="decimal"/>
          <w:formProt w:val="false"/>
          <w:textDirection w:val="lrTb"/>
          <w:docGrid w:type="default" w:linePitch="360" w:charSpace="0"/>
        </w:sectPr>
      </w:pPr>
    </w:p>
    <w:p>
      <w:pPr>
        <w:pStyle w:val="2"/>
        <w:numPr>
          <w:ilvl w:val="1"/>
          <w:numId w:val="7"/>
        </w:numPr>
        <w:jc w:val="both"/>
        <w:rPr/>
      </w:pPr>
      <w:bookmarkStart w:id="308" w:name="__RefHeading___Toc156489435"/>
      <w:bookmarkEnd w:id="308"/>
      <w:r>
        <w:rPr>
          <w:color w:val="000000"/>
        </w:rPr>
        <w:t xml:space="preserve">Развитие </w:t>
      </w:r>
      <w:r>
        <w:rPr>
          <w:color w:val="000000"/>
          <w:lang w:val="ru-RU"/>
        </w:rPr>
        <w:t xml:space="preserve">территорий </w:t>
      </w:r>
      <w:r>
        <w:rPr>
          <w:color w:val="000000"/>
        </w:rPr>
        <w:t>кладбищ</w:t>
      </w:r>
    </w:p>
    <w:p>
      <w:pPr>
        <w:pStyle w:val="Default"/>
        <w:tabs>
          <w:tab w:val="clear" w:pos="709"/>
          <w:tab w:val="left" w:pos="0" w:leader="none"/>
        </w:tabs>
        <w:ind w:firstLine="700"/>
        <w:jc w:val="both"/>
        <w:rPr/>
      </w:pPr>
      <w:bookmarkStart w:id="309" w:name="_Hlk151560263"/>
      <w:bookmarkEnd w:id="309"/>
      <w:r>
        <w:rPr>
          <w:sz w:val="28"/>
          <w:szCs w:val="28"/>
        </w:rPr>
        <w:t>При нормативе 0,252 га на 1000 жителей необходимая потребность наличного населения сельского поселения в кладбищах традиционного захоронения к 2047 г. составит 0,27 га.</w:t>
      </w:r>
    </w:p>
    <w:p>
      <w:pPr>
        <w:pStyle w:val="Style89"/>
        <w:numPr>
          <w:ilvl w:val="0"/>
          <w:numId w:val="0"/>
        </w:numPr>
        <w:tabs>
          <w:tab w:val="clear" w:pos="709"/>
          <w:tab w:val="left" w:pos="980" w:leader="none"/>
          <w:tab w:val="left" w:pos="1080" w:leader="none"/>
          <w:tab w:val="left" w:pos="2263" w:leader="none"/>
        </w:tabs>
        <w:ind w:left="0" w:firstLine="851"/>
        <w:jc w:val="both"/>
        <w:rPr/>
      </w:pPr>
      <w:r>
        <w:rPr>
          <w:color w:val="000000"/>
          <w:szCs w:val="28"/>
        </w:rPr>
        <w:t>Генеральным планом на первую очеред</w:t>
      </w:r>
      <w:r>
        <w:rPr>
          <w:color w:val="000000"/>
          <w:szCs w:val="28"/>
          <w:lang w:val="ru-RU"/>
        </w:rPr>
        <w:t>ь рекомендуется:</w:t>
      </w:r>
    </w:p>
    <w:p>
      <w:pPr>
        <w:pStyle w:val="Style89"/>
        <w:numPr>
          <w:ilvl w:val="0"/>
          <w:numId w:val="0"/>
        </w:numPr>
        <w:tabs>
          <w:tab w:val="clear" w:pos="709"/>
          <w:tab w:val="left" w:pos="980" w:leader="none"/>
          <w:tab w:val="left" w:pos="1080" w:leader="none"/>
          <w:tab w:val="left" w:pos="2263" w:leader="none"/>
        </w:tabs>
        <w:ind w:left="0" w:firstLine="851"/>
        <w:jc w:val="both"/>
        <w:rPr/>
      </w:pPr>
      <w:r>
        <w:rPr>
          <w:color w:val="000000"/>
          <w:szCs w:val="28"/>
          <w:lang w:val="ru-RU"/>
        </w:rPr>
        <w:t xml:space="preserve">- </w:t>
      </w:r>
      <w:r>
        <w:rPr>
          <w:color w:val="000000"/>
          <w:szCs w:val="28"/>
        </w:rPr>
        <w:t>закрытие кладбища (на земельн</w:t>
      </w:r>
      <w:r>
        <w:rPr>
          <w:color w:val="000000"/>
          <w:szCs w:val="28"/>
          <w:lang w:val="ru-RU"/>
        </w:rPr>
        <w:t>ых</w:t>
      </w:r>
      <w:r>
        <w:rPr>
          <w:color w:val="000000"/>
          <w:szCs w:val="28"/>
        </w:rPr>
        <w:t xml:space="preserve"> участк</w:t>
      </w:r>
      <w:r>
        <w:rPr>
          <w:color w:val="000000"/>
          <w:szCs w:val="28"/>
          <w:lang w:val="ru-RU"/>
        </w:rPr>
        <w:t>ах</w:t>
      </w:r>
      <w:r>
        <w:rPr>
          <w:color w:val="000000"/>
          <w:szCs w:val="28"/>
        </w:rPr>
        <w:t xml:space="preserve"> с кадастровым</w:t>
      </w:r>
      <w:r>
        <w:rPr>
          <w:color w:val="000000"/>
          <w:szCs w:val="28"/>
          <w:lang w:val="ru-RU"/>
        </w:rPr>
        <w:t>и</w:t>
      </w:r>
      <w:r>
        <w:rPr>
          <w:color w:val="000000"/>
          <w:szCs w:val="28"/>
        </w:rPr>
        <w:t xml:space="preserve"> номер</w:t>
      </w:r>
      <w:r>
        <w:rPr>
          <w:color w:val="000000"/>
          <w:szCs w:val="28"/>
          <w:lang w:val="ru-RU"/>
        </w:rPr>
        <w:t>а</w:t>
      </w:r>
      <w:r>
        <w:rPr>
          <w:color w:val="000000"/>
          <w:szCs w:val="28"/>
        </w:rPr>
        <w:t>м</w:t>
      </w:r>
      <w:r>
        <w:rPr>
          <w:color w:val="000000"/>
          <w:szCs w:val="28"/>
          <w:lang w:val="ru-RU"/>
        </w:rPr>
        <w:t>и</w:t>
      </w:r>
      <w:r>
        <w:rPr>
          <w:color w:val="000000"/>
          <w:szCs w:val="28"/>
        </w:rPr>
        <w:t xml:space="preserve"> </w:t>
      </w:r>
      <w:r>
        <w:rPr>
          <w:color w:val="000000"/>
        </w:rPr>
        <w:t>16:</w:t>
      </w:r>
      <w:r>
        <w:rPr>
          <w:color w:val="000000"/>
          <w:lang w:val="ru-RU"/>
        </w:rPr>
        <w:t>15</w:t>
      </w:r>
      <w:r>
        <w:rPr>
          <w:color w:val="000000"/>
        </w:rPr>
        <w:t>:</w:t>
      </w:r>
      <w:r>
        <w:rPr>
          <w:color w:val="000000"/>
          <w:lang w:val="ru-RU"/>
        </w:rPr>
        <w:t>030502</w:t>
      </w:r>
      <w:r>
        <w:rPr>
          <w:color w:val="000000"/>
        </w:rPr>
        <w:t>:18</w:t>
      </w:r>
      <w:r>
        <w:rPr>
          <w:color w:val="000000"/>
          <w:lang w:val="ru-RU"/>
        </w:rPr>
        <w:t>2 и 16:15:030502:196</w:t>
      </w:r>
      <w:r>
        <w:rPr>
          <w:color w:val="000000"/>
          <w:szCs w:val="28"/>
        </w:rPr>
        <w:t>)</w:t>
      </w:r>
      <w:r>
        <w:rPr>
          <w:color w:val="000000"/>
          <w:szCs w:val="28"/>
          <w:lang w:val="ru-RU"/>
        </w:rPr>
        <w:t>, расположенного</w:t>
      </w:r>
      <w:r>
        <w:rPr>
          <w:color w:val="000000"/>
        </w:rPr>
        <w:t xml:space="preserve"> </w:t>
      </w:r>
      <w:r>
        <w:rPr>
          <w:color w:val="000000"/>
          <w:lang w:val="ru-RU"/>
        </w:rPr>
        <w:t>в с.Ташевка</w:t>
      </w:r>
      <w:r>
        <w:rPr>
          <w:color w:val="000000"/>
          <w:szCs w:val="28"/>
        </w:rPr>
        <w:t xml:space="preserve">, в связи с расположением в водоохранной зоне </w:t>
      </w:r>
      <w:r>
        <w:rPr>
          <w:color w:val="000000"/>
          <w:szCs w:val="28"/>
          <w:lang w:val="ru-RU"/>
        </w:rPr>
        <w:t>водного объекта</w:t>
      </w:r>
      <w:r>
        <w:rPr>
          <w:color w:val="000000"/>
          <w:szCs w:val="28"/>
        </w:rPr>
        <w:t xml:space="preserve">. Площадь </w:t>
      </w:r>
      <w:r>
        <w:rPr>
          <w:color w:val="000000"/>
          <w:szCs w:val="28"/>
          <w:lang w:val="ru-RU"/>
        </w:rPr>
        <w:t xml:space="preserve">рекомендуемой </w:t>
      </w:r>
      <w:r>
        <w:rPr>
          <w:color w:val="000000"/>
          <w:szCs w:val="28"/>
        </w:rPr>
        <w:t xml:space="preserve">закрываемой части кладбища составит </w:t>
      </w:r>
      <w:r>
        <w:rPr>
          <w:color w:val="000000"/>
          <w:szCs w:val="28"/>
          <w:lang w:val="ru-RU"/>
        </w:rPr>
        <w:t>1,3776</w:t>
      </w:r>
      <w:r>
        <w:rPr>
          <w:color w:val="000000"/>
          <w:szCs w:val="28"/>
        </w:rPr>
        <w:t xml:space="preserve"> га</w:t>
      </w:r>
      <w:r>
        <w:rPr>
          <w:color w:val="000000"/>
          <w:szCs w:val="28"/>
          <w:lang w:val="ru-RU"/>
        </w:rPr>
        <w:t>;</w:t>
      </w:r>
    </w:p>
    <w:p>
      <w:pPr>
        <w:pStyle w:val="Style89"/>
        <w:numPr>
          <w:ilvl w:val="0"/>
          <w:numId w:val="0"/>
        </w:numPr>
        <w:tabs>
          <w:tab w:val="clear" w:pos="709"/>
          <w:tab w:val="left" w:pos="980" w:leader="none"/>
          <w:tab w:val="left" w:pos="1080" w:leader="none"/>
          <w:tab w:val="left" w:pos="2263" w:leader="none"/>
        </w:tabs>
        <w:ind w:left="0" w:firstLine="851"/>
        <w:jc w:val="both"/>
        <w:rPr>
          <w:color w:val="000000"/>
          <w:szCs w:val="28"/>
        </w:rPr>
      </w:pPr>
      <w:r>
        <w:rPr>
          <w:color w:val="000000"/>
          <w:szCs w:val="28"/>
        </w:rPr>
        <w:t xml:space="preserve">Свободные территории действующих кладбищ в полной мере обеспечивают прогнозные потребности населения в кладбищах традиционного захоронения. </w:t>
      </w:r>
    </w:p>
    <w:p>
      <w:pPr>
        <w:pStyle w:val="Style87"/>
        <w:jc w:val="both"/>
        <w:rPr/>
      </w:pPr>
      <w:bookmarkStart w:id="310" w:name="_Hlk151560263"/>
      <w:bookmarkEnd w:id="310"/>
      <w:r>
        <w:rPr>
          <w:i w:val="false"/>
          <w:color w:val="FF0066"/>
          <w:szCs w:val="28"/>
        </w:rPr>
        <w:t xml:space="preserve"> </w:t>
      </w:r>
      <w:bookmarkStart w:id="311" w:name="_Hlk151560282"/>
      <w:r>
        <w:rPr>
          <w:i w:val="false"/>
          <w:color w:val="000000"/>
          <w:szCs w:val="28"/>
        </w:rPr>
        <w:t xml:space="preserve">Генеральным планом </w:t>
      </w:r>
      <w:r>
        <w:rPr>
          <w:i w:val="false"/>
          <w:color w:val="000000"/>
          <w:szCs w:val="28"/>
          <w:lang w:val="ru-RU"/>
        </w:rPr>
        <w:t xml:space="preserve">Вахитовского </w:t>
      </w:r>
      <w:r>
        <w:rPr>
          <w:i w:val="false"/>
          <w:color w:val="000000"/>
          <w:szCs w:val="28"/>
        </w:rPr>
        <w:t>сельского поселения предлагается приведение землеустроительной документации для земель под кладбищами в соответствие с функциональным использованием территории, а именно установление для земельного участка под кладбищем категории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установлением вида разрешенного использования 12.1. «Ритуальная деятельность».</w:t>
      </w:r>
      <w:bookmarkEnd w:id="311"/>
    </w:p>
    <w:p>
      <w:pPr>
        <w:pStyle w:val="Style89"/>
        <w:numPr>
          <w:ilvl w:val="0"/>
          <w:numId w:val="0"/>
        </w:numPr>
        <w:tabs>
          <w:tab w:val="clear" w:pos="709"/>
          <w:tab w:val="left" w:pos="980" w:leader="none"/>
          <w:tab w:val="left" w:pos="1080" w:leader="none"/>
          <w:tab w:val="left" w:pos="2263" w:leader="none"/>
        </w:tabs>
        <w:ind w:left="0" w:firstLine="851"/>
        <w:jc w:val="both"/>
        <w:rPr>
          <w:i/>
          <w:i/>
          <w:color w:val="FF0066"/>
          <w:szCs w:val="28"/>
          <w:lang w:val="ru-RU"/>
        </w:rPr>
      </w:pPr>
      <w:r>
        <w:rPr>
          <w:i/>
          <w:color w:val="FF0066"/>
          <w:szCs w:val="28"/>
          <w:lang w:val="ru-RU"/>
        </w:rPr>
      </w:r>
    </w:p>
    <w:p>
      <w:pPr>
        <w:pStyle w:val="2"/>
        <w:numPr>
          <w:ilvl w:val="1"/>
          <w:numId w:val="7"/>
        </w:numPr>
        <w:jc w:val="both"/>
        <w:rPr/>
      </w:pPr>
      <w:bookmarkStart w:id="312" w:name="__RefHeading___Toc156489436"/>
      <w:bookmarkEnd w:id="312"/>
      <w:r>
        <w:rPr>
          <w:color w:val="000000"/>
        </w:rPr>
        <w:t xml:space="preserve">Развитие </w:t>
      </w:r>
      <w:r>
        <w:rPr>
          <w:color w:val="000000"/>
          <w:lang w:val="ru-RU"/>
        </w:rPr>
        <w:t>туристско-</w:t>
      </w:r>
      <w:r>
        <w:rPr>
          <w:color w:val="000000"/>
        </w:rPr>
        <w:t>рекреационных территорий</w:t>
      </w:r>
    </w:p>
    <w:p>
      <w:pPr>
        <w:pStyle w:val="Normal"/>
        <w:jc w:val="both"/>
        <w:rPr/>
      </w:pPr>
      <w:bookmarkStart w:id="313" w:name="_Hlk151560347"/>
      <w:bookmarkEnd w:id="313"/>
      <w:r>
        <w:rPr>
          <w:color w:val="000000"/>
          <w:szCs w:val="28"/>
        </w:rPr>
        <w:t>Схемой территориального планирования Верхнеуслонского муниципального района предусмотрены мероприятия:</w:t>
      </w:r>
    </w:p>
    <w:p>
      <w:pPr>
        <w:pStyle w:val="Normal"/>
        <w:jc w:val="both"/>
        <w:rPr/>
      </w:pPr>
      <w:r>
        <w:rPr>
          <w:color w:val="000000"/>
          <w:szCs w:val="28"/>
        </w:rPr>
        <w:t>- организация культурно-ландшафтного маршрута «Среднее Верхнеуслонское Кольцо»;</w:t>
      </w:r>
    </w:p>
    <w:p>
      <w:pPr>
        <w:pStyle w:val="Normal"/>
        <w:ind w:firstLine="708"/>
        <w:jc w:val="both"/>
        <w:rPr/>
      </w:pPr>
      <w:r>
        <w:rPr>
          <w:color w:val="000000"/>
          <w:szCs w:val="28"/>
        </w:rPr>
        <w:t>- организация культурно-ландшафтного маршрута «Большое Верхнеуслонское Кольцо»;</w:t>
      </w:r>
    </w:p>
    <w:p>
      <w:pPr>
        <w:pStyle w:val="Normal"/>
        <w:ind w:firstLine="708"/>
        <w:jc w:val="both"/>
        <w:rPr/>
      </w:pPr>
      <w:r>
        <w:rPr>
          <w:color w:val="000000"/>
          <w:szCs w:val="28"/>
        </w:rPr>
        <w:t xml:space="preserve">- организация туристско-рекреационного маршрута регионального значения «Жемчужное ожерелье Татарстана – Малое кольцо»; </w:t>
      </w:r>
    </w:p>
    <w:p>
      <w:pPr>
        <w:pStyle w:val="Normal"/>
        <w:jc w:val="both"/>
        <w:rPr/>
      </w:pPr>
      <w:r>
        <w:rPr>
          <w:color w:val="000000"/>
          <w:szCs w:val="28"/>
        </w:rPr>
        <w:t>- реконструкция детского оздоровительного лагеря в с.Ташевка.</w:t>
      </w:r>
    </w:p>
    <w:p>
      <w:pPr>
        <w:pStyle w:val="Normal"/>
        <w:jc w:val="both"/>
        <w:rPr/>
      </w:pPr>
      <w:r>
        <w:rPr>
          <w:color w:val="000000"/>
          <w:szCs w:val="28"/>
        </w:rPr>
        <w:t>Развитие туристско-рекреационных территорий в проекте внесения изменений в генеральный план Вахитовского сельского поселения предусматривает мероприятия по организации системы зеленых насаждений как зон отдыха местного населения и площадок отдыха посетителей. Проектом внесения изменений в генеральный план предусмотрено размещение сервисной зоны отдыха Волжской тропы на участке с кадастровым номером 16:15:000000:2717 согласно протоколу совещания Министерства земельных и имущественных отношений РТ от 22.12.2022 №68.</w:t>
      </w:r>
    </w:p>
    <w:p>
      <w:pPr>
        <w:pStyle w:val="Normal"/>
        <w:jc w:val="both"/>
        <w:rPr/>
      </w:pPr>
      <w:r>
        <w:rPr>
          <w:color w:val="000000"/>
          <w:szCs w:val="28"/>
        </w:rPr>
        <w:t>Комплекс мероприятий по организации системы зеленых насаждений, необходимый для создания благоприятных возможностей для отдыха людей, улучшения облика сельского населенного пункта предусматривает два основных этапа: организация озеленения общего пользования и организация озеленения ограниченного пользования.</w:t>
      </w:r>
    </w:p>
    <w:p>
      <w:pPr>
        <w:pStyle w:val="Normal"/>
        <w:jc w:val="both"/>
        <w:rPr/>
      </w:pPr>
      <w:r>
        <w:rPr>
          <w:color w:val="000000"/>
          <w:szCs w:val="28"/>
        </w:rPr>
        <w:t>Мероприятия по организации зеленых насаждений общего пользования – создание скверов у административных и общественных зданий, центров повседневного обслуживания, устройство бульвара на главной улице, озеленение улиц, устройство цветников и газонов.</w:t>
      </w:r>
    </w:p>
    <w:p>
      <w:pPr>
        <w:pStyle w:val="Normal"/>
        <w:jc w:val="both"/>
        <w:rPr/>
      </w:pPr>
      <w:r>
        <w:rPr>
          <w:color w:val="000000"/>
          <w:szCs w:val="28"/>
        </w:rPr>
        <w:t xml:space="preserve">Мероприятия по организации зеленых насаждений ограниченного пользования – озеленение территорий объектов образования и воспитания и др. объектов социального и культурно-бытового обслуживания (устройство палисадников, посадка фруктовых и декоративных деревьев, кустарников, устройство цветников). </w:t>
      </w:r>
    </w:p>
    <w:p>
      <w:pPr>
        <w:sectPr>
          <w:footerReference w:type="default" r:id="rId124"/>
          <w:footerReference w:type="first" r:id="rId125"/>
          <w:footnotePr>
            <w:numFmt w:val="decimal"/>
          </w:footnotePr>
          <w:type w:val="nextPage"/>
          <w:pgSz w:w="11906" w:h="16838"/>
          <w:pgMar w:left="1134" w:right="851" w:gutter="0" w:header="0" w:top="851" w:footer="708" w:bottom="851"/>
          <w:pgNumType w:fmt="decimal"/>
          <w:formProt w:val="false"/>
          <w:textDirection w:val="lrTb"/>
          <w:docGrid w:type="default" w:linePitch="360" w:charSpace="0"/>
        </w:sectPr>
        <w:pStyle w:val="Normal"/>
        <w:rPr>
          <w:color w:val="FF0066"/>
          <w:szCs w:val="28"/>
        </w:rPr>
      </w:pPr>
      <w:r>
        <w:rPr>
          <w:color w:val="FF0066"/>
          <w:szCs w:val="28"/>
        </w:rPr>
      </w:r>
      <w:bookmarkStart w:id="314" w:name="_Hlk151560347"/>
      <w:bookmarkStart w:id="315" w:name="_Hlk151560347"/>
      <w:bookmarkEnd w:id="315"/>
    </w:p>
    <w:p>
      <w:pPr>
        <w:pStyle w:val="Normal"/>
        <w:jc w:val="right"/>
        <w:rPr/>
      </w:pPr>
      <w:r>
        <w:rPr>
          <w:color w:val="000000"/>
          <w:szCs w:val="28"/>
        </w:rPr>
        <w:t>Таблица 4.9.1</w:t>
      </w:r>
    </w:p>
    <w:p>
      <w:pPr>
        <w:pStyle w:val="Normal"/>
        <w:jc w:val="center"/>
        <w:rPr>
          <w:color w:val="000000"/>
          <w:szCs w:val="28"/>
        </w:rPr>
      </w:pPr>
      <w:r>
        <w:rPr>
          <w:color w:val="000000"/>
          <w:szCs w:val="28"/>
        </w:rPr>
        <w:t xml:space="preserve">Перечень мероприятий по развитию туристско-рекреационных территорий </w:t>
      </w:r>
    </w:p>
    <w:p>
      <w:pPr>
        <w:pStyle w:val="Normal"/>
        <w:jc w:val="center"/>
        <w:rPr>
          <w:i/>
          <w:i/>
          <w:color w:val="000000"/>
        </w:rPr>
      </w:pPr>
      <w:r>
        <w:rPr>
          <w:i/>
          <w:color w:val="000000"/>
          <w:szCs w:val="28"/>
        </w:rPr>
        <w:t>в Вахитовском</w:t>
      </w:r>
      <w:r>
        <w:rPr>
          <w:i/>
          <w:color w:val="000000"/>
        </w:rPr>
        <w:t xml:space="preserve"> сельском поселении</w:t>
      </w:r>
    </w:p>
    <w:tbl>
      <w:tblPr>
        <w:tblW w:w="5000" w:type="pct"/>
        <w:jc w:val="center"/>
        <w:tblInd w:w="0" w:type="dxa"/>
        <w:tblLayout w:type="fixed"/>
        <w:tblCellMar>
          <w:top w:w="0" w:type="dxa"/>
          <w:left w:w="108" w:type="dxa"/>
          <w:bottom w:w="0" w:type="dxa"/>
          <w:right w:w="108" w:type="dxa"/>
        </w:tblCellMar>
      </w:tblPr>
      <w:tblGrid>
        <w:gridCol w:w="479"/>
        <w:gridCol w:w="1621"/>
        <w:gridCol w:w="1689"/>
        <w:gridCol w:w="1524"/>
        <w:gridCol w:w="1711"/>
        <w:gridCol w:w="1525"/>
        <w:gridCol w:w="1623"/>
        <w:gridCol w:w="1441"/>
        <w:gridCol w:w="1467"/>
        <w:gridCol w:w="1773"/>
      </w:tblGrid>
      <w:tr>
        <w:trPr>
          <w:tblHeader w:val="true"/>
          <w:trHeight w:val="362" w:hRule="atLeast"/>
          <w:cantSplit w:val="true"/>
        </w:trPr>
        <w:tc>
          <w:tcPr>
            <w:tcW w:w="479"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bookmarkStart w:id="316" w:name="_Hlk151560565"/>
            <w:bookmarkEnd w:id="316"/>
            <w:r>
              <w:rPr>
                <w:color w:val="000000"/>
                <w:sz w:val="20"/>
                <w:szCs w:val="20"/>
              </w:rPr>
              <w:t xml:space="preserve">№ </w:t>
            </w:r>
            <w:r>
              <w:rPr>
                <w:color w:val="000000"/>
                <w:sz w:val="20"/>
                <w:szCs w:val="20"/>
              </w:rPr>
              <w:t>п/п</w:t>
            </w:r>
          </w:p>
        </w:tc>
        <w:tc>
          <w:tcPr>
            <w:tcW w:w="1621"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Наименование населенного пункта, входящего в состав поселения</w:t>
            </w:r>
          </w:p>
        </w:tc>
        <w:tc>
          <w:tcPr>
            <w:tcW w:w="1689"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pPr>
            <w:r>
              <w:rPr>
                <w:color w:val="000000"/>
                <w:sz w:val="20"/>
                <w:szCs w:val="20"/>
              </w:rPr>
              <w:t>Наименование объекта</w:t>
            </w:r>
          </w:p>
        </w:tc>
        <w:tc>
          <w:tcPr>
            <w:tcW w:w="1524"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Вид мероприятия</w:t>
            </w:r>
          </w:p>
        </w:tc>
        <w:tc>
          <w:tcPr>
            <w:tcW w:w="1711"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pPr>
            <w:r>
              <w:rPr>
                <w:color w:val="000000"/>
                <w:sz w:val="20"/>
                <w:szCs w:val="20"/>
              </w:rPr>
              <w:t>Единица измерения</w:t>
            </w:r>
          </w:p>
        </w:tc>
        <w:tc>
          <w:tcPr>
            <w:tcW w:w="3148" w:type="dxa"/>
            <w:gridSpan w:val="2"/>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Мощность</w:t>
            </w:r>
          </w:p>
        </w:tc>
        <w:tc>
          <w:tcPr>
            <w:tcW w:w="2908" w:type="dxa"/>
            <w:gridSpan w:val="2"/>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Сроки реализации</w:t>
            </w:r>
          </w:p>
        </w:tc>
        <w:tc>
          <w:tcPr>
            <w:tcW w:w="1773" w:type="dxa"/>
            <w:vMerge w:val="restart"/>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Источник мероприятия (наименование документа)</w:t>
            </w:r>
          </w:p>
        </w:tc>
      </w:tr>
      <w:tr>
        <w:trPr>
          <w:trHeight w:val="381" w:hRule="atLeast"/>
          <w:cantSplit w:val="true"/>
        </w:trPr>
        <w:tc>
          <w:tcPr>
            <w:tcW w:w="479" w:type="dxa"/>
            <w:vMerge w:val="continue"/>
            <w:tcBorders>
              <w:top w:val="single" w:sz="4" w:space="0" w:color="000000"/>
              <w:left w:val="single" w:sz="4" w:space="0" w:color="000000"/>
              <w:bottom w:val="single" w:sz="4" w:space="0" w:color="000000"/>
              <w:right w:val="single" w:sz="4" w:space="0" w:color="000000"/>
            </w:tcBorders>
            <w:vAlign w:val="center"/>
          </w:tcPr>
          <w:p>
            <w:pPr>
              <w:pStyle w:val="Style76"/>
              <w:snapToGrid w:val="false"/>
              <w:jc w:val="center"/>
              <w:rPr>
                <w:color w:val="000000"/>
                <w:sz w:val="20"/>
                <w:szCs w:val="20"/>
              </w:rPr>
            </w:pPr>
            <w:r>
              <w:rPr>
                <w:color w:val="000000"/>
                <w:sz w:val="20"/>
                <w:szCs w:val="20"/>
              </w:rPr>
            </w:r>
          </w:p>
        </w:tc>
        <w:tc>
          <w:tcPr>
            <w:tcW w:w="1621" w:type="dxa"/>
            <w:vMerge w:val="continue"/>
            <w:tcBorders>
              <w:top w:val="single" w:sz="4" w:space="0" w:color="000000"/>
              <w:left w:val="single" w:sz="4" w:space="0" w:color="000000"/>
              <w:bottom w:val="single" w:sz="4" w:space="0" w:color="000000"/>
              <w:right w:val="single" w:sz="4" w:space="0" w:color="000000"/>
            </w:tcBorders>
            <w:vAlign w:val="center"/>
          </w:tcPr>
          <w:p>
            <w:pPr>
              <w:pStyle w:val="Style76"/>
              <w:snapToGrid w:val="false"/>
              <w:jc w:val="center"/>
              <w:rPr>
                <w:color w:val="000000"/>
                <w:sz w:val="20"/>
                <w:szCs w:val="20"/>
              </w:rPr>
            </w:pPr>
            <w:r>
              <w:rPr>
                <w:color w:val="000000"/>
                <w:sz w:val="20"/>
                <w:szCs w:val="20"/>
              </w:rPr>
            </w:r>
          </w:p>
        </w:tc>
        <w:tc>
          <w:tcPr>
            <w:tcW w:w="1689" w:type="dxa"/>
            <w:vMerge w:val="continue"/>
            <w:tcBorders>
              <w:top w:val="single" w:sz="4" w:space="0" w:color="000000"/>
              <w:left w:val="single" w:sz="4" w:space="0" w:color="000000"/>
              <w:bottom w:val="single" w:sz="4" w:space="0" w:color="000000"/>
              <w:right w:val="single" w:sz="4" w:space="0" w:color="000000"/>
            </w:tcBorders>
            <w:vAlign w:val="center"/>
          </w:tcPr>
          <w:p>
            <w:pPr>
              <w:pStyle w:val="Style76"/>
              <w:snapToGrid w:val="false"/>
              <w:jc w:val="center"/>
              <w:rPr>
                <w:color w:val="000000"/>
                <w:sz w:val="20"/>
                <w:szCs w:val="20"/>
              </w:rPr>
            </w:pPr>
            <w:r>
              <w:rPr>
                <w:color w:val="000000"/>
                <w:sz w:val="20"/>
                <w:szCs w:val="20"/>
              </w:rPr>
            </w:r>
          </w:p>
        </w:tc>
        <w:tc>
          <w:tcPr>
            <w:tcW w:w="1524" w:type="dxa"/>
            <w:vMerge w:val="continue"/>
            <w:tcBorders>
              <w:top w:val="single" w:sz="4" w:space="0" w:color="000000"/>
              <w:left w:val="single" w:sz="4" w:space="0" w:color="000000"/>
              <w:bottom w:val="single" w:sz="4" w:space="0" w:color="000000"/>
              <w:right w:val="single" w:sz="4" w:space="0" w:color="000000"/>
            </w:tcBorders>
            <w:vAlign w:val="center"/>
          </w:tcPr>
          <w:p>
            <w:pPr>
              <w:pStyle w:val="Style76"/>
              <w:snapToGrid w:val="false"/>
              <w:jc w:val="center"/>
              <w:rPr>
                <w:color w:val="000000"/>
                <w:sz w:val="20"/>
                <w:szCs w:val="20"/>
              </w:rPr>
            </w:pPr>
            <w:r>
              <w:rPr>
                <w:color w:val="000000"/>
                <w:sz w:val="20"/>
                <w:szCs w:val="20"/>
              </w:rPr>
            </w:r>
          </w:p>
        </w:tc>
        <w:tc>
          <w:tcPr>
            <w:tcW w:w="1711" w:type="dxa"/>
            <w:vMerge w:val="continue"/>
            <w:tcBorders>
              <w:top w:val="single" w:sz="4" w:space="0" w:color="000000"/>
              <w:left w:val="single" w:sz="4" w:space="0" w:color="000000"/>
              <w:bottom w:val="single" w:sz="4" w:space="0" w:color="000000"/>
              <w:right w:val="single" w:sz="4" w:space="0" w:color="000000"/>
            </w:tcBorders>
            <w:vAlign w:val="center"/>
          </w:tcPr>
          <w:p>
            <w:pPr>
              <w:pStyle w:val="Style76"/>
              <w:snapToGrid w:val="false"/>
              <w:jc w:val="center"/>
              <w:rPr>
                <w:color w:val="000000"/>
                <w:sz w:val="20"/>
                <w:szCs w:val="20"/>
              </w:rPr>
            </w:pPr>
            <w:r>
              <w:rPr>
                <w:color w:val="000000"/>
                <w:sz w:val="20"/>
                <w:szCs w:val="20"/>
              </w:rPr>
            </w:r>
          </w:p>
        </w:tc>
        <w:tc>
          <w:tcPr>
            <w:tcW w:w="1525" w:type="dxa"/>
            <w:tcBorders>
              <w:top w:val="single" w:sz="4" w:space="0" w:color="000000"/>
              <w:left w:val="single" w:sz="4" w:space="0" w:color="000000"/>
              <w:bottom w:val="single" w:sz="4" w:space="0" w:color="000000"/>
              <w:right w:val="single" w:sz="4" w:space="0" w:color="000000"/>
            </w:tcBorders>
            <w:vAlign w:val="center"/>
          </w:tcPr>
          <w:p>
            <w:pPr>
              <w:pStyle w:val="Style76"/>
              <w:jc w:val="center"/>
              <w:rPr/>
            </w:pPr>
            <w:r>
              <w:rPr>
                <w:color w:val="000000"/>
                <w:sz w:val="20"/>
                <w:szCs w:val="20"/>
              </w:rPr>
              <w:t>Существующая</w:t>
            </w:r>
          </w:p>
        </w:tc>
        <w:tc>
          <w:tcPr>
            <w:tcW w:w="1623" w:type="dxa"/>
            <w:tcBorders>
              <w:top w:val="single" w:sz="4" w:space="0" w:color="000000"/>
              <w:left w:val="single" w:sz="4" w:space="0" w:color="000000"/>
              <w:bottom w:val="single" w:sz="4" w:space="0" w:color="000000"/>
              <w:right w:val="single" w:sz="4" w:space="0" w:color="000000"/>
            </w:tcBorders>
            <w:vAlign w:val="center"/>
          </w:tcPr>
          <w:p>
            <w:pPr>
              <w:pStyle w:val="Style76"/>
              <w:jc w:val="center"/>
              <w:rPr/>
            </w:pPr>
            <w:r>
              <w:rPr>
                <w:color w:val="000000"/>
                <w:sz w:val="20"/>
                <w:szCs w:val="20"/>
              </w:rPr>
              <w:t>Дополнительная</w:t>
            </w:r>
          </w:p>
        </w:tc>
        <w:tc>
          <w:tcPr>
            <w:tcW w:w="1441" w:type="dxa"/>
            <w:tcBorders>
              <w:top w:val="single" w:sz="4" w:space="0" w:color="000000"/>
              <w:left w:val="single" w:sz="4" w:space="0" w:color="000000"/>
              <w:bottom w:val="single" w:sz="4" w:space="0" w:color="000000"/>
              <w:right w:val="single" w:sz="4" w:space="0" w:color="000000"/>
            </w:tcBorders>
            <w:vAlign w:val="center"/>
          </w:tcPr>
          <w:p>
            <w:pPr>
              <w:pStyle w:val="Style75"/>
              <w:rPr/>
            </w:pPr>
            <w:r>
              <w:rPr>
                <w:color w:val="000000"/>
                <w:sz w:val="20"/>
                <w:szCs w:val="20"/>
              </w:rPr>
              <w:t>Первая очередь (до 2032 г.)</w:t>
            </w:r>
          </w:p>
        </w:tc>
        <w:tc>
          <w:tcPr>
            <w:tcW w:w="1467" w:type="dxa"/>
            <w:tcBorders>
              <w:top w:val="single" w:sz="4" w:space="0" w:color="000000"/>
              <w:left w:val="single" w:sz="4" w:space="0" w:color="000000"/>
              <w:bottom w:val="single" w:sz="4" w:space="0" w:color="000000"/>
              <w:right w:val="single" w:sz="4" w:space="0" w:color="000000"/>
            </w:tcBorders>
            <w:vAlign w:val="center"/>
          </w:tcPr>
          <w:p>
            <w:pPr>
              <w:pStyle w:val="Style75"/>
              <w:rPr/>
            </w:pPr>
            <w:r>
              <w:rPr>
                <w:color w:val="000000"/>
                <w:sz w:val="20"/>
                <w:szCs w:val="20"/>
              </w:rPr>
              <w:t>Расчетный срок</w:t>
            </w:r>
          </w:p>
          <w:p>
            <w:pPr>
              <w:pStyle w:val="Style75"/>
              <w:rPr/>
            </w:pPr>
            <w:r>
              <w:rPr>
                <w:color w:val="000000"/>
                <w:sz w:val="20"/>
                <w:szCs w:val="20"/>
              </w:rPr>
              <w:t>(2033-2047 гг.)</w:t>
            </w:r>
          </w:p>
        </w:tc>
        <w:tc>
          <w:tcPr>
            <w:tcW w:w="1773" w:type="dxa"/>
            <w:vMerge w:val="continue"/>
            <w:tcBorders>
              <w:top w:val="single" w:sz="4" w:space="0" w:color="000000"/>
              <w:left w:val="single" w:sz="4" w:space="0" w:color="000000"/>
              <w:bottom w:val="single" w:sz="4" w:space="0" w:color="000000"/>
              <w:right w:val="single" w:sz="4" w:space="0" w:color="000000"/>
            </w:tcBorders>
            <w:vAlign w:val="center"/>
          </w:tcPr>
          <w:p>
            <w:pPr>
              <w:pStyle w:val="Style76"/>
              <w:snapToGrid w:val="false"/>
              <w:jc w:val="center"/>
              <w:rPr>
                <w:color w:val="000000"/>
                <w:sz w:val="20"/>
                <w:szCs w:val="20"/>
              </w:rPr>
            </w:pPr>
            <w:r>
              <w:rPr>
                <w:color w:val="000000"/>
                <w:sz w:val="20"/>
                <w:szCs w:val="20"/>
              </w:rPr>
            </w:r>
          </w:p>
        </w:tc>
      </w:tr>
      <w:tr>
        <w:trPr>
          <w:trHeight w:val="279" w:hRule="atLeast"/>
          <w:cantSplit w:val="true"/>
        </w:trPr>
        <w:tc>
          <w:tcPr>
            <w:tcW w:w="14853" w:type="dxa"/>
            <w:gridSpan w:val="10"/>
            <w:tcBorders>
              <w:top w:val="single" w:sz="4" w:space="0" w:color="000000"/>
              <w:left w:val="single" w:sz="4" w:space="0" w:color="000000"/>
              <w:bottom w:val="single" w:sz="4" w:space="0" w:color="000000"/>
              <w:right w:val="single" w:sz="4" w:space="0" w:color="000000"/>
            </w:tcBorders>
            <w:vAlign w:val="center"/>
          </w:tcPr>
          <w:p>
            <w:pPr>
              <w:pStyle w:val="Style76"/>
              <w:jc w:val="center"/>
              <w:rPr>
                <w:color w:val="000000"/>
                <w:sz w:val="20"/>
                <w:szCs w:val="20"/>
                <w:lang w:val="ru-RU"/>
              </w:rPr>
            </w:pPr>
            <w:r>
              <w:rPr>
                <w:color w:val="000000"/>
                <w:sz w:val="20"/>
                <w:szCs w:val="20"/>
                <w:lang w:val="ru-RU"/>
              </w:rPr>
              <w:t>МЕРОПРИЯТИЯ МЕСТНОГО (РАЙОННОГО) ЗНАЧЕНИЯ</w:t>
            </w:r>
          </w:p>
        </w:tc>
      </w:tr>
      <w:tr>
        <w:trPr>
          <w:trHeight w:val="381" w:hRule="atLeast"/>
          <w:cantSplit w:val="true"/>
        </w:trPr>
        <w:tc>
          <w:tcPr>
            <w:tcW w:w="479" w:type="dxa"/>
            <w:tcBorders>
              <w:top w:val="single" w:sz="4" w:space="0" w:color="000000"/>
              <w:left w:val="single" w:sz="4" w:space="0" w:color="000000"/>
              <w:bottom w:val="single" w:sz="4" w:space="0" w:color="000000"/>
              <w:right w:val="single" w:sz="4" w:space="0" w:color="000000"/>
            </w:tcBorders>
            <w:vAlign w:val="center"/>
          </w:tcPr>
          <w:p>
            <w:pPr>
              <w:pStyle w:val="Style76"/>
              <w:jc w:val="center"/>
              <w:rPr>
                <w:color w:val="000000"/>
                <w:sz w:val="20"/>
                <w:szCs w:val="20"/>
                <w:lang w:val="ru-RU"/>
              </w:rPr>
            </w:pPr>
            <w:r>
              <w:rPr>
                <w:color w:val="000000"/>
                <w:sz w:val="20"/>
                <w:szCs w:val="20"/>
                <w:lang w:val="ru-RU"/>
              </w:rPr>
              <w:t>1</w:t>
            </w:r>
          </w:p>
        </w:tc>
        <w:tc>
          <w:tcPr>
            <w:tcW w:w="1621" w:type="dxa"/>
            <w:tcBorders>
              <w:top w:val="single" w:sz="4" w:space="0" w:color="000000"/>
              <w:left w:val="single" w:sz="4" w:space="0" w:color="000000"/>
              <w:bottom w:val="single" w:sz="4" w:space="0" w:color="000000"/>
              <w:right w:val="single" w:sz="4" w:space="0" w:color="000000"/>
            </w:tcBorders>
            <w:vAlign w:val="center"/>
          </w:tcPr>
          <w:p>
            <w:pPr>
              <w:pStyle w:val="Style76"/>
              <w:jc w:val="center"/>
              <w:rPr/>
            </w:pPr>
            <w:r>
              <w:rPr>
                <w:color w:val="000000"/>
                <w:sz w:val="20"/>
                <w:szCs w:val="20"/>
                <w:lang w:val="ru-RU"/>
              </w:rPr>
              <w:t>Вахитовское сельское поселение</w:t>
            </w:r>
          </w:p>
        </w:tc>
        <w:tc>
          <w:tcPr>
            <w:tcW w:w="1689" w:type="dxa"/>
            <w:tcBorders>
              <w:top w:val="single" w:sz="4" w:space="0" w:color="000000"/>
              <w:left w:val="single" w:sz="4" w:space="0" w:color="000000"/>
              <w:bottom w:val="single" w:sz="4" w:space="0" w:color="000000"/>
              <w:right w:val="single" w:sz="4" w:space="0" w:color="000000"/>
            </w:tcBorders>
            <w:vAlign w:val="center"/>
          </w:tcPr>
          <w:p>
            <w:pPr>
              <w:pStyle w:val="Style76"/>
              <w:jc w:val="center"/>
              <w:rPr/>
            </w:pPr>
            <w:r>
              <w:rPr>
                <w:color w:val="000000"/>
                <w:sz w:val="20"/>
                <w:szCs w:val="28"/>
                <w:lang w:val="ru-RU"/>
              </w:rPr>
              <w:t>К</w:t>
            </w:r>
            <w:r>
              <w:rPr>
                <w:color w:val="000000"/>
                <w:sz w:val="20"/>
                <w:szCs w:val="28"/>
              </w:rPr>
              <w:t>ультурно-ландшафтн</w:t>
            </w:r>
            <w:r>
              <w:rPr>
                <w:color w:val="000000"/>
                <w:sz w:val="20"/>
                <w:szCs w:val="28"/>
                <w:lang w:val="ru-RU"/>
              </w:rPr>
              <w:t>ый</w:t>
            </w:r>
            <w:r>
              <w:rPr>
                <w:color w:val="000000"/>
                <w:sz w:val="20"/>
                <w:szCs w:val="28"/>
              </w:rPr>
              <w:t xml:space="preserve"> маршрут «Большое Верхнеуслонское Кольцо»</w:t>
            </w:r>
          </w:p>
        </w:tc>
        <w:tc>
          <w:tcPr>
            <w:tcW w:w="1524" w:type="dxa"/>
            <w:tcBorders>
              <w:top w:val="single" w:sz="4" w:space="0" w:color="000000"/>
              <w:left w:val="single" w:sz="4" w:space="0" w:color="000000"/>
              <w:bottom w:val="single" w:sz="4" w:space="0" w:color="000000"/>
              <w:right w:val="single" w:sz="4" w:space="0" w:color="000000"/>
            </w:tcBorders>
            <w:vAlign w:val="center"/>
          </w:tcPr>
          <w:p>
            <w:pPr>
              <w:pStyle w:val="Style76"/>
              <w:jc w:val="center"/>
              <w:rPr>
                <w:color w:val="000000"/>
                <w:sz w:val="20"/>
                <w:szCs w:val="20"/>
                <w:lang w:val="ru-RU"/>
              </w:rPr>
            </w:pPr>
            <w:r>
              <w:rPr>
                <w:color w:val="000000"/>
                <w:sz w:val="20"/>
                <w:szCs w:val="20"/>
                <w:lang w:val="ru-RU"/>
              </w:rPr>
              <w:t>Организация маршрута</w:t>
            </w:r>
          </w:p>
        </w:tc>
        <w:tc>
          <w:tcPr>
            <w:tcW w:w="1711" w:type="dxa"/>
            <w:tcBorders>
              <w:top w:val="single" w:sz="4" w:space="0" w:color="000000"/>
              <w:left w:val="single" w:sz="4" w:space="0" w:color="000000"/>
              <w:bottom w:val="single" w:sz="4" w:space="0" w:color="000000"/>
              <w:right w:val="single" w:sz="4" w:space="0" w:color="000000"/>
            </w:tcBorders>
            <w:vAlign w:val="center"/>
          </w:tcPr>
          <w:p>
            <w:pPr>
              <w:pStyle w:val="Style76"/>
              <w:jc w:val="center"/>
              <w:rPr>
                <w:color w:val="000000"/>
                <w:sz w:val="20"/>
                <w:szCs w:val="20"/>
                <w:lang w:val="ru-RU"/>
              </w:rPr>
            </w:pPr>
            <w:r>
              <w:rPr>
                <w:color w:val="000000"/>
                <w:sz w:val="20"/>
                <w:szCs w:val="20"/>
                <w:lang w:val="ru-RU"/>
              </w:rPr>
              <w:t>-</w:t>
            </w:r>
          </w:p>
        </w:tc>
        <w:tc>
          <w:tcPr>
            <w:tcW w:w="1525" w:type="dxa"/>
            <w:tcBorders>
              <w:top w:val="single" w:sz="4" w:space="0" w:color="000000"/>
              <w:left w:val="single" w:sz="4" w:space="0" w:color="000000"/>
              <w:bottom w:val="single" w:sz="4" w:space="0" w:color="000000"/>
              <w:right w:val="single" w:sz="4" w:space="0" w:color="000000"/>
            </w:tcBorders>
            <w:vAlign w:val="center"/>
          </w:tcPr>
          <w:p>
            <w:pPr>
              <w:pStyle w:val="Style76"/>
              <w:jc w:val="center"/>
              <w:rPr>
                <w:color w:val="000000"/>
                <w:sz w:val="20"/>
                <w:szCs w:val="20"/>
                <w:lang w:val="ru-RU"/>
              </w:rPr>
            </w:pPr>
            <w:r>
              <w:rPr>
                <w:color w:val="000000"/>
                <w:sz w:val="20"/>
                <w:szCs w:val="20"/>
                <w:lang w:val="ru-RU"/>
              </w:rPr>
              <w:t>-</w:t>
            </w:r>
          </w:p>
        </w:tc>
        <w:tc>
          <w:tcPr>
            <w:tcW w:w="1623" w:type="dxa"/>
            <w:tcBorders>
              <w:top w:val="single" w:sz="4" w:space="0" w:color="000000"/>
              <w:left w:val="single" w:sz="4" w:space="0" w:color="000000"/>
              <w:bottom w:val="single" w:sz="4" w:space="0" w:color="000000"/>
              <w:right w:val="single" w:sz="4" w:space="0" w:color="000000"/>
            </w:tcBorders>
            <w:vAlign w:val="center"/>
          </w:tcPr>
          <w:p>
            <w:pPr>
              <w:pStyle w:val="Style76"/>
              <w:jc w:val="center"/>
              <w:rPr>
                <w:color w:val="000000"/>
                <w:sz w:val="20"/>
                <w:szCs w:val="20"/>
                <w:lang w:val="ru-RU"/>
              </w:rPr>
            </w:pPr>
            <w:r>
              <w:rPr>
                <w:color w:val="000000"/>
                <w:sz w:val="20"/>
                <w:szCs w:val="20"/>
                <w:lang w:val="ru-RU"/>
              </w:rPr>
              <w:t>-</w:t>
            </w:r>
          </w:p>
        </w:tc>
        <w:tc>
          <w:tcPr>
            <w:tcW w:w="1441"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467"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773" w:type="dxa"/>
            <w:tcBorders>
              <w:top w:val="single" w:sz="4" w:space="0" w:color="000000"/>
              <w:left w:val="single" w:sz="4" w:space="0" w:color="000000"/>
              <w:bottom w:val="single" w:sz="4" w:space="0" w:color="000000"/>
              <w:right w:val="single" w:sz="4" w:space="0" w:color="000000"/>
            </w:tcBorders>
            <w:vAlign w:val="center"/>
          </w:tcPr>
          <w:p>
            <w:pPr>
              <w:pStyle w:val="Style76"/>
              <w:jc w:val="center"/>
              <w:rPr/>
            </w:pPr>
            <w:r>
              <w:rPr>
                <w:color w:val="000000"/>
                <w:sz w:val="20"/>
                <w:szCs w:val="20"/>
                <w:lang w:val="ru-RU"/>
              </w:rPr>
              <w:t>СТП Верхнеуслонского МР</w:t>
            </w:r>
          </w:p>
        </w:tc>
      </w:tr>
      <w:tr>
        <w:trPr>
          <w:trHeight w:val="381" w:hRule="atLeast"/>
          <w:cantSplit w:val="true"/>
        </w:trPr>
        <w:tc>
          <w:tcPr>
            <w:tcW w:w="479" w:type="dxa"/>
            <w:tcBorders>
              <w:top w:val="single" w:sz="4" w:space="0" w:color="000000"/>
              <w:left w:val="single" w:sz="4" w:space="0" w:color="000000"/>
              <w:bottom w:val="single" w:sz="4" w:space="0" w:color="000000"/>
              <w:right w:val="single" w:sz="4" w:space="0" w:color="000000"/>
            </w:tcBorders>
            <w:vAlign w:val="center"/>
          </w:tcPr>
          <w:p>
            <w:pPr>
              <w:pStyle w:val="Style76"/>
              <w:jc w:val="center"/>
              <w:rPr>
                <w:color w:val="000000"/>
                <w:sz w:val="20"/>
                <w:szCs w:val="20"/>
                <w:lang w:val="ru-RU"/>
              </w:rPr>
            </w:pPr>
            <w:r>
              <w:rPr>
                <w:color w:val="000000"/>
                <w:sz w:val="20"/>
                <w:szCs w:val="20"/>
                <w:lang w:val="ru-RU"/>
              </w:rPr>
              <w:t>2</w:t>
            </w:r>
          </w:p>
        </w:tc>
        <w:tc>
          <w:tcPr>
            <w:tcW w:w="1621" w:type="dxa"/>
            <w:tcBorders>
              <w:top w:val="single" w:sz="4" w:space="0" w:color="000000"/>
              <w:left w:val="single" w:sz="4" w:space="0" w:color="000000"/>
              <w:bottom w:val="single" w:sz="4" w:space="0" w:color="000000"/>
              <w:right w:val="single" w:sz="4" w:space="0" w:color="000000"/>
            </w:tcBorders>
            <w:vAlign w:val="center"/>
          </w:tcPr>
          <w:p>
            <w:pPr>
              <w:pStyle w:val="Style76"/>
              <w:jc w:val="center"/>
              <w:rPr/>
            </w:pPr>
            <w:r>
              <w:rPr>
                <w:color w:val="000000"/>
                <w:sz w:val="20"/>
                <w:szCs w:val="20"/>
                <w:lang w:val="ru-RU"/>
              </w:rPr>
              <w:t>Вахитовское сельское поселение</w:t>
            </w:r>
          </w:p>
        </w:tc>
        <w:tc>
          <w:tcPr>
            <w:tcW w:w="1689" w:type="dxa"/>
            <w:tcBorders>
              <w:top w:val="single" w:sz="4" w:space="0" w:color="000000"/>
              <w:left w:val="single" w:sz="4" w:space="0" w:color="000000"/>
              <w:bottom w:val="single" w:sz="4" w:space="0" w:color="000000"/>
              <w:right w:val="single" w:sz="4" w:space="0" w:color="000000"/>
            </w:tcBorders>
            <w:vAlign w:val="center"/>
          </w:tcPr>
          <w:p>
            <w:pPr>
              <w:pStyle w:val="Style76"/>
              <w:jc w:val="center"/>
              <w:rPr/>
            </w:pPr>
            <w:r>
              <w:rPr>
                <w:color w:val="000000"/>
                <w:sz w:val="20"/>
                <w:szCs w:val="28"/>
                <w:lang w:val="ru-RU"/>
              </w:rPr>
              <w:t>Т</w:t>
            </w:r>
            <w:r>
              <w:rPr>
                <w:color w:val="000000"/>
                <w:sz w:val="20"/>
                <w:szCs w:val="28"/>
              </w:rPr>
              <w:t>уристско-рекреационн</w:t>
            </w:r>
            <w:r>
              <w:rPr>
                <w:color w:val="000000"/>
                <w:sz w:val="20"/>
                <w:szCs w:val="28"/>
                <w:lang w:val="ru-RU"/>
              </w:rPr>
              <w:t>ый</w:t>
            </w:r>
            <w:r>
              <w:rPr>
                <w:color w:val="000000"/>
                <w:sz w:val="20"/>
                <w:szCs w:val="28"/>
              </w:rPr>
              <w:t xml:space="preserve"> маршрут</w:t>
            </w:r>
            <w:r>
              <w:rPr>
                <w:color w:val="000000"/>
                <w:sz w:val="20"/>
                <w:szCs w:val="28"/>
                <w:lang w:val="ru-RU"/>
              </w:rPr>
              <w:t xml:space="preserve"> </w:t>
            </w:r>
            <w:r>
              <w:rPr>
                <w:color w:val="000000"/>
                <w:sz w:val="20"/>
                <w:szCs w:val="28"/>
              </w:rPr>
              <w:t>регионального значения «Жемчужное ожерелье Татарстана – Малое кольцо»</w:t>
            </w:r>
          </w:p>
        </w:tc>
        <w:tc>
          <w:tcPr>
            <w:tcW w:w="1524" w:type="dxa"/>
            <w:tcBorders>
              <w:top w:val="single" w:sz="4" w:space="0" w:color="000000"/>
              <w:left w:val="single" w:sz="4" w:space="0" w:color="000000"/>
              <w:bottom w:val="single" w:sz="4" w:space="0" w:color="000000"/>
              <w:right w:val="single" w:sz="4" w:space="0" w:color="000000"/>
            </w:tcBorders>
            <w:vAlign w:val="center"/>
          </w:tcPr>
          <w:p>
            <w:pPr>
              <w:pStyle w:val="Style76"/>
              <w:jc w:val="center"/>
              <w:rPr>
                <w:color w:val="000000"/>
                <w:sz w:val="20"/>
                <w:szCs w:val="20"/>
                <w:lang w:val="ru-RU"/>
              </w:rPr>
            </w:pPr>
            <w:r>
              <w:rPr>
                <w:color w:val="000000"/>
                <w:sz w:val="20"/>
                <w:szCs w:val="20"/>
                <w:lang w:val="ru-RU"/>
              </w:rPr>
              <w:t>Организация маршрута</w:t>
            </w:r>
          </w:p>
        </w:tc>
        <w:tc>
          <w:tcPr>
            <w:tcW w:w="1711" w:type="dxa"/>
            <w:tcBorders>
              <w:top w:val="single" w:sz="4" w:space="0" w:color="000000"/>
              <w:left w:val="single" w:sz="4" w:space="0" w:color="000000"/>
              <w:bottom w:val="single" w:sz="4" w:space="0" w:color="000000"/>
              <w:right w:val="single" w:sz="4" w:space="0" w:color="000000"/>
            </w:tcBorders>
            <w:vAlign w:val="center"/>
          </w:tcPr>
          <w:p>
            <w:pPr>
              <w:pStyle w:val="Style76"/>
              <w:jc w:val="center"/>
              <w:rPr>
                <w:color w:val="000000"/>
                <w:sz w:val="20"/>
                <w:szCs w:val="20"/>
                <w:lang w:val="ru-RU"/>
              </w:rPr>
            </w:pPr>
            <w:r>
              <w:rPr>
                <w:color w:val="000000"/>
                <w:sz w:val="20"/>
                <w:szCs w:val="20"/>
                <w:lang w:val="ru-RU"/>
              </w:rPr>
              <w:t>-</w:t>
            </w:r>
          </w:p>
        </w:tc>
        <w:tc>
          <w:tcPr>
            <w:tcW w:w="1525" w:type="dxa"/>
            <w:tcBorders>
              <w:top w:val="single" w:sz="4" w:space="0" w:color="000000"/>
              <w:left w:val="single" w:sz="4" w:space="0" w:color="000000"/>
              <w:bottom w:val="single" w:sz="4" w:space="0" w:color="000000"/>
              <w:right w:val="single" w:sz="4" w:space="0" w:color="000000"/>
            </w:tcBorders>
            <w:vAlign w:val="center"/>
          </w:tcPr>
          <w:p>
            <w:pPr>
              <w:pStyle w:val="Style76"/>
              <w:jc w:val="center"/>
              <w:rPr>
                <w:color w:val="000000"/>
                <w:sz w:val="20"/>
                <w:szCs w:val="20"/>
                <w:lang w:val="ru-RU"/>
              </w:rPr>
            </w:pPr>
            <w:r>
              <w:rPr>
                <w:color w:val="000000"/>
                <w:sz w:val="20"/>
                <w:szCs w:val="20"/>
                <w:lang w:val="ru-RU"/>
              </w:rPr>
              <w:t>-</w:t>
            </w:r>
          </w:p>
        </w:tc>
        <w:tc>
          <w:tcPr>
            <w:tcW w:w="1623" w:type="dxa"/>
            <w:tcBorders>
              <w:top w:val="single" w:sz="4" w:space="0" w:color="000000"/>
              <w:left w:val="single" w:sz="4" w:space="0" w:color="000000"/>
              <w:bottom w:val="single" w:sz="4" w:space="0" w:color="000000"/>
              <w:right w:val="single" w:sz="4" w:space="0" w:color="000000"/>
            </w:tcBorders>
            <w:vAlign w:val="center"/>
          </w:tcPr>
          <w:p>
            <w:pPr>
              <w:pStyle w:val="Style76"/>
              <w:jc w:val="center"/>
              <w:rPr>
                <w:color w:val="000000"/>
                <w:sz w:val="20"/>
                <w:szCs w:val="20"/>
                <w:lang w:val="ru-RU"/>
              </w:rPr>
            </w:pPr>
            <w:r>
              <w:rPr>
                <w:color w:val="000000"/>
                <w:sz w:val="20"/>
                <w:szCs w:val="20"/>
                <w:lang w:val="ru-RU"/>
              </w:rPr>
              <w:t>-</w:t>
            </w:r>
          </w:p>
        </w:tc>
        <w:tc>
          <w:tcPr>
            <w:tcW w:w="1441"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467"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773" w:type="dxa"/>
            <w:tcBorders>
              <w:top w:val="single" w:sz="4" w:space="0" w:color="000000"/>
              <w:left w:val="single" w:sz="4" w:space="0" w:color="000000"/>
              <w:bottom w:val="single" w:sz="4" w:space="0" w:color="000000"/>
              <w:right w:val="single" w:sz="4" w:space="0" w:color="000000"/>
            </w:tcBorders>
            <w:vAlign w:val="center"/>
          </w:tcPr>
          <w:p>
            <w:pPr>
              <w:pStyle w:val="Style76"/>
              <w:jc w:val="center"/>
              <w:rPr/>
            </w:pPr>
            <w:r>
              <w:rPr>
                <w:color w:val="000000"/>
                <w:sz w:val="20"/>
                <w:szCs w:val="20"/>
                <w:lang w:val="ru-RU"/>
              </w:rPr>
              <w:t>СТП Верхнеуслонского МР</w:t>
            </w:r>
          </w:p>
        </w:tc>
      </w:tr>
      <w:tr>
        <w:trPr>
          <w:trHeight w:val="381" w:hRule="atLeast"/>
          <w:cantSplit w:val="true"/>
        </w:trPr>
        <w:tc>
          <w:tcPr>
            <w:tcW w:w="479" w:type="dxa"/>
            <w:tcBorders>
              <w:top w:val="single" w:sz="4" w:space="0" w:color="000000"/>
              <w:left w:val="single" w:sz="4" w:space="0" w:color="000000"/>
              <w:bottom w:val="single" w:sz="4" w:space="0" w:color="000000"/>
              <w:right w:val="single" w:sz="4" w:space="0" w:color="000000"/>
            </w:tcBorders>
            <w:vAlign w:val="center"/>
          </w:tcPr>
          <w:p>
            <w:pPr>
              <w:pStyle w:val="Style76"/>
              <w:jc w:val="center"/>
              <w:rPr>
                <w:color w:val="000000"/>
                <w:sz w:val="20"/>
                <w:szCs w:val="20"/>
                <w:lang w:val="ru-RU"/>
              </w:rPr>
            </w:pPr>
            <w:r>
              <w:rPr>
                <w:color w:val="000000"/>
                <w:sz w:val="20"/>
                <w:szCs w:val="20"/>
                <w:lang w:val="ru-RU"/>
              </w:rPr>
              <w:t>3</w:t>
            </w:r>
          </w:p>
        </w:tc>
        <w:tc>
          <w:tcPr>
            <w:tcW w:w="1621" w:type="dxa"/>
            <w:tcBorders>
              <w:top w:val="single" w:sz="4" w:space="0" w:color="000000"/>
              <w:left w:val="single" w:sz="4" w:space="0" w:color="000000"/>
              <w:bottom w:val="single" w:sz="4" w:space="0" w:color="000000"/>
              <w:right w:val="single" w:sz="4" w:space="0" w:color="000000"/>
            </w:tcBorders>
            <w:vAlign w:val="center"/>
          </w:tcPr>
          <w:p>
            <w:pPr>
              <w:pStyle w:val="Style76"/>
              <w:jc w:val="center"/>
              <w:rPr/>
            </w:pPr>
            <w:r>
              <w:rPr>
                <w:color w:val="000000"/>
                <w:sz w:val="20"/>
                <w:szCs w:val="20"/>
                <w:lang w:val="ru-RU"/>
              </w:rPr>
              <w:t>с.Ташевка</w:t>
            </w:r>
          </w:p>
        </w:tc>
        <w:tc>
          <w:tcPr>
            <w:tcW w:w="1689" w:type="dxa"/>
            <w:tcBorders>
              <w:top w:val="single" w:sz="4" w:space="0" w:color="000000"/>
              <w:left w:val="single" w:sz="4" w:space="0" w:color="000000"/>
              <w:bottom w:val="single" w:sz="4" w:space="0" w:color="000000"/>
              <w:right w:val="single" w:sz="4" w:space="0" w:color="000000"/>
            </w:tcBorders>
            <w:vAlign w:val="center"/>
          </w:tcPr>
          <w:p>
            <w:pPr>
              <w:pStyle w:val="Style76"/>
              <w:jc w:val="center"/>
              <w:rPr>
                <w:color w:val="000000"/>
                <w:sz w:val="20"/>
                <w:szCs w:val="20"/>
                <w:lang w:val="ru-RU"/>
              </w:rPr>
            </w:pPr>
            <w:r>
              <w:rPr>
                <w:color w:val="000000"/>
                <w:sz w:val="20"/>
                <w:szCs w:val="20"/>
                <w:lang w:val="ru-RU"/>
              </w:rPr>
              <w:t>Детский оздоровительный лагерь</w:t>
            </w:r>
          </w:p>
        </w:tc>
        <w:tc>
          <w:tcPr>
            <w:tcW w:w="1524" w:type="dxa"/>
            <w:tcBorders>
              <w:top w:val="single" w:sz="4" w:space="0" w:color="000000"/>
              <w:left w:val="single" w:sz="4" w:space="0" w:color="000000"/>
              <w:bottom w:val="single" w:sz="4" w:space="0" w:color="000000"/>
              <w:right w:val="single" w:sz="4" w:space="0" w:color="000000"/>
            </w:tcBorders>
            <w:vAlign w:val="center"/>
          </w:tcPr>
          <w:p>
            <w:pPr>
              <w:pStyle w:val="Style76"/>
              <w:jc w:val="center"/>
              <w:rPr>
                <w:color w:val="000000"/>
                <w:sz w:val="20"/>
                <w:szCs w:val="20"/>
                <w:lang w:val="ru-RU"/>
              </w:rPr>
            </w:pPr>
            <w:r>
              <w:rPr>
                <w:color w:val="000000"/>
                <w:sz w:val="20"/>
                <w:szCs w:val="20"/>
                <w:lang w:val="ru-RU"/>
              </w:rPr>
              <w:t>Реконструкция</w:t>
            </w:r>
          </w:p>
        </w:tc>
        <w:tc>
          <w:tcPr>
            <w:tcW w:w="1711" w:type="dxa"/>
            <w:tcBorders>
              <w:top w:val="single" w:sz="4" w:space="0" w:color="000000"/>
              <w:left w:val="single" w:sz="4" w:space="0" w:color="000000"/>
              <w:bottom w:val="single" w:sz="4" w:space="0" w:color="000000"/>
              <w:right w:val="single" w:sz="4" w:space="0" w:color="000000"/>
            </w:tcBorders>
            <w:vAlign w:val="center"/>
          </w:tcPr>
          <w:p>
            <w:pPr>
              <w:pStyle w:val="Style76"/>
              <w:jc w:val="center"/>
              <w:rPr>
                <w:color w:val="000000"/>
                <w:sz w:val="20"/>
                <w:szCs w:val="20"/>
                <w:lang w:val="ru-RU"/>
              </w:rPr>
            </w:pPr>
            <w:r>
              <w:rPr>
                <w:color w:val="000000"/>
                <w:sz w:val="20"/>
                <w:szCs w:val="20"/>
                <w:lang w:val="ru-RU"/>
              </w:rPr>
              <w:t>мест</w:t>
            </w:r>
          </w:p>
        </w:tc>
        <w:tc>
          <w:tcPr>
            <w:tcW w:w="1525" w:type="dxa"/>
            <w:tcBorders>
              <w:top w:val="single" w:sz="4" w:space="0" w:color="000000"/>
              <w:left w:val="single" w:sz="4" w:space="0" w:color="000000"/>
              <w:bottom w:val="single" w:sz="4" w:space="0" w:color="000000"/>
              <w:right w:val="single" w:sz="4" w:space="0" w:color="000000"/>
            </w:tcBorders>
            <w:vAlign w:val="center"/>
          </w:tcPr>
          <w:p>
            <w:pPr>
              <w:pStyle w:val="Style76"/>
              <w:jc w:val="center"/>
              <w:rPr>
                <w:color w:val="000000"/>
                <w:sz w:val="20"/>
                <w:szCs w:val="20"/>
                <w:lang w:val="ru-RU"/>
              </w:rPr>
            </w:pPr>
            <w:r>
              <w:rPr>
                <w:color w:val="000000"/>
                <w:sz w:val="20"/>
                <w:szCs w:val="20"/>
                <w:lang w:val="ru-RU"/>
              </w:rPr>
              <w:t>-</w:t>
            </w:r>
          </w:p>
        </w:tc>
        <w:tc>
          <w:tcPr>
            <w:tcW w:w="1623" w:type="dxa"/>
            <w:tcBorders>
              <w:top w:val="single" w:sz="4" w:space="0" w:color="000000"/>
              <w:left w:val="single" w:sz="4" w:space="0" w:color="000000"/>
              <w:bottom w:val="single" w:sz="4" w:space="0" w:color="000000"/>
              <w:right w:val="single" w:sz="4" w:space="0" w:color="000000"/>
            </w:tcBorders>
            <w:shd w:fill="FFFFFF" w:val="clear"/>
            <w:vAlign w:val="center"/>
          </w:tcPr>
          <w:p>
            <w:pPr>
              <w:pStyle w:val="Style76"/>
              <w:jc w:val="center"/>
              <w:rPr>
                <w:color w:val="000000"/>
                <w:sz w:val="20"/>
                <w:szCs w:val="20"/>
                <w:lang w:val="ru-RU"/>
              </w:rPr>
            </w:pPr>
            <w:r>
              <w:rPr>
                <w:color w:val="000000"/>
                <w:sz w:val="20"/>
                <w:szCs w:val="20"/>
                <w:lang w:val="ru-RU"/>
              </w:rPr>
              <w:t>50</w:t>
            </w:r>
          </w:p>
        </w:tc>
        <w:tc>
          <w:tcPr>
            <w:tcW w:w="1441"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467"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773" w:type="dxa"/>
            <w:tcBorders>
              <w:top w:val="single" w:sz="4" w:space="0" w:color="000000"/>
              <w:left w:val="single" w:sz="4" w:space="0" w:color="000000"/>
              <w:bottom w:val="single" w:sz="4" w:space="0" w:color="000000"/>
              <w:right w:val="single" w:sz="4" w:space="0" w:color="000000"/>
            </w:tcBorders>
            <w:vAlign w:val="center"/>
          </w:tcPr>
          <w:p>
            <w:pPr>
              <w:pStyle w:val="Style76"/>
              <w:jc w:val="center"/>
              <w:rPr/>
            </w:pPr>
            <w:r>
              <w:rPr>
                <w:color w:val="000000"/>
                <w:sz w:val="20"/>
                <w:szCs w:val="20"/>
                <w:lang w:val="ru-RU"/>
              </w:rPr>
              <w:t>СТП Верхнеуслонского МР</w:t>
            </w:r>
          </w:p>
        </w:tc>
      </w:tr>
      <w:tr>
        <w:trPr>
          <w:trHeight w:val="381" w:hRule="atLeast"/>
          <w:cantSplit w:val="true"/>
        </w:trPr>
        <w:tc>
          <w:tcPr>
            <w:tcW w:w="4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autoSpaceDE w:val="false"/>
              <w:ind w:hanging="0"/>
              <w:jc w:val="center"/>
              <w:rPr>
                <w:sz w:val="20"/>
                <w:szCs w:val="20"/>
                <w:lang w:eastAsia="en-US"/>
              </w:rPr>
            </w:pPr>
            <w:r>
              <w:rPr>
                <w:sz w:val="20"/>
                <w:szCs w:val="20"/>
                <w:lang w:eastAsia="en-US"/>
              </w:rPr>
              <w:t>4*</w:t>
            </w:r>
          </w:p>
        </w:tc>
        <w:tc>
          <w:tcPr>
            <w:tcW w:w="16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autoSpaceDE w:val="false"/>
              <w:ind w:hanging="0"/>
              <w:jc w:val="center"/>
              <w:rPr>
                <w:sz w:val="20"/>
                <w:szCs w:val="20"/>
                <w:lang w:eastAsia="en-US"/>
              </w:rPr>
            </w:pPr>
            <w:r>
              <w:rPr>
                <w:sz w:val="20"/>
                <w:szCs w:val="20"/>
                <w:lang w:eastAsia="en-US"/>
              </w:rPr>
              <w:t>Вахитовское сельское поселение</w:t>
            </w:r>
          </w:p>
        </w:tc>
        <w:tc>
          <w:tcPr>
            <w:tcW w:w="16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autoSpaceDE w:val="false"/>
              <w:ind w:hanging="0"/>
              <w:jc w:val="center"/>
              <w:rPr>
                <w:sz w:val="20"/>
                <w:szCs w:val="20"/>
                <w:lang w:eastAsia="en-US"/>
              </w:rPr>
            </w:pPr>
            <w:r>
              <w:rPr>
                <w:sz w:val="20"/>
                <w:szCs w:val="20"/>
                <w:lang w:eastAsia="en-US"/>
              </w:rPr>
              <w:t>Туристический проект «Волжская тропа»</w:t>
            </w:r>
          </w:p>
        </w:tc>
        <w:tc>
          <w:tcPr>
            <w:tcW w:w="152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autoSpaceDE w:val="false"/>
              <w:ind w:hanging="0"/>
              <w:jc w:val="center"/>
              <w:rPr>
                <w:sz w:val="20"/>
                <w:szCs w:val="20"/>
                <w:lang w:eastAsia="en-US"/>
              </w:rPr>
            </w:pPr>
            <w:r>
              <w:rPr>
                <w:sz w:val="20"/>
                <w:szCs w:val="20"/>
                <w:lang w:eastAsia="en-US"/>
              </w:rPr>
              <w:t>Объекты экологического туризма, размещение навесов, приютов и сервисных зон</w:t>
            </w:r>
          </w:p>
        </w:tc>
        <w:tc>
          <w:tcPr>
            <w:tcW w:w="17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autoSpaceDE w:val="false"/>
              <w:ind w:hanging="0"/>
              <w:jc w:val="center"/>
              <w:rPr>
                <w:sz w:val="20"/>
                <w:szCs w:val="20"/>
                <w:lang w:eastAsia="en-US"/>
              </w:rPr>
            </w:pPr>
            <w:r>
              <w:rPr>
                <w:sz w:val="20"/>
                <w:szCs w:val="20"/>
                <w:lang w:eastAsia="en-US"/>
              </w:rPr>
              <w:t>-</w:t>
            </w:r>
          </w:p>
        </w:tc>
        <w:tc>
          <w:tcPr>
            <w:tcW w:w="152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autoSpaceDE w:val="false"/>
              <w:ind w:hanging="0"/>
              <w:jc w:val="center"/>
              <w:rPr>
                <w:sz w:val="20"/>
                <w:szCs w:val="20"/>
                <w:lang w:eastAsia="en-US"/>
              </w:rPr>
            </w:pPr>
            <w:r>
              <w:rPr>
                <w:sz w:val="20"/>
                <w:szCs w:val="20"/>
                <w:lang w:eastAsia="en-US"/>
              </w:rPr>
              <w:t>-</w:t>
            </w:r>
          </w:p>
        </w:tc>
        <w:tc>
          <w:tcPr>
            <w:tcW w:w="162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autoSpaceDE w:val="false"/>
              <w:ind w:hanging="0"/>
              <w:jc w:val="center"/>
              <w:rPr>
                <w:sz w:val="20"/>
                <w:szCs w:val="20"/>
                <w:lang w:eastAsia="en-US"/>
              </w:rPr>
            </w:pPr>
            <w:r>
              <w:rPr>
                <w:sz w:val="20"/>
                <w:szCs w:val="20"/>
                <w:lang w:eastAsia="en-US"/>
              </w:rPr>
              <w:t>-</w:t>
            </w:r>
          </w:p>
        </w:tc>
        <w:tc>
          <w:tcPr>
            <w:tcW w:w="144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autoSpaceDE w:val="false"/>
              <w:ind w:hanging="0"/>
              <w:jc w:val="center"/>
              <w:rPr>
                <w:sz w:val="20"/>
                <w:szCs w:val="20"/>
                <w:lang w:eastAsia="en-US"/>
              </w:rPr>
            </w:pPr>
            <w:r>
              <w:rPr>
                <w:sz w:val="20"/>
                <w:szCs w:val="20"/>
                <w:lang w:eastAsia="en-US"/>
              </w:rPr>
              <w:t>-</w:t>
            </w:r>
          </w:p>
        </w:tc>
        <w:tc>
          <w:tcPr>
            <w:tcW w:w="146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autoSpaceDE w:val="false"/>
              <w:ind w:hanging="0"/>
              <w:jc w:val="center"/>
              <w:rPr>
                <w:sz w:val="20"/>
                <w:szCs w:val="20"/>
                <w:lang w:eastAsia="en-US"/>
              </w:rPr>
            </w:pPr>
            <w:r>
              <w:rPr>
                <w:sz w:val="20"/>
                <w:szCs w:val="20"/>
                <w:lang w:eastAsia="en-US"/>
              </w:rPr>
              <w:t>-</w:t>
            </w:r>
          </w:p>
        </w:tc>
        <w:tc>
          <w:tcPr>
            <w:tcW w:w="17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autoSpaceDE w:val="false"/>
              <w:ind w:hanging="0"/>
              <w:jc w:val="center"/>
              <w:rPr/>
            </w:pPr>
            <w:r>
              <w:rPr>
                <w:color w:val="000000"/>
                <w:sz w:val="20"/>
                <w:szCs w:val="20"/>
              </w:rPr>
              <w:t>Проект внесения изменений в генеральный план Вахитовского СП</w:t>
            </w:r>
          </w:p>
        </w:tc>
      </w:tr>
      <w:tr>
        <w:trPr>
          <w:trHeight w:val="245" w:hRule="atLeast"/>
          <w:cantSplit w:val="true"/>
        </w:trPr>
        <w:tc>
          <w:tcPr>
            <w:tcW w:w="14853" w:type="dxa"/>
            <w:gridSpan w:val="10"/>
            <w:tcBorders>
              <w:top w:val="single" w:sz="4" w:space="0" w:color="000000"/>
              <w:left w:val="single" w:sz="4" w:space="0" w:color="000000"/>
              <w:bottom w:val="single" w:sz="4" w:space="0" w:color="000000"/>
              <w:right w:val="single" w:sz="4" w:space="0" w:color="000000"/>
            </w:tcBorders>
            <w:vAlign w:val="center"/>
          </w:tcPr>
          <w:p>
            <w:pPr>
              <w:pStyle w:val="Style75"/>
              <w:rPr>
                <w:caps/>
                <w:color w:val="000000"/>
                <w:sz w:val="20"/>
                <w:szCs w:val="20"/>
              </w:rPr>
            </w:pPr>
            <w:r>
              <w:rPr>
                <w:caps/>
                <w:color w:val="000000"/>
                <w:sz w:val="20"/>
                <w:szCs w:val="20"/>
              </w:rPr>
              <w:t>МЕРОПРИЯТИЯ Местного значения (ПОСЕЛЕНИЯ)</w:t>
            </w:r>
          </w:p>
        </w:tc>
      </w:tr>
      <w:tr>
        <w:trPr>
          <w:trHeight w:val="221" w:hRule="atLeast"/>
          <w:cantSplit w:val="true"/>
        </w:trPr>
        <w:tc>
          <w:tcPr>
            <w:tcW w:w="479"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center"/>
              <w:rPr>
                <w:color w:val="000000"/>
                <w:sz w:val="20"/>
                <w:szCs w:val="20"/>
              </w:rPr>
            </w:pPr>
            <w:r>
              <w:rPr>
                <w:color w:val="000000"/>
                <w:sz w:val="20"/>
                <w:szCs w:val="20"/>
              </w:rPr>
              <w:t>1</w:t>
            </w:r>
          </w:p>
        </w:tc>
        <w:tc>
          <w:tcPr>
            <w:tcW w:w="162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 xml:space="preserve">Вахитовское сельское поселение </w:t>
            </w:r>
          </w:p>
          <w:p>
            <w:pPr>
              <w:pStyle w:val="Normal"/>
              <w:ind w:hanging="0"/>
              <w:jc w:val="center"/>
              <w:rPr>
                <w:color w:val="000000"/>
                <w:sz w:val="20"/>
                <w:szCs w:val="20"/>
              </w:rPr>
            </w:pPr>
            <w:r>
              <w:rPr>
                <w:color w:val="000000"/>
                <w:sz w:val="20"/>
                <w:szCs w:val="20"/>
              </w:rPr>
            </w:r>
          </w:p>
        </w:tc>
        <w:tc>
          <w:tcPr>
            <w:tcW w:w="1689" w:type="dxa"/>
            <w:tcBorders>
              <w:top w:val="single" w:sz="4" w:space="0" w:color="000000"/>
              <w:left w:val="single" w:sz="4" w:space="0" w:color="000000"/>
              <w:bottom w:val="single" w:sz="4" w:space="0" w:color="000000"/>
              <w:right w:val="single" w:sz="4" w:space="0" w:color="000000"/>
            </w:tcBorders>
            <w:vAlign w:val="center"/>
          </w:tcPr>
          <w:p>
            <w:pPr>
              <w:pStyle w:val="Style77"/>
              <w:spacing w:lineRule="auto" w:line="240"/>
              <w:ind w:left="0" w:hanging="0"/>
              <w:jc w:val="center"/>
              <w:rPr>
                <w:color w:val="000000"/>
                <w:sz w:val="20"/>
                <w:szCs w:val="20"/>
              </w:rPr>
            </w:pPr>
            <w:r>
              <w:rPr>
                <w:color w:val="000000"/>
                <w:sz w:val="20"/>
                <w:szCs w:val="20"/>
              </w:rPr>
              <w:t>Озеленение общего пользования</w:t>
            </w:r>
          </w:p>
        </w:tc>
        <w:tc>
          <w:tcPr>
            <w:tcW w:w="1524" w:type="dxa"/>
            <w:tcBorders>
              <w:top w:val="single" w:sz="4" w:space="0" w:color="000000"/>
              <w:left w:val="single" w:sz="4" w:space="0" w:color="000000"/>
              <w:bottom w:val="single" w:sz="4" w:space="0" w:color="000000"/>
              <w:right w:val="single" w:sz="4" w:space="0" w:color="000000"/>
            </w:tcBorders>
            <w:vAlign w:val="center"/>
          </w:tcPr>
          <w:p>
            <w:pPr>
              <w:pStyle w:val="Style77"/>
              <w:spacing w:lineRule="auto" w:line="240"/>
              <w:ind w:left="0" w:hanging="0"/>
              <w:jc w:val="center"/>
              <w:rPr>
                <w:color w:val="000000"/>
                <w:sz w:val="20"/>
                <w:szCs w:val="20"/>
              </w:rPr>
            </w:pPr>
            <w:r>
              <w:rPr>
                <w:color w:val="000000"/>
                <w:sz w:val="20"/>
                <w:szCs w:val="20"/>
              </w:rPr>
              <w:t xml:space="preserve">Организация системы </w:t>
            </w:r>
          </w:p>
          <w:p>
            <w:pPr>
              <w:pStyle w:val="Style77"/>
              <w:spacing w:lineRule="auto" w:line="240"/>
              <w:ind w:left="0" w:hanging="0"/>
              <w:jc w:val="center"/>
              <w:rPr>
                <w:color w:val="000000"/>
                <w:sz w:val="20"/>
                <w:szCs w:val="20"/>
              </w:rPr>
            </w:pPr>
            <w:r>
              <w:rPr>
                <w:color w:val="000000"/>
                <w:sz w:val="20"/>
                <w:szCs w:val="20"/>
              </w:rPr>
              <w:t>зеленых насаждений</w:t>
            </w:r>
          </w:p>
        </w:tc>
        <w:tc>
          <w:tcPr>
            <w:tcW w:w="1711" w:type="dxa"/>
            <w:tcBorders>
              <w:top w:val="single" w:sz="4" w:space="0" w:color="000000"/>
              <w:left w:val="single" w:sz="4" w:space="0" w:color="000000"/>
              <w:bottom w:val="single" w:sz="4" w:space="0" w:color="000000"/>
              <w:right w:val="single" w:sz="4" w:space="0" w:color="000000"/>
            </w:tcBorders>
            <w:vAlign w:val="center"/>
          </w:tcPr>
          <w:p>
            <w:pPr>
              <w:pStyle w:val="Style77"/>
              <w:spacing w:lineRule="auto" w:line="240"/>
              <w:ind w:left="0" w:hanging="0"/>
              <w:jc w:val="center"/>
              <w:rPr>
                <w:color w:val="000000"/>
                <w:sz w:val="20"/>
                <w:szCs w:val="20"/>
              </w:rPr>
            </w:pPr>
            <w:r>
              <w:rPr>
                <w:color w:val="000000"/>
                <w:sz w:val="20"/>
                <w:szCs w:val="20"/>
              </w:rPr>
              <w:t>-</w:t>
            </w:r>
          </w:p>
        </w:tc>
        <w:tc>
          <w:tcPr>
            <w:tcW w:w="1525" w:type="dxa"/>
            <w:tcBorders>
              <w:top w:val="single" w:sz="4" w:space="0" w:color="000000"/>
              <w:left w:val="single" w:sz="4" w:space="0" w:color="000000"/>
              <w:bottom w:val="single" w:sz="4" w:space="0" w:color="000000"/>
              <w:right w:val="single" w:sz="4" w:space="0" w:color="000000"/>
            </w:tcBorders>
            <w:vAlign w:val="center"/>
          </w:tcPr>
          <w:p>
            <w:pPr>
              <w:pStyle w:val="Style77"/>
              <w:spacing w:lineRule="auto" w:line="240"/>
              <w:ind w:left="0" w:hanging="0"/>
              <w:jc w:val="center"/>
              <w:rPr>
                <w:color w:val="000000"/>
                <w:sz w:val="20"/>
                <w:szCs w:val="20"/>
              </w:rPr>
            </w:pPr>
            <w:r>
              <w:rPr>
                <w:color w:val="000000"/>
                <w:sz w:val="20"/>
                <w:szCs w:val="20"/>
              </w:rPr>
              <w:t>-</w:t>
            </w:r>
          </w:p>
        </w:tc>
        <w:tc>
          <w:tcPr>
            <w:tcW w:w="1623" w:type="dxa"/>
            <w:tcBorders>
              <w:top w:val="single" w:sz="4" w:space="0" w:color="000000"/>
              <w:left w:val="single" w:sz="4" w:space="0" w:color="000000"/>
              <w:bottom w:val="single" w:sz="4" w:space="0" w:color="000000"/>
              <w:right w:val="single" w:sz="4" w:space="0" w:color="000000"/>
            </w:tcBorders>
            <w:vAlign w:val="center"/>
          </w:tcPr>
          <w:p>
            <w:pPr>
              <w:pStyle w:val="Style77"/>
              <w:spacing w:lineRule="auto" w:line="240"/>
              <w:ind w:left="0" w:hanging="0"/>
              <w:jc w:val="center"/>
              <w:rPr>
                <w:color w:val="000000"/>
                <w:sz w:val="20"/>
                <w:szCs w:val="20"/>
              </w:rPr>
            </w:pPr>
            <w:r>
              <w:rPr>
                <w:color w:val="000000"/>
                <w:sz w:val="20"/>
                <w:szCs w:val="20"/>
              </w:rPr>
              <w:t>-</w:t>
            </w:r>
          </w:p>
        </w:tc>
        <w:tc>
          <w:tcPr>
            <w:tcW w:w="1441" w:type="dxa"/>
            <w:tcBorders>
              <w:top w:val="single" w:sz="4" w:space="0" w:color="000000"/>
              <w:left w:val="single" w:sz="4" w:space="0" w:color="000000"/>
              <w:bottom w:val="single" w:sz="4" w:space="0" w:color="000000"/>
              <w:right w:val="single" w:sz="4" w:space="0" w:color="000000"/>
            </w:tcBorders>
            <w:vAlign w:val="center"/>
          </w:tcPr>
          <w:p>
            <w:pPr>
              <w:pStyle w:val="Style77"/>
              <w:spacing w:lineRule="auto" w:line="240"/>
              <w:ind w:left="0" w:hanging="0"/>
              <w:jc w:val="center"/>
              <w:rPr>
                <w:color w:val="000000"/>
                <w:sz w:val="20"/>
                <w:szCs w:val="20"/>
              </w:rPr>
            </w:pPr>
            <w:r>
              <w:rPr>
                <w:color w:val="000000"/>
                <w:sz w:val="20"/>
                <w:szCs w:val="20"/>
              </w:rPr>
              <w:t>+</w:t>
            </w:r>
          </w:p>
        </w:tc>
        <w:tc>
          <w:tcPr>
            <w:tcW w:w="1467" w:type="dxa"/>
            <w:tcBorders>
              <w:top w:val="single" w:sz="4" w:space="0" w:color="000000"/>
              <w:left w:val="single" w:sz="4" w:space="0" w:color="000000"/>
              <w:bottom w:val="single" w:sz="4" w:space="0" w:color="000000"/>
              <w:right w:val="single" w:sz="4" w:space="0" w:color="000000"/>
            </w:tcBorders>
            <w:vAlign w:val="center"/>
          </w:tcPr>
          <w:p>
            <w:pPr>
              <w:pStyle w:val="Style77"/>
              <w:spacing w:lineRule="auto" w:line="240"/>
              <w:ind w:left="0" w:hanging="0"/>
              <w:jc w:val="center"/>
              <w:rPr>
                <w:color w:val="000000"/>
                <w:sz w:val="20"/>
                <w:szCs w:val="20"/>
              </w:rPr>
            </w:pPr>
            <w:r>
              <w:rPr>
                <w:color w:val="000000"/>
                <w:sz w:val="20"/>
                <w:szCs w:val="20"/>
              </w:rPr>
              <w:t>+</w:t>
            </w:r>
          </w:p>
        </w:tc>
        <w:tc>
          <w:tcPr>
            <w:tcW w:w="1773" w:type="dxa"/>
            <w:tcBorders>
              <w:top w:val="single" w:sz="4" w:space="0" w:color="000000"/>
              <w:left w:val="single" w:sz="4" w:space="0" w:color="000000"/>
              <w:bottom w:val="single" w:sz="4" w:space="0" w:color="000000"/>
              <w:right w:val="single" w:sz="4" w:space="0" w:color="000000"/>
            </w:tcBorders>
            <w:vAlign w:val="center"/>
          </w:tcPr>
          <w:p>
            <w:pPr>
              <w:pStyle w:val="Style75"/>
              <w:rPr/>
            </w:pPr>
            <w:r>
              <w:rPr>
                <w:color w:val="000000"/>
                <w:sz w:val="20"/>
                <w:szCs w:val="20"/>
              </w:rPr>
              <w:t>Генеральный план Вахитовского СП</w:t>
            </w:r>
          </w:p>
        </w:tc>
      </w:tr>
    </w:tbl>
    <w:p>
      <w:pPr>
        <w:pStyle w:val="Style30"/>
        <w:rPr>
          <w:sz w:val="24"/>
          <w:szCs w:val="28"/>
        </w:rPr>
      </w:pPr>
      <w:bookmarkStart w:id="317" w:name="_Hlk151560633"/>
      <w:bookmarkEnd w:id="317"/>
      <w:r>
        <w:rPr>
          <w:sz w:val="24"/>
          <w:szCs w:val="28"/>
        </w:rPr>
        <w:t>* Генеральным планом сельского поселения данное мероприятие может быть предложено при условии включения его в документы территориального планирования и программы соответствующего уровня.</w:t>
      </w:r>
    </w:p>
    <w:p>
      <w:pPr>
        <w:pStyle w:val="Normal"/>
        <w:ind w:firstLine="720"/>
        <w:rPr>
          <w:color w:val="FF0066"/>
          <w:sz w:val="24"/>
          <w:szCs w:val="28"/>
          <w:lang w:val="ru-RU"/>
        </w:rPr>
      </w:pPr>
      <w:r>
        <w:rPr>
          <w:color w:val="FF0066"/>
          <w:sz w:val="24"/>
          <w:szCs w:val="28"/>
          <w:lang w:val="ru-RU"/>
        </w:rPr>
      </w:r>
      <w:bookmarkStart w:id="318" w:name="_Hlk151560633"/>
      <w:bookmarkStart w:id="319" w:name="_Hlk151560633"/>
      <w:bookmarkEnd w:id="319"/>
    </w:p>
    <w:p>
      <w:pPr>
        <w:sectPr>
          <w:footerReference w:type="default" r:id="rId126"/>
          <w:footerReference w:type="first" r:id="rId127"/>
          <w:footnotePr>
            <w:numFmt w:val="decimal"/>
          </w:footnotePr>
          <w:type w:val="nextPage"/>
          <w:pgSz w:orient="landscape" w:w="16838" w:h="11906"/>
          <w:pgMar w:left="1134" w:right="851" w:gutter="0" w:header="0" w:top="851" w:footer="709" w:bottom="851"/>
          <w:pgNumType w:fmt="decimal"/>
          <w:formProt w:val="false"/>
          <w:textDirection w:val="lrTb"/>
          <w:docGrid w:type="default" w:linePitch="360" w:charSpace="0"/>
        </w:sectPr>
        <w:pStyle w:val="Normal"/>
        <w:rPr>
          <w:color w:val="FF0066"/>
          <w:lang w:val="ru-RU"/>
        </w:rPr>
      </w:pPr>
      <w:r>
        <w:rPr>
          <w:color w:val="FF0066"/>
          <w:lang w:val="ru-RU"/>
        </w:rPr>
      </w:r>
    </w:p>
    <w:p>
      <w:pPr>
        <w:pStyle w:val="2"/>
        <w:numPr>
          <w:ilvl w:val="1"/>
          <w:numId w:val="7"/>
        </w:numPr>
        <w:jc w:val="both"/>
        <w:rPr/>
      </w:pPr>
      <w:bookmarkStart w:id="320" w:name="__RefHeading___Toc156489437"/>
      <w:r>
        <w:rPr>
          <w:color w:val="000000"/>
        </w:rPr>
        <w:t>Развитие транспортно-коммуникационной инфраструктуры</w:t>
      </w:r>
      <w:bookmarkEnd w:id="320"/>
      <w:r>
        <w:rPr>
          <w:color w:val="000000"/>
        </w:rPr>
        <w:t xml:space="preserve"> </w:t>
      </w:r>
    </w:p>
    <w:p>
      <w:pPr>
        <w:pStyle w:val="Normal"/>
        <w:jc w:val="both"/>
        <w:rPr/>
      </w:pPr>
      <w:bookmarkStart w:id="321" w:name="_Hlk151560652_Копия_1"/>
      <w:bookmarkEnd w:id="321"/>
      <w:r>
        <w:rPr>
          <w:color w:val="000000"/>
          <w:szCs w:val="28"/>
        </w:rPr>
        <w:t>Основной целью раздела «Развитие транспортно-коммуникационной инфраструктуры» Вахитовского сельского поселения в составе генерального плана Вахитовского сельского поселения Верхнеуслонского муниципального района является развитие автомобильных дорог в соответствии с потребностями населения, с увеличением эффективности и конкурентоспособности экономики поселения, с обеспечением требуемого технического состояния, пропускной способности, безопасности и плотности дорожной сети.</w:t>
      </w:r>
    </w:p>
    <w:p>
      <w:pPr>
        <w:pStyle w:val="Default"/>
        <w:tabs>
          <w:tab w:val="clear" w:pos="709"/>
          <w:tab w:val="left" w:pos="0" w:leader="none"/>
        </w:tabs>
        <w:ind w:firstLine="709"/>
        <w:jc w:val="both"/>
        <w:rPr/>
      </w:pPr>
      <w:r>
        <w:rPr>
          <w:sz w:val="28"/>
          <w:szCs w:val="28"/>
        </w:rPr>
        <w:t>Под влиянием транспортного каркаса территории Республики Татарстан формируется планировочная структура Верхнеуслонского муниципального района и как следствие планировочная структура территории Вахитовского сельского поселения.</w:t>
      </w:r>
    </w:p>
    <w:p>
      <w:pPr>
        <w:pStyle w:val="Default"/>
        <w:tabs>
          <w:tab w:val="clear" w:pos="709"/>
          <w:tab w:val="left" w:pos="0" w:leader="none"/>
        </w:tabs>
        <w:ind w:firstLine="709"/>
        <w:jc w:val="both"/>
        <w:rPr>
          <w:b/>
          <w:i/>
          <w:i/>
          <w:color w:val="FF0066"/>
          <w:sz w:val="28"/>
          <w:szCs w:val="28"/>
        </w:rPr>
      </w:pPr>
      <w:r>
        <w:rPr>
          <w:b/>
          <w:i/>
          <w:color w:val="FF0066"/>
          <w:sz w:val="28"/>
          <w:szCs w:val="28"/>
        </w:rPr>
      </w:r>
      <w:bookmarkStart w:id="322" w:name="_Hlk151560652_Копия_1"/>
      <w:bookmarkStart w:id="323" w:name="_Hlk151560652_Копия_1"/>
      <w:bookmarkEnd w:id="323"/>
    </w:p>
    <w:p>
      <w:pPr>
        <w:pStyle w:val="Default"/>
        <w:tabs>
          <w:tab w:val="clear" w:pos="709"/>
          <w:tab w:val="left" w:pos="0" w:leader="none"/>
        </w:tabs>
        <w:ind w:firstLine="709"/>
        <w:jc w:val="both"/>
        <w:rPr>
          <w:b/>
          <w:sz w:val="28"/>
          <w:szCs w:val="28"/>
        </w:rPr>
      </w:pPr>
      <w:r>
        <w:rPr>
          <w:b/>
          <w:sz w:val="28"/>
          <w:szCs w:val="28"/>
        </w:rPr>
        <w:t>Развитие автомобильных дорог общего пользования</w:t>
      </w:r>
    </w:p>
    <w:p>
      <w:pPr>
        <w:pStyle w:val="Default"/>
        <w:tabs>
          <w:tab w:val="clear" w:pos="709"/>
          <w:tab w:val="left" w:pos="0" w:leader="none"/>
        </w:tabs>
        <w:ind w:firstLine="709"/>
        <w:jc w:val="both"/>
        <w:rPr/>
      </w:pPr>
      <w:r>
        <w:rPr>
          <w:sz w:val="28"/>
          <w:szCs w:val="28"/>
        </w:rPr>
        <w:t>Направления по развитию автомобильных дорог федерального значения определены в 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На территории Вахитовского сельского поселения мероприятия федерального значения отсутствуют.</w:t>
      </w:r>
    </w:p>
    <w:p>
      <w:pPr>
        <w:pStyle w:val="Default"/>
        <w:tabs>
          <w:tab w:val="clear" w:pos="709"/>
          <w:tab w:val="left" w:pos="0" w:leader="none"/>
        </w:tabs>
        <w:ind w:firstLine="709"/>
        <w:jc w:val="both"/>
        <w:rPr/>
      </w:pPr>
      <w:r>
        <w:rPr>
          <w:sz w:val="28"/>
          <w:szCs w:val="28"/>
        </w:rPr>
        <w:t xml:space="preserve">Направления по развитию автомобильных дорог регионального и местного значения определены в Схеме территориального планирования Республики Татарстан и Схеме территориального планирования Верхнеуслонского муниципального района, поэтому генеральным планом Вахитовского сельского поселения учтены все мероприятия, определенные в них. </w:t>
      </w:r>
    </w:p>
    <w:p>
      <w:pPr>
        <w:pStyle w:val="Normal"/>
        <w:jc w:val="both"/>
        <w:rPr/>
      </w:pPr>
      <w:bookmarkStart w:id="324" w:name="_Hlk151561313"/>
      <w:bookmarkEnd w:id="324"/>
      <w:r>
        <w:rPr>
          <w:color w:val="000000"/>
          <w:szCs w:val="28"/>
        </w:rPr>
        <w:t>Генеральным планом на территории Вахитовского сельского поселения на первую очередь предусмотрено:</w:t>
      </w:r>
    </w:p>
    <w:p>
      <w:pPr>
        <w:pStyle w:val="Normal"/>
        <w:jc w:val="both"/>
        <w:rPr/>
      </w:pPr>
      <w:r>
        <w:rPr>
          <w:rStyle w:val="Style21"/>
          <w:rFonts w:cs="Times New Roman" w:ascii="Times New Roman" w:hAnsi="Times New Roman"/>
          <w:color w:val="000000"/>
          <w:sz w:val="28"/>
          <w:szCs w:val="28"/>
        </w:rPr>
        <w:t xml:space="preserve">– </w:t>
      </w:r>
      <w:r>
        <w:rPr>
          <w:color w:val="000000"/>
          <w:szCs w:val="28"/>
        </w:rPr>
        <w:t>строительство (устройство асфальтобетонного покрытия) автомобильной дороги регионального значения «Казань - Ульяновск - Камское Устье – Гребени» протяженностью 2 км;</w:t>
      </w:r>
    </w:p>
    <w:p>
      <w:pPr>
        <w:pStyle w:val="Normal"/>
        <w:jc w:val="both"/>
        <w:rPr/>
      </w:pPr>
      <w:r>
        <w:rPr>
          <w:rStyle w:val="Style21"/>
          <w:rFonts w:cs="Times New Roman" w:ascii="Times New Roman" w:hAnsi="Times New Roman"/>
          <w:color w:val="000000"/>
          <w:sz w:val="28"/>
          <w:szCs w:val="28"/>
        </w:rPr>
        <w:t xml:space="preserve">– </w:t>
      </w:r>
      <w:r>
        <w:rPr>
          <w:color w:val="000000"/>
          <w:szCs w:val="28"/>
        </w:rPr>
        <w:t>строительство автодорожного моста в п.Бакча-Сарай;</w:t>
      </w:r>
    </w:p>
    <w:p>
      <w:pPr>
        <w:pStyle w:val="Normal"/>
        <w:jc w:val="both"/>
        <w:rPr/>
      </w:pPr>
      <w:r>
        <w:rPr>
          <w:rStyle w:val="Style21"/>
          <w:rFonts w:cs="Times New Roman" w:ascii="Times New Roman" w:hAnsi="Times New Roman"/>
          <w:color w:val="000000"/>
          <w:sz w:val="28"/>
          <w:szCs w:val="28"/>
        </w:rPr>
        <w:t xml:space="preserve">– </w:t>
      </w:r>
      <w:r>
        <w:rPr>
          <w:color w:val="000000"/>
          <w:szCs w:val="28"/>
        </w:rPr>
        <w:t>строительство (устройство асфальтобетонного покрытия) автомобильной дороги местного значения «Подъезд к п.Бакча-Сарай» протяженностью 0,6 км.</w:t>
      </w:r>
    </w:p>
    <w:p>
      <w:pPr>
        <w:pStyle w:val="Normal"/>
        <w:jc w:val="both"/>
        <w:rPr>
          <w:color w:val="FF0066"/>
          <w:szCs w:val="28"/>
        </w:rPr>
      </w:pPr>
      <w:r>
        <w:rPr>
          <w:color w:val="FF0066"/>
          <w:szCs w:val="28"/>
        </w:rPr>
      </w:r>
      <w:bookmarkStart w:id="325" w:name="_Hlk151561313"/>
      <w:bookmarkStart w:id="326" w:name="_Hlk151561313"/>
      <w:bookmarkEnd w:id="326"/>
    </w:p>
    <w:p>
      <w:pPr>
        <w:pStyle w:val="Default"/>
        <w:tabs>
          <w:tab w:val="clear" w:pos="709"/>
          <w:tab w:val="left" w:pos="0" w:leader="none"/>
        </w:tabs>
        <w:ind w:firstLine="567"/>
        <w:jc w:val="both"/>
        <w:rPr/>
      </w:pPr>
      <w:r>
        <w:rPr>
          <w:b/>
          <w:sz w:val="28"/>
          <w:szCs w:val="28"/>
        </w:rPr>
        <w:t>Развитие улично-дорожной сети</w:t>
      </w:r>
    </w:p>
    <w:p>
      <w:pPr>
        <w:pStyle w:val="Default"/>
        <w:tabs>
          <w:tab w:val="clear" w:pos="709"/>
          <w:tab w:val="left" w:pos="0" w:leader="none"/>
        </w:tabs>
        <w:ind w:firstLine="709"/>
        <w:jc w:val="both"/>
        <w:rPr/>
      </w:pPr>
      <w:bookmarkStart w:id="327" w:name="_Hlk151561329_Копия_1"/>
      <w:bookmarkEnd w:id="327"/>
      <w:r>
        <w:rPr>
          <w:sz w:val="28"/>
          <w:szCs w:val="28"/>
        </w:rPr>
        <w:t>Генеральным планом предусмотрено строительство и капитальный ремонт (устройство асфальтобетонного покрытия) улиц и дорог на территории существующей жилой застройки в каждом из населенных пунктов Вахитовского сельского поселения. Учитывая неудовлетворительное состояние покрытия проезжей части основных и второстепенных улиц населенных пунктов, предполагается реконструкция существующей улично-дорожной сети.</w:t>
      </w:r>
    </w:p>
    <w:p>
      <w:pPr>
        <w:pStyle w:val="Default"/>
        <w:tabs>
          <w:tab w:val="clear" w:pos="709"/>
          <w:tab w:val="left" w:pos="0" w:leader="none"/>
        </w:tabs>
        <w:ind w:firstLine="709"/>
        <w:jc w:val="both"/>
        <w:rPr>
          <w:color w:val="FF0066"/>
          <w:sz w:val="28"/>
          <w:szCs w:val="28"/>
        </w:rPr>
      </w:pPr>
      <w:r>
        <w:rPr>
          <w:color w:val="FF0066"/>
          <w:sz w:val="28"/>
          <w:szCs w:val="28"/>
        </w:rPr>
      </w:r>
      <w:bookmarkStart w:id="328" w:name="_Hlk151561329_Копия_1"/>
      <w:bookmarkStart w:id="329" w:name="_Hlk151561329_Копия_1"/>
      <w:bookmarkEnd w:id="329"/>
    </w:p>
    <w:p>
      <w:pPr>
        <w:sectPr>
          <w:footerReference w:type="default" r:id="rId128"/>
          <w:footerReference w:type="first" r:id="rId129"/>
          <w:footnotePr>
            <w:numFmt w:val="decimal"/>
          </w:footnotePr>
          <w:type w:val="nextPage"/>
          <w:pgSz w:w="11906" w:h="16838"/>
          <w:pgMar w:left="1134" w:right="851" w:gutter="0" w:header="0" w:top="851" w:footer="708" w:bottom="851"/>
          <w:pgNumType w:fmt="decimal"/>
          <w:formProt w:val="false"/>
          <w:textDirection w:val="lrTb"/>
          <w:docGrid w:type="default" w:linePitch="360" w:charSpace="0"/>
        </w:sectPr>
        <w:pStyle w:val="Default"/>
        <w:tabs>
          <w:tab w:val="clear" w:pos="709"/>
          <w:tab w:val="left" w:pos="0" w:leader="none"/>
        </w:tabs>
        <w:ind w:firstLine="709"/>
        <w:jc w:val="both"/>
        <w:rPr>
          <w:color w:val="FF0066"/>
          <w:sz w:val="28"/>
          <w:szCs w:val="28"/>
        </w:rPr>
      </w:pPr>
      <w:r>
        <w:rPr>
          <w:color w:val="FF0066"/>
          <w:sz w:val="28"/>
          <w:szCs w:val="28"/>
        </w:rPr>
        <w:t xml:space="preserve"> </w:t>
      </w:r>
    </w:p>
    <w:p>
      <w:pPr>
        <w:pStyle w:val="Style78"/>
        <w:rPr/>
      </w:pPr>
      <w:r>
        <w:rPr>
          <w:color w:val="000000"/>
        </w:rPr>
        <w:t>Таблица 4.10.1</w:t>
      </w:r>
    </w:p>
    <w:p>
      <w:pPr>
        <w:pStyle w:val="Normal"/>
        <w:jc w:val="center"/>
        <w:rPr/>
      </w:pPr>
      <w:r>
        <w:rPr>
          <w:color w:val="000000"/>
          <w:szCs w:val="28"/>
        </w:rPr>
        <w:t xml:space="preserve">Перечень мероприятий по развитию транспортно-коммуникационной инфраструктуры </w:t>
      </w:r>
    </w:p>
    <w:p>
      <w:pPr>
        <w:pStyle w:val="Normal"/>
        <w:jc w:val="center"/>
        <w:rPr/>
      </w:pPr>
      <w:r>
        <w:rPr>
          <w:color w:val="000000"/>
          <w:szCs w:val="28"/>
        </w:rPr>
        <w:t>Вахитовского</w:t>
      </w:r>
      <w:r>
        <w:rPr/>
        <w:t xml:space="preserve"> сельского поселения</w:t>
      </w:r>
    </w:p>
    <w:tbl>
      <w:tblPr>
        <w:tblW w:w="5000" w:type="pct"/>
        <w:jc w:val="left"/>
        <w:tblInd w:w="-212" w:type="dxa"/>
        <w:tblLayout w:type="fixed"/>
        <w:tblCellMar>
          <w:top w:w="0" w:type="dxa"/>
          <w:left w:w="108" w:type="dxa"/>
          <w:bottom w:w="0" w:type="dxa"/>
          <w:right w:w="108" w:type="dxa"/>
        </w:tblCellMar>
      </w:tblPr>
      <w:tblGrid>
        <w:gridCol w:w="1522"/>
        <w:gridCol w:w="24"/>
        <w:gridCol w:w="1607"/>
        <w:gridCol w:w="1717"/>
        <w:gridCol w:w="23"/>
        <w:gridCol w:w="1840"/>
        <w:gridCol w:w="14"/>
        <w:gridCol w:w="1056"/>
        <w:gridCol w:w="27"/>
        <w:gridCol w:w="1513"/>
        <w:gridCol w:w="11"/>
        <w:gridCol w:w="1691"/>
        <w:gridCol w:w="12"/>
        <w:gridCol w:w="888"/>
        <w:gridCol w:w="1125"/>
        <w:gridCol w:w="1783"/>
      </w:tblGrid>
      <w:tr>
        <w:trPr/>
        <w:tc>
          <w:tcPr>
            <w:tcW w:w="152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bookmarkStart w:id="330" w:name="_Hlk151561391"/>
            <w:bookmarkEnd w:id="330"/>
            <w:r>
              <w:rPr>
                <w:color w:val="000000"/>
                <w:sz w:val="20"/>
                <w:szCs w:val="20"/>
              </w:rPr>
              <w:t xml:space="preserve">№ </w:t>
            </w:r>
            <w:r>
              <w:rPr>
                <w:color w:val="000000"/>
                <w:sz w:val="20"/>
                <w:szCs w:val="20"/>
              </w:rPr>
              <w:t>п/п</w:t>
            </w:r>
          </w:p>
        </w:tc>
        <w:tc>
          <w:tcPr>
            <w:tcW w:w="1631"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Наименование населенного пункта, входящего в состав поселения</w:t>
            </w:r>
          </w:p>
        </w:tc>
        <w:tc>
          <w:tcPr>
            <w:tcW w:w="1740"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Наименование объекта</w:t>
            </w:r>
          </w:p>
        </w:tc>
        <w:tc>
          <w:tcPr>
            <w:tcW w:w="184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Вид</w:t>
            </w:r>
          </w:p>
          <w:p>
            <w:pPr>
              <w:pStyle w:val="Normal"/>
              <w:ind w:hanging="0"/>
              <w:jc w:val="center"/>
              <w:rPr>
                <w:color w:val="000000"/>
                <w:sz w:val="20"/>
                <w:szCs w:val="20"/>
              </w:rPr>
            </w:pPr>
            <w:r>
              <w:rPr>
                <w:color w:val="000000"/>
                <w:sz w:val="20"/>
                <w:szCs w:val="20"/>
              </w:rPr>
              <w:t>мероприятия</w:t>
            </w:r>
          </w:p>
        </w:tc>
        <w:tc>
          <w:tcPr>
            <w:tcW w:w="1097" w:type="dxa"/>
            <w:gridSpan w:val="3"/>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Единица измерения</w:t>
            </w:r>
          </w:p>
        </w:tc>
        <w:tc>
          <w:tcPr>
            <w:tcW w:w="3227" w:type="dxa"/>
            <w:gridSpan w:val="4"/>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Мощность</w:t>
            </w:r>
          </w:p>
        </w:tc>
        <w:tc>
          <w:tcPr>
            <w:tcW w:w="2013"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Срок реализации</w:t>
            </w:r>
          </w:p>
        </w:tc>
        <w:tc>
          <w:tcPr>
            <w:tcW w:w="178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Источник мероприятия (наименование документа)</w:t>
            </w:r>
          </w:p>
        </w:tc>
      </w:tr>
      <w:tr>
        <w:trPr/>
        <w:tc>
          <w:tcPr>
            <w:tcW w:w="152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rPr>
                <w:color w:val="FF0066"/>
                <w:sz w:val="20"/>
                <w:szCs w:val="20"/>
              </w:rPr>
            </w:pPr>
            <w:r>
              <w:rPr>
                <w:color w:val="FF0066"/>
                <w:sz w:val="20"/>
                <w:szCs w:val="20"/>
              </w:rPr>
            </w:r>
          </w:p>
        </w:tc>
        <w:tc>
          <w:tcPr>
            <w:tcW w:w="1631"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rPr>
                <w:color w:val="FF0066"/>
                <w:sz w:val="20"/>
                <w:szCs w:val="20"/>
              </w:rPr>
            </w:pPr>
            <w:r>
              <w:rPr>
                <w:color w:val="FF0066"/>
                <w:sz w:val="20"/>
                <w:szCs w:val="20"/>
              </w:rPr>
            </w:r>
          </w:p>
        </w:tc>
        <w:tc>
          <w:tcPr>
            <w:tcW w:w="1740"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rPr>
                <w:color w:val="FF0066"/>
                <w:sz w:val="20"/>
                <w:szCs w:val="20"/>
              </w:rPr>
            </w:pPr>
            <w:r>
              <w:rPr>
                <w:color w:val="FF0066"/>
                <w:sz w:val="20"/>
                <w:szCs w:val="20"/>
              </w:rPr>
            </w:r>
          </w:p>
        </w:tc>
        <w:tc>
          <w:tcPr>
            <w:tcW w:w="18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rPr>
                <w:color w:val="FF0066"/>
                <w:sz w:val="20"/>
                <w:szCs w:val="20"/>
              </w:rPr>
            </w:pPr>
            <w:r>
              <w:rPr>
                <w:color w:val="FF0066"/>
                <w:sz w:val="20"/>
                <w:szCs w:val="20"/>
              </w:rPr>
            </w:r>
          </w:p>
        </w:tc>
        <w:tc>
          <w:tcPr>
            <w:tcW w:w="1097" w:type="dxa"/>
            <w:gridSpan w:val="3"/>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rPr>
                <w:color w:val="FF0066"/>
                <w:sz w:val="20"/>
                <w:szCs w:val="20"/>
              </w:rPr>
            </w:pPr>
            <w:r>
              <w:rPr>
                <w:color w:val="FF0066"/>
                <w:sz w:val="20"/>
                <w:szCs w:val="20"/>
              </w:rPr>
            </w:r>
          </w:p>
        </w:tc>
        <w:tc>
          <w:tcPr>
            <w:tcW w:w="1524"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Существующая</w:t>
            </w:r>
          </w:p>
        </w:tc>
        <w:tc>
          <w:tcPr>
            <w:tcW w:w="1703"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Новая</w:t>
            </w:r>
          </w:p>
          <w:p>
            <w:pPr>
              <w:pStyle w:val="Normal"/>
              <w:ind w:hanging="0"/>
              <w:jc w:val="center"/>
              <w:rPr>
                <w:color w:val="000000"/>
                <w:sz w:val="20"/>
                <w:szCs w:val="20"/>
              </w:rPr>
            </w:pPr>
            <w:r>
              <w:rPr>
                <w:color w:val="000000"/>
                <w:sz w:val="20"/>
                <w:szCs w:val="20"/>
              </w:rPr>
              <w:t>(дополнительная)</w:t>
            </w:r>
          </w:p>
        </w:tc>
        <w:tc>
          <w:tcPr>
            <w:tcW w:w="888" w:type="dxa"/>
            <w:tcBorders>
              <w:top w:val="single" w:sz="4" w:space="0" w:color="000000"/>
              <w:left w:val="single" w:sz="4" w:space="0" w:color="000000"/>
              <w:bottom w:val="single" w:sz="4" w:space="0" w:color="000000"/>
              <w:right w:val="single" w:sz="4" w:space="0" w:color="000000"/>
            </w:tcBorders>
            <w:vAlign w:val="center"/>
          </w:tcPr>
          <w:p>
            <w:pPr>
              <w:pStyle w:val="Style75"/>
              <w:rPr/>
            </w:pPr>
            <w:r>
              <w:rPr>
                <w:color w:val="000000"/>
                <w:sz w:val="20"/>
                <w:szCs w:val="20"/>
              </w:rPr>
              <w:t>Первая очередь (до 2032 г.)</w:t>
            </w:r>
          </w:p>
        </w:tc>
        <w:tc>
          <w:tcPr>
            <w:tcW w:w="1125"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 xml:space="preserve">Расчетный срок </w:t>
            </w:r>
          </w:p>
          <w:p>
            <w:pPr>
              <w:pStyle w:val="Style75"/>
              <w:rPr/>
            </w:pPr>
            <w:r>
              <w:rPr>
                <w:color w:val="000000"/>
                <w:sz w:val="20"/>
                <w:szCs w:val="20"/>
              </w:rPr>
              <w:t>(2033-2047 гг.)</w:t>
            </w:r>
          </w:p>
        </w:tc>
        <w:tc>
          <w:tcPr>
            <w:tcW w:w="178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rPr>
                <w:color w:val="FF0066"/>
                <w:sz w:val="20"/>
                <w:szCs w:val="20"/>
              </w:rPr>
            </w:pPr>
            <w:r>
              <w:rPr>
                <w:color w:val="FF0066"/>
                <w:sz w:val="20"/>
                <w:szCs w:val="20"/>
              </w:rPr>
            </w:r>
          </w:p>
        </w:tc>
      </w:tr>
      <w:tr>
        <w:trPr/>
        <w:tc>
          <w:tcPr>
            <w:tcW w:w="14853" w:type="dxa"/>
            <w:gridSpan w:val="16"/>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МЕРОПРИЯТИЯ ФЕДЕРАЛЬНОГО ЗНАЧЕНИЯ</w:t>
            </w:r>
          </w:p>
        </w:tc>
      </w:tr>
      <w:tr>
        <w:trPr/>
        <w:tc>
          <w:tcPr>
            <w:tcW w:w="14853" w:type="dxa"/>
            <w:gridSpan w:val="16"/>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Автомобильные дороги общего пользования</w:t>
            </w:r>
          </w:p>
        </w:tc>
      </w:tr>
      <w:tr>
        <w:trPr/>
        <w:tc>
          <w:tcPr>
            <w:tcW w:w="1546"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160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Вахитовское СП</w:t>
            </w:r>
          </w:p>
        </w:tc>
        <w:tc>
          <w:tcPr>
            <w:tcW w:w="171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«Москва – Нижний Новгород – Казань»</w:t>
            </w:r>
          </w:p>
        </w:tc>
        <w:tc>
          <w:tcPr>
            <w:tcW w:w="1877" w:type="dxa"/>
            <w:gridSpan w:val="3"/>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Новое строительство</w:t>
            </w:r>
          </w:p>
        </w:tc>
        <w:tc>
          <w:tcPr>
            <w:tcW w:w="10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км</w:t>
            </w:r>
          </w:p>
        </w:tc>
        <w:tc>
          <w:tcPr>
            <w:tcW w:w="1540"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7,24</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12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7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СТП РФ в области федерального транспорта</w:t>
            </w:r>
          </w:p>
        </w:tc>
      </w:tr>
      <w:tr>
        <w:trPr/>
        <w:tc>
          <w:tcPr>
            <w:tcW w:w="14853" w:type="dxa"/>
            <w:gridSpan w:val="16"/>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Искусственные дорожные сооружения</w:t>
            </w:r>
          </w:p>
        </w:tc>
      </w:tr>
      <w:tr>
        <w:trPr/>
        <w:tc>
          <w:tcPr>
            <w:tcW w:w="1546"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160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Вахитовское СП</w:t>
            </w:r>
          </w:p>
        </w:tc>
        <w:tc>
          <w:tcPr>
            <w:tcW w:w="171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Мост автодорожный</w:t>
            </w:r>
          </w:p>
        </w:tc>
        <w:tc>
          <w:tcPr>
            <w:tcW w:w="1877" w:type="dxa"/>
            <w:gridSpan w:val="3"/>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Новое строительство</w:t>
            </w:r>
          </w:p>
        </w:tc>
        <w:tc>
          <w:tcPr>
            <w:tcW w:w="10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объект</w:t>
            </w:r>
          </w:p>
        </w:tc>
        <w:tc>
          <w:tcPr>
            <w:tcW w:w="1540"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w:t>
            </w: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12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7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СТП РФ в области федерального транспорта</w:t>
            </w:r>
          </w:p>
        </w:tc>
      </w:tr>
      <w:tr>
        <w:trPr/>
        <w:tc>
          <w:tcPr>
            <w:tcW w:w="1546"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w:t>
            </w:r>
          </w:p>
        </w:tc>
        <w:tc>
          <w:tcPr>
            <w:tcW w:w="160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Вахитовское СП</w:t>
            </w:r>
          </w:p>
        </w:tc>
        <w:tc>
          <w:tcPr>
            <w:tcW w:w="171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Транспортная развязка в разных уровнях</w:t>
            </w:r>
          </w:p>
        </w:tc>
        <w:tc>
          <w:tcPr>
            <w:tcW w:w="1877" w:type="dxa"/>
            <w:gridSpan w:val="3"/>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Новое строительство</w:t>
            </w:r>
          </w:p>
        </w:tc>
        <w:tc>
          <w:tcPr>
            <w:tcW w:w="10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объект</w:t>
            </w:r>
          </w:p>
        </w:tc>
        <w:tc>
          <w:tcPr>
            <w:tcW w:w="1540"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12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7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СТП РФ в области федерального транспорта</w:t>
            </w:r>
          </w:p>
        </w:tc>
      </w:tr>
      <w:tr>
        <w:trPr/>
        <w:tc>
          <w:tcPr>
            <w:tcW w:w="14853" w:type="dxa"/>
            <w:gridSpan w:val="16"/>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Объекты обслуживания автомобильного транспорта</w:t>
            </w:r>
          </w:p>
        </w:tc>
      </w:tr>
      <w:tr>
        <w:trPr/>
        <w:tc>
          <w:tcPr>
            <w:tcW w:w="1546"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160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Вахитовское СП</w:t>
            </w:r>
          </w:p>
        </w:tc>
        <w:tc>
          <w:tcPr>
            <w:tcW w:w="171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Объект дорожного сервиса</w:t>
            </w:r>
          </w:p>
        </w:tc>
        <w:tc>
          <w:tcPr>
            <w:tcW w:w="1877" w:type="dxa"/>
            <w:gridSpan w:val="3"/>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Новое строительство</w:t>
            </w:r>
          </w:p>
        </w:tc>
        <w:tc>
          <w:tcPr>
            <w:tcW w:w="10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объект</w:t>
            </w:r>
          </w:p>
        </w:tc>
        <w:tc>
          <w:tcPr>
            <w:tcW w:w="1540"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12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7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СТП РФ в области федерального транспорта</w:t>
            </w:r>
          </w:p>
        </w:tc>
      </w:tr>
      <w:tr>
        <w:trPr/>
        <w:tc>
          <w:tcPr>
            <w:tcW w:w="14853" w:type="dxa"/>
            <w:gridSpan w:val="16"/>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МЕРОПРИЯТИЯ РЕГИОНАЛЬНОГО ЗНАЧЕНИЯ</w:t>
            </w:r>
          </w:p>
        </w:tc>
      </w:tr>
      <w:tr>
        <w:trPr/>
        <w:tc>
          <w:tcPr>
            <w:tcW w:w="14853" w:type="dxa"/>
            <w:gridSpan w:val="16"/>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Автомобильные дороги общего пользования</w:t>
            </w:r>
          </w:p>
        </w:tc>
      </w:tr>
      <w:tr>
        <w:trPr/>
        <w:tc>
          <w:tcPr>
            <w:tcW w:w="152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1631"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Вахитовское СП</w:t>
            </w:r>
          </w:p>
        </w:tc>
        <w:tc>
          <w:tcPr>
            <w:tcW w:w="1740"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Вахитово-Ташевка</w:t>
            </w:r>
          </w:p>
        </w:tc>
        <w:tc>
          <w:tcPr>
            <w:tcW w:w="184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Новое строительство</w:t>
            </w:r>
          </w:p>
        </w:tc>
        <w:tc>
          <w:tcPr>
            <w:tcW w:w="1097" w:type="dxa"/>
            <w:gridSpan w:val="3"/>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км</w:t>
            </w:r>
          </w:p>
        </w:tc>
        <w:tc>
          <w:tcPr>
            <w:tcW w:w="1524"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703"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4,4</w:t>
            </w:r>
          </w:p>
        </w:tc>
        <w:tc>
          <w:tcPr>
            <w:tcW w:w="888"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125"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7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СТП Верхнеуслонского района</w:t>
            </w:r>
          </w:p>
        </w:tc>
      </w:tr>
      <w:tr>
        <w:trPr/>
        <w:tc>
          <w:tcPr>
            <w:tcW w:w="152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w:t>
            </w:r>
          </w:p>
        </w:tc>
        <w:tc>
          <w:tcPr>
            <w:tcW w:w="1631"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Вахитовское СП</w:t>
            </w:r>
          </w:p>
        </w:tc>
        <w:tc>
          <w:tcPr>
            <w:tcW w:w="1740"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Янга-Болгар - Матюшино - Бакча-Сарай</w:t>
            </w:r>
          </w:p>
        </w:tc>
        <w:tc>
          <w:tcPr>
            <w:tcW w:w="184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Новое строительство</w:t>
            </w:r>
          </w:p>
        </w:tc>
        <w:tc>
          <w:tcPr>
            <w:tcW w:w="1097" w:type="dxa"/>
            <w:gridSpan w:val="3"/>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км</w:t>
            </w:r>
          </w:p>
        </w:tc>
        <w:tc>
          <w:tcPr>
            <w:tcW w:w="1524"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703"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0,6</w:t>
            </w:r>
          </w:p>
        </w:tc>
        <w:tc>
          <w:tcPr>
            <w:tcW w:w="888"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125"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7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СТП Верхнеуслонского района</w:t>
            </w:r>
          </w:p>
        </w:tc>
      </w:tr>
      <w:tr>
        <w:trPr>
          <w:trHeight w:val="70" w:hRule="atLeast"/>
        </w:trPr>
        <w:tc>
          <w:tcPr>
            <w:tcW w:w="14853" w:type="dxa"/>
            <w:gridSpan w:val="16"/>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aps/>
                <w:color w:val="000000"/>
                <w:sz w:val="20"/>
                <w:szCs w:val="20"/>
              </w:rPr>
            </w:pPr>
            <w:r>
              <w:rPr>
                <w:caps/>
                <w:color w:val="000000"/>
                <w:sz w:val="20"/>
                <w:szCs w:val="20"/>
              </w:rPr>
              <w:t xml:space="preserve">мероприятия  Местного (РАЙОННОГО) значения </w:t>
            </w:r>
          </w:p>
        </w:tc>
      </w:tr>
      <w:tr>
        <w:trPr>
          <w:trHeight w:val="70" w:hRule="atLeast"/>
        </w:trPr>
        <w:tc>
          <w:tcPr>
            <w:tcW w:w="14853" w:type="dxa"/>
            <w:gridSpan w:val="16"/>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Автомобильные дороги общего пользования</w:t>
            </w:r>
          </w:p>
        </w:tc>
      </w:tr>
      <w:tr>
        <w:trPr>
          <w:trHeight w:val="606" w:hRule="atLeast"/>
        </w:trPr>
        <w:tc>
          <w:tcPr>
            <w:tcW w:w="152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1631"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Вахитовское СП</w:t>
            </w:r>
          </w:p>
        </w:tc>
        <w:tc>
          <w:tcPr>
            <w:tcW w:w="1740"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«Подъезд к п.Бакча-Сарай»</w:t>
            </w:r>
          </w:p>
        </w:tc>
        <w:tc>
          <w:tcPr>
            <w:tcW w:w="184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 xml:space="preserve">Новое строительство </w:t>
            </w:r>
          </w:p>
        </w:tc>
        <w:tc>
          <w:tcPr>
            <w:tcW w:w="1097" w:type="dxa"/>
            <w:gridSpan w:val="3"/>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км</w:t>
            </w:r>
          </w:p>
        </w:tc>
        <w:tc>
          <w:tcPr>
            <w:tcW w:w="1524" w:type="dxa"/>
            <w:gridSpan w:val="2"/>
            <w:tcBorders>
              <w:top w:val="single" w:sz="4" w:space="0" w:color="000000"/>
              <w:left w:val="single" w:sz="4" w:space="0" w:color="000000"/>
              <w:bottom w:val="single" w:sz="4" w:space="0" w:color="000000"/>
              <w:right w:val="single" w:sz="4" w:space="0" w:color="000000"/>
            </w:tcBorders>
            <w:vAlign w:val="center"/>
          </w:tcPr>
          <w:p>
            <w:pPr>
              <w:pStyle w:val="Style86"/>
              <w:tabs>
                <w:tab w:val="clear" w:pos="709"/>
                <w:tab w:val="right" w:pos="9345" w:leader="dot"/>
              </w:tabs>
              <w:jc w:val="center"/>
              <w:rPr/>
            </w:pPr>
            <w:r>
              <w:rPr>
                <w:rStyle w:val="Style21"/>
                <w:rFonts w:cs="Times New Roman" w:ascii="Times New Roman" w:hAnsi="Times New Roman"/>
                <w:color w:val="000000"/>
                <w:sz w:val="20"/>
                <w:szCs w:val="20"/>
              </w:rPr>
              <w:t>0,6</w:t>
            </w:r>
          </w:p>
        </w:tc>
        <w:tc>
          <w:tcPr>
            <w:tcW w:w="1703"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w:t>
            </w:r>
          </w:p>
        </w:tc>
        <w:tc>
          <w:tcPr>
            <w:tcW w:w="88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12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7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Генеральный план Вахитовского СП</w:t>
            </w:r>
          </w:p>
        </w:tc>
      </w:tr>
      <w:tr>
        <w:trPr>
          <w:trHeight w:val="606" w:hRule="atLeast"/>
        </w:trPr>
        <w:tc>
          <w:tcPr>
            <w:tcW w:w="152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w:t>
            </w:r>
          </w:p>
        </w:tc>
        <w:tc>
          <w:tcPr>
            <w:tcW w:w="1631"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Вахитовское СП</w:t>
            </w:r>
          </w:p>
        </w:tc>
        <w:tc>
          <w:tcPr>
            <w:tcW w:w="1740"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Казань - Ульяновск - Камское Устье - Гребени</w:t>
            </w:r>
          </w:p>
        </w:tc>
        <w:tc>
          <w:tcPr>
            <w:tcW w:w="184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Новое строительство</w:t>
            </w:r>
          </w:p>
        </w:tc>
        <w:tc>
          <w:tcPr>
            <w:tcW w:w="1097" w:type="dxa"/>
            <w:gridSpan w:val="3"/>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км</w:t>
            </w:r>
          </w:p>
        </w:tc>
        <w:tc>
          <w:tcPr>
            <w:tcW w:w="1524"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703"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w:t>
            </w:r>
          </w:p>
        </w:tc>
        <w:tc>
          <w:tcPr>
            <w:tcW w:w="888"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125"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7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Генеральный план Вахитовского СП</w:t>
            </w:r>
          </w:p>
        </w:tc>
      </w:tr>
      <w:tr>
        <w:trPr>
          <w:trHeight w:val="151" w:hRule="atLeast"/>
        </w:trPr>
        <w:tc>
          <w:tcPr>
            <w:tcW w:w="14853" w:type="dxa"/>
            <w:gridSpan w:val="16"/>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Искусственные дорожные сооружения</w:t>
            </w:r>
          </w:p>
        </w:tc>
      </w:tr>
      <w:tr>
        <w:trPr>
          <w:trHeight w:val="606" w:hRule="atLeast"/>
        </w:trPr>
        <w:tc>
          <w:tcPr>
            <w:tcW w:w="152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1631"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Вахитовское СП</w:t>
            </w:r>
          </w:p>
        </w:tc>
        <w:tc>
          <w:tcPr>
            <w:tcW w:w="1740"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Мост автодорожный</w:t>
            </w:r>
          </w:p>
        </w:tc>
        <w:tc>
          <w:tcPr>
            <w:tcW w:w="184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Новое строительство</w:t>
            </w:r>
          </w:p>
        </w:tc>
        <w:tc>
          <w:tcPr>
            <w:tcW w:w="1097" w:type="dxa"/>
            <w:gridSpan w:val="3"/>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объект</w:t>
            </w:r>
          </w:p>
        </w:tc>
        <w:tc>
          <w:tcPr>
            <w:tcW w:w="1524"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703"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888"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125" w:type="dxa"/>
            <w:tcBorders>
              <w:top w:val="single" w:sz="4" w:space="0" w:color="000000"/>
              <w:left w:val="single" w:sz="4" w:space="0" w:color="000000"/>
              <w:bottom w:val="single" w:sz="4" w:space="0" w:color="000000"/>
              <w:right w:val="single" w:sz="4" w:space="0" w:color="000000"/>
            </w:tcBorders>
            <w:vAlign w:val="center"/>
          </w:tcPr>
          <w:p>
            <w:pPr>
              <w:pStyle w:val="Style75"/>
              <w:rPr>
                <w:color w:val="000000"/>
                <w:sz w:val="20"/>
                <w:szCs w:val="20"/>
              </w:rPr>
            </w:pPr>
            <w:r>
              <w:rPr>
                <w:color w:val="000000"/>
                <w:sz w:val="20"/>
                <w:szCs w:val="20"/>
              </w:rPr>
              <w:t>-</w:t>
            </w:r>
          </w:p>
        </w:tc>
        <w:tc>
          <w:tcPr>
            <w:tcW w:w="17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Генеральный план Вахитовского СП</w:t>
            </w:r>
          </w:p>
        </w:tc>
      </w:tr>
      <w:tr>
        <w:trPr>
          <w:trHeight w:val="95" w:hRule="atLeast"/>
        </w:trPr>
        <w:tc>
          <w:tcPr>
            <w:tcW w:w="14853" w:type="dxa"/>
            <w:gridSpan w:val="16"/>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aps/>
                <w:color w:val="000000"/>
                <w:sz w:val="20"/>
                <w:szCs w:val="20"/>
              </w:rPr>
            </w:pPr>
            <w:r>
              <w:rPr>
                <w:caps/>
                <w:color w:val="000000"/>
                <w:sz w:val="20"/>
                <w:szCs w:val="20"/>
              </w:rPr>
              <w:t>мероприятия  Местного значения (поселения)</w:t>
            </w:r>
          </w:p>
        </w:tc>
      </w:tr>
      <w:tr>
        <w:trPr>
          <w:trHeight w:val="91" w:hRule="atLeast"/>
        </w:trPr>
        <w:tc>
          <w:tcPr>
            <w:tcW w:w="14853" w:type="dxa"/>
            <w:gridSpan w:val="16"/>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Улично-дорожная сеть</w:t>
            </w:r>
          </w:p>
        </w:tc>
      </w:tr>
      <w:tr>
        <w:trPr>
          <w:trHeight w:val="1850" w:hRule="atLeast"/>
        </w:trPr>
        <w:tc>
          <w:tcPr>
            <w:tcW w:w="152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1631"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д.им. Мулланура Вахитова</w:t>
            </w:r>
          </w:p>
        </w:tc>
        <w:tc>
          <w:tcPr>
            <w:tcW w:w="1740"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Улично-дорожная сеть населенного пункта</w:t>
            </w:r>
          </w:p>
        </w:tc>
        <w:tc>
          <w:tcPr>
            <w:tcW w:w="184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Капитальный ремонт (устройство асфальтобетонного покрытия)</w:t>
            </w:r>
          </w:p>
        </w:tc>
        <w:tc>
          <w:tcPr>
            <w:tcW w:w="1097" w:type="dxa"/>
            <w:gridSpan w:val="3"/>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км</w:t>
            </w:r>
          </w:p>
        </w:tc>
        <w:tc>
          <w:tcPr>
            <w:tcW w:w="1524"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3,9</w:t>
            </w:r>
          </w:p>
        </w:tc>
        <w:tc>
          <w:tcPr>
            <w:tcW w:w="1703"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88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12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7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Генеральный план Вахитовского СП</w:t>
            </w:r>
          </w:p>
        </w:tc>
      </w:tr>
      <w:tr>
        <w:trPr>
          <w:trHeight w:val="1860" w:hRule="atLeast"/>
        </w:trPr>
        <w:tc>
          <w:tcPr>
            <w:tcW w:w="152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w:t>
            </w:r>
          </w:p>
        </w:tc>
        <w:tc>
          <w:tcPr>
            <w:tcW w:w="1631"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п.Бакча-Сарай</w:t>
            </w:r>
          </w:p>
        </w:tc>
        <w:tc>
          <w:tcPr>
            <w:tcW w:w="1740"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Улично-дорожная сеть населенного пункта</w:t>
            </w:r>
          </w:p>
        </w:tc>
        <w:tc>
          <w:tcPr>
            <w:tcW w:w="184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Капитальный ремонт (устройство асфальтобетонного покрытия)</w:t>
            </w:r>
          </w:p>
        </w:tc>
        <w:tc>
          <w:tcPr>
            <w:tcW w:w="1097" w:type="dxa"/>
            <w:gridSpan w:val="3"/>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км</w:t>
            </w:r>
          </w:p>
        </w:tc>
        <w:tc>
          <w:tcPr>
            <w:tcW w:w="1524"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w:t>
            </w:r>
          </w:p>
        </w:tc>
        <w:tc>
          <w:tcPr>
            <w:tcW w:w="1703"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88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12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7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Генеральный план Вахитовского СП</w:t>
            </w:r>
          </w:p>
        </w:tc>
      </w:tr>
      <w:tr>
        <w:trPr>
          <w:trHeight w:val="925" w:hRule="atLeast"/>
        </w:trPr>
        <w:tc>
          <w:tcPr>
            <w:tcW w:w="152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w:t>
            </w:r>
          </w:p>
        </w:tc>
        <w:tc>
          <w:tcPr>
            <w:tcW w:w="1631"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с.Ташевка</w:t>
            </w:r>
          </w:p>
        </w:tc>
        <w:tc>
          <w:tcPr>
            <w:tcW w:w="1740"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Улично-дорожная сеть населенного пункта</w:t>
            </w:r>
          </w:p>
        </w:tc>
        <w:tc>
          <w:tcPr>
            <w:tcW w:w="184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Капитальный ремонт (устройство асфальтобетонного покрытия)</w:t>
            </w:r>
          </w:p>
        </w:tc>
        <w:tc>
          <w:tcPr>
            <w:tcW w:w="1097" w:type="dxa"/>
            <w:gridSpan w:val="3"/>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км</w:t>
            </w:r>
          </w:p>
        </w:tc>
        <w:tc>
          <w:tcPr>
            <w:tcW w:w="1524"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3,8</w:t>
            </w:r>
          </w:p>
        </w:tc>
        <w:tc>
          <w:tcPr>
            <w:tcW w:w="1703"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88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12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7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Генеральный план Вахитовского СП</w:t>
            </w:r>
          </w:p>
        </w:tc>
      </w:tr>
      <w:tr>
        <w:trPr>
          <w:trHeight w:val="1860" w:hRule="atLeast"/>
        </w:trPr>
        <w:tc>
          <w:tcPr>
            <w:tcW w:w="152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w:t>
            </w:r>
          </w:p>
        </w:tc>
        <w:tc>
          <w:tcPr>
            <w:tcW w:w="1631"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д.Ватан</w:t>
            </w:r>
          </w:p>
        </w:tc>
        <w:tc>
          <w:tcPr>
            <w:tcW w:w="1740"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Улично-дорожная сеть населенного пункта</w:t>
            </w:r>
          </w:p>
        </w:tc>
        <w:tc>
          <w:tcPr>
            <w:tcW w:w="184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Капитальный ремонт (устройство асфальтобетонного покрытия)</w:t>
            </w:r>
          </w:p>
        </w:tc>
        <w:tc>
          <w:tcPr>
            <w:tcW w:w="1097" w:type="dxa"/>
            <w:gridSpan w:val="3"/>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км</w:t>
            </w:r>
          </w:p>
        </w:tc>
        <w:tc>
          <w:tcPr>
            <w:tcW w:w="1524"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1,2</w:t>
            </w:r>
          </w:p>
        </w:tc>
        <w:tc>
          <w:tcPr>
            <w:tcW w:w="1703"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88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12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7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Генеральный план Вахитовского СП</w:t>
            </w:r>
          </w:p>
        </w:tc>
      </w:tr>
      <w:tr>
        <w:trPr>
          <w:trHeight w:val="1860" w:hRule="atLeast"/>
        </w:trPr>
        <w:tc>
          <w:tcPr>
            <w:tcW w:w="152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w:t>
            </w:r>
          </w:p>
        </w:tc>
        <w:tc>
          <w:tcPr>
            <w:tcW w:w="1631"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д.Гребени</w:t>
            </w:r>
          </w:p>
        </w:tc>
        <w:tc>
          <w:tcPr>
            <w:tcW w:w="1740"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Улично-дорожная сеть населенного пункта</w:t>
            </w:r>
          </w:p>
        </w:tc>
        <w:tc>
          <w:tcPr>
            <w:tcW w:w="184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Капитальный ремонт (устройство асфальтобетонного покрытия)</w:t>
            </w:r>
          </w:p>
        </w:tc>
        <w:tc>
          <w:tcPr>
            <w:tcW w:w="1097" w:type="dxa"/>
            <w:gridSpan w:val="3"/>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км</w:t>
            </w:r>
          </w:p>
        </w:tc>
        <w:tc>
          <w:tcPr>
            <w:tcW w:w="1524"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2,8</w:t>
            </w:r>
          </w:p>
        </w:tc>
        <w:tc>
          <w:tcPr>
            <w:tcW w:w="1703"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88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12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78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Генеральный план Вахитовского СП</w:t>
            </w:r>
          </w:p>
        </w:tc>
      </w:tr>
    </w:tbl>
    <w:p>
      <w:pPr>
        <w:sectPr>
          <w:footerReference w:type="default" r:id="rId130"/>
          <w:footerReference w:type="first" r:id="rId131"/>
          <w:footnotePr>
            <w:numFmt w:val="decimal"/>
          </w:footnotePr>
          <w:type w:val="nextPage"/>
          <w:pgSz w:orient="landscape" w:w="16838" w:h="11906"/>
          <w:pgMar w:left="1134" w:right="851" w:gutter="0" w:header="0" w:top="851" w:footer="709" w:bottom="851"/>
          <w:pgNumType w:fmt="decimal"/>
          <w:formProt w:val="false"/>
          <w:textDirection w:val="lrTb"/>
          <w:docGrid w:type="default" w:linePitch="360" w:charSpace="0"/>
        </w:sectPr>
        <w:pStyle w:val="Normal"/>
        <w:ind w:firstLine="720"/>
        <w:rPr>
          <w:color w:val="FF0066"/>
          <w:szCs w:val="28"/>
        </w:rPr>
      </w:pPr>
      <w:r>
        <w:rPr>
          <w:color w:val="FF0066"/>
          <w:szCs w:val="28"/>
        </w:rPr>
      </w:r>
    </w:p>
    <w:p>
      <w:pPr>
        <w:pStyle w:val="2"/>
        <w:numPr>
          <w:ilvl w:val="1"/>
          <w:numId w:val="7"/>
        </w:numPr>
        <w:rPr>
          <w:color w:val="000000"/>
        </w:rPr>
      </w:pPr>
      <w:bookmarkStart w:id="331" w:name="__RefHeading___Toc156489438"/>
      <w:bookmarkEnd w:id="331"/>
      <w:r>
        <w:rPr>
          <w:color w:val="000000"/>
        </w:rPr>
        <w:t xml:space="preserve">Установление границ населенных пунктов </w:t>
      </w:r>
      <w:r>
        <w:rPr>
          <w:color w:val="000000"/>
          <w:lang w:val="ru-RU"/>
        </w:rPr>
        <w:t>Вахитовского</w:t>
      </w:r>
      <w:r>
        <w:rPr>
          <w:color w:val="000000"/>
        </w:rPr>
        <w:t xml:space="preserve"> сельского поселения</w:t>
      </w:r>
      <w:r>
        <w:rPr>
          <w:color w:val="000000"/>
          <w:lang w:val="ru-RU"/>
        </w:rPr>
        <w:t xml:space="preserve"> Верхнеуслонского муниципального района Республики Татарстан</w:t>
      </w:r>
    </w:p>
    <w:p>
      <w:pPr>
        <w:pStyle w:val="Default"/>
        <w:tabs>
          <w:tab w:val="clear" w:pos="709"/>
          <w:tab w:val="left" w:pos="0" w:leader="none"/>
        </w:tabs>
        <w:ind w:firstLine="720"/>
        <w:jc w:val="both"/>
        <w:rPr/>
      </w:pPr>
      <w:bookmarkStart w:id="332" w:name="_Hlk151561452"/>
      <w:bookmarkEnd w:id="332"/>
      <w:r>
        <w:rPr>
          <w:sz w:val="28"/>
          <w:szCs w:val="28"/>
        </w:rPr>
        <w:t xml:space="preserve">Для населенных пунктов д.им. Мулланура Вахитова, п.Бакча-Сарай, д.Ватан, д.Гребени, </w:t>
      </w:r>
      <w:r>
        <w:rPr>
          <w:color w:val="000000"/>
          <w:sz w:val="28"/>
          <w:szCs w:val="28"/>
        </w:rPr>
        <w:t>в качестве существующих границ были приняты границы, сведения о которых содержатся в Едином государственном реестре недвижимости.</w:t>
      </w:r>
    </w:p>
    <w:p>
      <w:pPr>
        <w:pStyle w:val="210"/>
        <w:spacing w:lineRule="auto" w:line="240"/>
        <w:ind w:firstLine="709"/>
        <w:jc w:val="both"/>
        <w:rPr/>
      </w:pPr>
      <w:r>
        <w:rPr>
          <w:color w:val="000000"/>
          <w:szCs w:val="28"/>
          <w:lang w:val="ru-RU"/>
        </w:rPr>
        <w:t>Проектом внесения изменений в г</w:t>
      </w:r>
      <w:r>
        <w:rPr>
          <w:color w:val="000000"/>
          <w:szCs w:val="28"/>
        </w:rPr>
        <w:t>енеральны</w:t>
      </w:r>
      <w:r>
        <w:rPr>
          <w:color w:val="000000"/>
          <w:szCs w:val="28"/>
          <w:lang w:val="ru-RU"/>
        </w:rPr>
        <w:t>й</w:t>
      </w:r>
      <w:r>
        <w:rPr>
          <w:color w:val="000000"/>
          <w:szCs w:val="28"/>
        </w:rPr>
        <w:t xml:space="preserve"> план </w:t>
      </w:r>
      <w:r>
        <w:rPr>
          <w:color w:val="000000"/>
          <w:szCs w:val="28"/>
          <w:lang w:val="ru-RU"/>
        </w:rPr>
        <w:t>Вахитовского</w:t>
      </w:r>
      <w:r>
        <w:rPr>
          <w:color w:val="000000"/>
          <w:szCs w:val="28"/>
        </w:rPr>
        <w:t xml:space="preserve"> сельского поселения предусматривается изменение границ</w:t>
      </w:r>
      <w:r>
        <w:rPr>
          <w:color w:val="000000"/>
          <w:szCs w:val="28"/>
          <w:lang w:val="ru-RU"/>
        </w:rPr>
        <w:t>ы</w:t>
      </w:r>
      <w:r>
        <w:rPr>
          <w:color w:val="000000"/>
          <w:szCs w:val="28"/>
        </w:rPr>
        <w:t xml:space="preserve"> </w:t>
      </w:r>
      <w:r>
        <w:rPr>
          <w:color w:val="000000"/>
          <w:szCs w:val="28"/>
          <w:lang w:val="ru-RU"/>
        </w:rPr>
        <w:t>с.Ташевка.</w:t>
      </w:r>
    </w:p>
    <w:p>
      <w:pPr>
        <w:pStyle w:val="Default"/>
        <w:tabs>
          <w:tab w:val="clear" w:pos="709"/>
          <w:tab w:val="left" w:pos="0" w:leader="none"/>
        </w:tabs>
        <w:ind w:firstLine="700"/>
        <w:jc w:val="both"/>
        <w:rPr>
          <w:color w:val="FF0066"/>
          <w:sz w:val="28"/>
          <w:szCs w:val="28"/>
        </w:rPr>
      </w:pPr>
      <w:bookmarkStart w:id="333" w:name="_Hlk151561452"/>
      <w:bookmarkEnd w:id="333"/>
      <w:r>
        <w:rPr>
          <w:color w:val="FF0066"/>
          <w:sz w:val="28"/>
          <w:szCs w:val="28"/>
        </w:rPr>
        <w:t xml:space="preserve"> </w:t>
      </w:r>
    </w:p>
    <w:p>
      <w:pPr>
        <w:sectPr>
          <w:footerReference w:type="default" r:id="rId132"/>
          <w:footerReference w:type="first" r:id="rId133"/>
          <w:footnotePr>
            <w:numFmt w:val="decimal"/>
          </w:footnotePr>
          <w:type w:val="nextPage"/>
          <w:pgSz w:w="11906" w:h="16838"/>
          <w:pgMar w:left="1134" w:right="851" w:gutter="0" w:header="0" w:top="851" w:footer="709" w:bottom="851"/>
          <w:pgNumType w:fmt="decimal"/>
          <w:formProt w:val="false"/>
          <w:textDirection w:val="lrTb"/>
          <w:docGrid w:type="default" w:linePitch="360" w:charSpace="0"/>
        </w:sectPr>
        <w:pStyle w:val="Style78"/>
        <w:rPr>
          <w:color w:val="FF0066"/>
          <w:sz w:val="28"/>
          <w:szCs w:val="28"/>
        </w:rPr>
      </w:pPr>
      <w:r>
        <w:rPr>
          <w:color w:val="FF0066"/>
          <w:sz w:val="28"/>
          <w:szCs w:val="28"/>
        </w:rPr>
      </w:r>
    </w:p>
    <w:p>
      <w:pPr>
        <w:pStyle w:val="Style78"/>
        <w:rPr>
          <w:color w:val="000000"/>
        </w:rPr>
      </w:pPr>
      <w:r>
        <w:rPr>
          <w:color w:val="000000"/>
        </w:rPr>
        <w:t>Таблица 4.11.1</w:t>
      </w:r>
    </w:p>
    <w:p>
      <w:pPr>
        <w:pStyle w:val="210"/>
        <w:spacing w:lineRule="auto" w:line="240"/>
        <w:ind w:hanging="0"/>
        <w:jc w:val="center"/>
        <w:rPr/>
      </w:pPr>
      <w:bookmarkStart w:id="334" w:name="_Hlk151561485"/>
      <w:bookmarkEnd w:id="334"/>
      <w:r>
        <w:rPr>
          <w:color w:val="000000"/>
          <w:szCs w:val="28"/>
        </w:rPr>
        <w:t>Перечень земельных участков</w:t>
      </w:r>
      <w:r>
        <w:rPr>
          <w:color w:val="000000"/>
          <w:szCs w:val="28"/>
          <w:lang w:val="ru-RU"/>
        </w:rPr>
        <w:t xml:space="preserve"> включаемых в границы </w:t>
      </w:r>
      <w:r>
        <w:rPr>
          <w:color w:val="000000"/>
          <w:szCs w:val="28"/>
        </w:rPr>
        <w:t>населенных пунктов</w:t>
      </w:r>
      <w:r>
        <w:rPr>
          <w:color w:val="000000"/>
          <w:szCs w:val="28"/>
          <w:lang w:val="ru-RU"/>
        </w:rPr>
        <w:t xml:space="preserve">, </w:t>
      </w:r>
    </w:p>
    <w:p>
      <w:pPr>
        <w:pStyle w:val="210"/>
        <w:spacing w:lineRule="auto" w:line="240"/>
        <w:ind w:hanging="0"/>
        <w:jc w:val="center"/>
        <w:rPr/>
      </w:pPr>
      <w:r>
        <w:rPr>
          <w:color w:val="000000"/>
          <w:szCs w:val="28"/>
          <w:lang w:val="ru-RU"/>
        </w:rPr>
        <w:t>входящих в состав Вахитовск</w:t>
      </w:r>
      <w:r>
        <w:rPr/>
        <w:t>ого сельского поселения</w:t>
      </w:r>
    </w:p>
    <w:tbl>
      <w:tblPr>
        <w:tblW w:w="15352" w:type="dxa"/>
        <w:jc w:val="center"/>
        <w:tblInd w:w="0" w:type="dxa"/>
        <w:tblLayout w:type="fixed"/>
        <w:tblCellMar>
          <w:top w:w="0" w:type="dxa"/>
          <w:left w:w="108" w:type="dxa"/>
          <w:bottom w:w="0" w:type="dxa"/>
          <w:right w:w="108" w:type="dxa"/>
        </w:tblCellMar>
      </w:tblPr>
      <w:tblGrid>
        <w:gridCol w:w="1823"/>
        <w:gridCol w:w="2538"/>
        <w:gridCol w:w="1910"/>
        <w:gridCol w:w="1180"/>
        <w:gridCol w:w="1508"/>
        <w:gridCol w:w="2206"/>
        <w:gridCol w:w="1701"/>
        <w:gridCol w:w="2486"/>
      </w:tblGrid>
      <w:tr>
        <w:trPr>
          <w:tblHeader w:val="true"/>
          <w:trHeight w:val="711" w:hRule="atLeast"/>
        </w:trPr>
        <w:tc>
          <w:tcPr>
            <w:tcW w:w="182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bookmarkStart w:id="335" w:name="_Hlk151561496"/>
            <w:bookmarkEnd w:id="335"/>
            <w:r>
              <w:rPr>
                <w:color w:val="000000"/>
                <w:sz w:val="20"/>
                <w:szCs w:val="20"/>
              </w:rPr>
              <w:t>Кадастровый номер земельного участка</w:t>
            </w:r>
          </w:p>
        </w:tc>
        <w:tc>
          <w:tcPr>
            <w:tcW w:w="253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Категория земель</w:t>
            </w:r>
          </w:p>
        </w:tc>
        <w:tc>
          <w:tcPr>
            <w:tcW w:w="191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Вид разрешенного использования</w:t>
            </w:r>
          </w:p>
        </w:tc>
        <w:tc>
          <w:tcPr>
            <w:tcW w:w="118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Площадь земельного участка по кадастру, га</w:t>
            </w:r>
          </w:p>
        </w:tc>
        <w:tc>
          <w:tcPr>
            <w:tcW w:w="150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Площадь включаемого земельного участка, га</w:t>
            </w:r>
          </w:p>
        </w:tc>
        <w:tc>
          <w:tcPr>
            <w:tcW w:w="220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Планируемая категория</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Планируемое разрешенное использование*</w:t>
            </w:r>
          </w:p>
        </w:tc>
        <w:tc>
          <w:tcPr>
            <w:tcW w:w="248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 xml:space="preserve">Основание для </w:t>
            </w:r>
          </w:p>
          <w:p>
            <w:pPr>
              <w:pStyle w:val="Normal"/>
              <w:ind w:hanging="0"/>
              <w:jc w:val="center"/>
              <w:rPr>
                <w:color w:val="000000"/>
                <w:sz w:val="20"/>
                <w:szCs w:val="20"/>
              </w:rPr>
            </w:pPr>
            <w:r>
              <w:rPr>
                <w:color w:val="000000"/>
                <w:sz w:val="20"/>
                <w:szCs w:val="20"/>
              </w:rPr>
              <w:t>включения земельных участков</w:t>
            </w:r>
          </w:p>
        </w:tc>
      </w:tr>
      <w:tr>
        <w:trPr>
          <w:trHeight w:val="70" w:hRule="atLeast"/>
        </w:trPr>
        <w:tc>
          <w:tcPr>
            <w:tcW w:w="15352" w:type="dxa"/>
            <w:gridSpan w:val="8"/>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b/>
                <w:color w:val="000000"/>
                <w:sz w:val="20"/>
                <w:szCs w:val="20"/>
              </w:rPr>
              <w:t>с.Ташевка</w:t>
            </w:r>
          </w:p>
        </w:tc>
      </w:tr>
      <w:tr>
        <w:trPr>
          <w:trHeight w:val="70" w:hRule="atLeast"/>
        </w:trPr>
        <w:tc>
          <w:tcPr>
            <w:tcW w:w="15352" w:type="dxa"/>
            <w:gridSpan w:val="8"/>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b/>
                <w:bCs/>
                <w:color w:val="000000"/>
                <w:sz w:val="20"/>
                <w:szCs w:val="20"/>
              </w:rPr>
            </w:pPr>
            <w:r>
              <w:rPr>
                <w:b/>
                <w:bCs/>
                <w:color w:val="000000"/>
                <w:sz w:val="20"/>
                <w:szCs w:val="20"/>
              </w:rPr>
              <w:t>Включаемые земельные участки</w:t>
            </w:r>
          </w:p>
        </w:tc>
      </w:tr>
      <w:tr>
        <w:trPr>
          <w:trHeight w:val="231" w:hRule="atLeast"/>
        </w:trPr>
        <w:tc>
          <w:tcPr>
            <w:tcW w:w="15352" w:type="dxa"/>
            <w:gridSpan w:val="8"/>
            <w:tcBorders>
              <w:top w:val="single" w:sz="4" w:space="0" w:color="000000"/>
              <w:left w:val="single" w:sz="4" w:space="0" w:color="000000"/>
              <w:bottom w:val="single" w:sz="4" w:space="0" w:color="000000"/>
              <w:right w:val="single" w:sz="4" w:space="0" w:color="000000"/>
            </w:tcBorders>
            <w:vAlign w:val="center"/>
          </w:tcPr>
          <w:p>
            <w:pPr>
              <w:pStyle w:val="Normal"/>
              <w:ind w:hanging="0"/>
              <w:rPr/>
            </w:pPr>
            <w:r>
              <w:rPr>
                <w:bCs/>
                <w:iCs/>
                <w:color w:val="000000"/>
                <w:sz w:val="20"/>
                <w:szCs w:val="20"/>
              </w:rPr>
              <w:t>1. Корректировка границы населенного пункта</w:t>
            </w:r>
          </w:p>
        </w:tc>
      </w:tr>
      <w:tr>
        <w:trPr>
          <w:trHeight w:val="2371" w:hRule="atLeast"/>
        </w:trPr>
        <w:tc>
          <w:tcPr>
            <w:tcW w:w="182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16:15:030601:774</w:t>
            </w:r>
          </w:p>
        </w:tc>
        <w:tc>
          <w:tcPr>
            <w:tcW w:w="253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земли сельскохозяйственного назначения</w:t>
            </w:r>
          </w:p>
        </w:tc>
        <w:tc>
          <w:tcPr>
            <w:tcW w:w="191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rPr>
            </w:pPr>
            <w:r>
              <w:rPr>
                <w:color w:val="000000"/>
                <w:sz w:val="20"/>
              </w:rPr>
              <w:t>для ведения сельскохозяйственного производства</w:t>
            </w:r>
          </w:p>
        </w:tc>
        <w:tc>
          <w:tcPr>
            <w:tcW w:w="118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6,88</w:t>
            </w:r>
          </w:p>
        </w:tc>
        <w:tc>
          <w:tcPr>
            <w:tcW w:w="150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6,88</w:t>
            </w:r>
          </w:p>
        </w:tc>
        <w:tc>
          <w:tcPr>
            <w:tcW w:w="220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Земли населенных пунктов</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Жилая застройка</w:t>
            </w:r>
          </w:p>
        </w:tc>
        <w:tc>
          <w:tcPr>
            <w:tcW w:w="248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Письмо от Руководителя Исполнительного комитета Верхнеуслонского муниципального района Республики Татарстан от 22.11.2023 №ИСХ-7447</w:t>
            </w:r>
          </w:p>
        </w:tc>
      </w:tr>
      <w:tr>
        <w:trPr>
          <w:trHeight w:val="415" w:hRule="atLeast"/>
        </w:trPr>
        <w:tc>
          <w:tcPr>
            <w:tcW w:w="182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16:15:030601:776</w:t>
            </w:r>
          </w:p>
        </w:tc>
        <w:tc>
          <w:tcPr>
            <w:tcW w:w="253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земли сельскохозяйственного назначения</w:t>
            </w:r>
          </w:p>
        </w:tc>
        <w:tc>
          <w:tcPr>
            <w:tcW w:w="191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rPr>
            </w:pPr>
            <w:r>
              <w:rPr>
                <w:color w:val="000000"/>
                <w:sz w:val="20"/>
              </w:rPr>
              <w:t>для ведения сельскохозяйственного производства</w:t>
            </w:r>
          </w:p>
        </w:tc>
        <w:tc>
          <w:tcPr>
            <w:tcW w:w="118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0,43</w:t>
            </w:r>
          </w:p>
        </w:tc>
        <w:tc>
          <w:tcPr>
            <w:tcW w:w="150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0,43</w:t>
            </w:r>
          </w:p>
        </w:tc>
        <w:tc>
          <w:tcPr>
            <w:tcW w:w="220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Земли населенных пунктов</w:t>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Жилая застройка</w:t>
            </w:r>
          </w:p>
        </w:tc>
        <w:tc>
          <w:tcPr>
            <w:tcW w:w="248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Письмо от Руководителя Исполнительного комитета Верхнеуслонского муниципального района Республики Татарстан от 22.11.2023 №ИСХ-7447</w:t>
            </w:r>
          </w:p>
        </w:tc>
      </w:tr>
      <w:tr>
        <w:trPr>
          <w:trHeight w:val="70" w:hRule="atLeast"/>
        </w:trPr>
        <w:tc>
          <w:tcPr>
            <w:tcW w:w="182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Итого к включению</w:t>
            </w:r>
          </w:p>
        </w:tc>
        <w:tc>
          <w:tcPr>
            <w:tcW w:w="2538"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center"/>
              <w:rPr>
                <w:color w:val="000000"/>
                <w:sz w:val="20"/>
                <w:szCs w:val="20"/>
              </w:rPr>
            </w:pPr>
            <w:r>
              <w:rPr>
                <w:color w:val="000000"/>
                <w:sz w:val="20"/>
                <w:szCs w:val="20"/>
              </w:rPr>
            </w:r>
          </w:p>
        </w:tc>
        <w:tc>
          <w:tcPr>
            <w:tcW w:w="191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center"/>
              <w:rPr>
                <w:color w:val="000000"/>
                <w:sz w:val="20"/>
                <w:szCs w:val="20"/>
                <w:shd w:fill="F8F9FA" w:val="clear"/>
              </w:rPr>
            </w:pPr>
            <w:r>
              <w:rPr>
                <w:color w:val="000000"/>
                <w:sz w:val="20"/>
                <w:szCs w:val="20"/>
                <w:shd w:fill="F8F9FA" w:val="clear"/>
              </w:rPr>
            </w:r>
          </w:p>
        </w:tc>
        <w:tc>
          <w:tcPr>
            <w:tcW w:w="118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rPr>
              <w:t>7,31</w:t>
            </w:r>
          </w:p>
        </w:tc>
        <w:tc>
          <w:tcPr>
            <w:tcW w:w="150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rPr>
              <w:t>7,31</w:t>
            </w:r>
          </w:p>
        </w:tc>
        <w:tc>
          <w:tcPr>
            <w:tcW w:w="220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center"/>
              <w:rPr>
                <w:color w:val="000000"/>
                <w:sz w:val="20"/>
                <w:szCs w:val="20"/>
              </w:rPr>
            </w:pPr>
            <w:r>
              <w:rPr>
                <w:color w:val="000000"/>
                <w:sz w:val="20"/>
                <w:szCs w:val="20"/>
              </w:rPr>
            </w:r>
          </w:p>
        </w:tc>
        <w:tc>
          <w:tcPr>
            <w:tcW w:w="1701"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center"/>
              <w:rPr>
                <w:color w:val="000000"/>
                <w:sz w:val="20"/>
                <w:szCs w:val="20"/>
              </w:rPr>
            </w:pPr>
            <w:r>
              <w:rPr>
                <w:color w:val="000000"/>
                <w:sz w:val="20"/>
                <w:szCs w:val="20"/>
              </w:rPr>
            </w:r>
          </w:p>
        </w:tc>
        <w:tc>
          <w:tcPr>
            <w:tcW w:w="248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center"/>
              <w:rPr>
                <w:color w:val="000000"/>
                <w:sz w:val="20"/>
                <w:szCs w:val="20"/>
              </w:rPr>
            </w:pPr>
            <w:r>
              <w:rPr>
                <w:color w:val="000000"/>
                <w:sz w:val="20"/>
                <w:szCs w:val="20"/>
              </w:rPr>
            </w:r>
          </w:p>
        </w:tc>
      </w:tr>
    </w:tbl>
    <w:p>
      <w:pPr>
        <w:sectPr>
          <w:footerReference w:type="default" r:id="rId134"/>
          <w:footerReference w:type="first" r:id="rId135"/>
          <w:footnotePr>
            <w:numFmt w:val="decimal"/>
          </w:footnotePr>
          <w:type w:val="nextPage"/>
          <w:pgSz w:orient="landscape" w:w="16838" w:h="11906"/>
          <w:pgMar w:left="1134" w:right="851" w:gutter="0" w:header="0" w:top="851" w:footer="709" w:bottom="851"/>
          <w:pgNumType w:fmt="decimal"/>
          <w:formProt w:val="false"/>
          <w:textDirection w:val="lrTb"/>
          <w:docGrid w:type="default" w:linePitch="381" w:charSpace="0"/>
        </w:sectPr>
        <w:pStyle w:val="210"/>
        <w:spacing w:lineRule="auto" w:line="240"/>
        <w:ind w:hanging="0"/>
        <w:jc w:val="center"/>
        <w:rPr>
          <w:color w:val="FF0066"/>
          <w:szCs w:val="28"/>
          <w:lang w:val="ru-RU"/>
        </w:rPr>
      </w:pPr>
      <w:r>
        <w:rPr>
          <w:color w:val="FF0066"/>
          <w:szCs w:val="28"/>
          <w:lang w:val="ru-RU"/>
        </w:rPr>
      </w:r>
    </w:p>
    <w:p>
      <w:pPr>
        <w:pStyle w:val="Style78"/>
        <w:rPr>
          <w:color w:val="000000"/>
        </w:rPr>
      </w:pPr>
      <w:r>
        <w:rPr>
          <w:color w:val="000000"/>
        </w:rPr>
        <w:t>Таблица 4.11.2</w:t>
      </w:r>
    </w:p>
    <w:p>
      <w:pPr>
        <w:pStyle w:val="Normal"/>
        <w:spacing w:lineRule="auto" w:line="276"/>
        <w:ind w:hanging="0"/>
        <w:jc w:val="center"/>
        <w:rPr/>
      </w:pPr>
      <w:r>
        <w:rPr>
          <w:iCs/>
          <w:color w:val="000000"/>
          <w:szCs w:val="28"/>
        </w:rPr>
        <w:t>Предложения по установлению границ населенных пунктов, входящих в состав Вахитовского сельского поселения Верхнеуслон</w:t>
      </w:r>
      <w:r>
        <w:rPr/>
        <w:t>ского муниципального района Республики Татарстан, га</w:t>
      </w:r>
    </w:p>
    <w:tbl>
      <w:tblPr>
        <w:tblW w:w="5000" w:type="pct"/>
        <w:jc w:val="left"/>
        <w:tblInd w:w="-289" w:type="dxa"/>
        <w:tblLayout w:type="fixed"/>
        <w:tblCellMar>
          <w:top w:w="0" w:type="dxa"/>
          <w:left w:w="108" w:type="dxa"/>
          <w:bottom w:w="0" w:type="dxa"/>
          <w:right w:w="108" w:type="dxa"/>
        </w:tblCellMar>
      </w:tblPr>
      <w:tblGrid>
        <w:gridCol w:w="1356"/>
        <w:gridCol w:w="235"/>
        <w:gridCol w:w="1935"/>
        <w:gridCol w:w="1066"/>
        <w:gridCol w:w="1154"/>
        <w:gridCol w:w="912"/>
        <w:gridCol w:w="1079"/>
        <w:gridCol w:w="1037"/>
        <w:gridCol w:w="18"/>
        <w:gridCol w:w="1129"/>
      </w:tblGrid>
      <w:tr>
        <w:trPr>
          <w:tblHeader w:val="true"/>
        </w:trPr>
        <w:tc>
          <w:tcPr>
            <w:tcW w:w="13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bookmarkStart w:id="336" w:name="_Hlk151561832"/>
            <w:bookmarkEnd w:id="336"/>
            <w:r>
              <w:rPr>
                <w:color w:val="000000"/>
                <w:sz w:val="20"/>
                <w:szCs w:val="20"/>
              </w:rPr>
              <w:t xml:space="preserve">№ </w:t>
            </w:r>
            <w:r>
              <w:rPr>
                <w:color w:val="000000"/>
                <w:sz w:val="20"/>
                <w:szCs w:val="20"/>
              </w:rPr>
              <w:t>п/п</w:t>
            </w:r>
          </w:p>
        </w:tc>
        <w:tc>
          <w:tcPr>
            <w:tcW w:w="2170"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Направления установления границ населенных пунктов, входящих в состав поселения</w:t>
            </w:r>
          </w:p>
        </w:tc>
        <w:tc>
          <w:tcPr>
            <w:tcW w:w="10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с.Ташевка</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д.им. Мулланура Вахитова</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п.Бакча-Сарай</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д.Ватан</w:t>
            </w:r>
          </w:p>
        </w:tc>
        <w:tc>
          <w:tcPr>
            <w:tcW w:w="1055"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д.Гребени</w:t>
            </w:r>
          </w:p>
        </w:tc>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Всего по поселению</w:t>
            </w:r>
          </w:p>
        </w:tc>
      </w:tr>
      <w:tr>
        <w:trPr/>
        <w:tc>
          <w:tcPr>
            <w:tcW w:w="13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2170"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Земли в пределах существующей границы территории населенного пункта</w:t>
            </w:r>
          </w:p>
        </w:tc>
        <w:tc>
          <w:tcPr>
            <w:tcW w:w="10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48,33</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51,66</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50,60</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23,85</w:t>
            </w:r>
          </w:p>
        </w:tc>
        <w:tc>
          <w:tcPr>
            <w:tcW w:w="1055"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37,75</w:t>
            </w:r>
          </w:p>
        </w:tc>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212,19</w:t>
            </w:r>
          </w:p>
        </w:tc>
      </w:tr>
      <w:tr>
        <w:trPr/>
        <w:tc>
          <w:tcPr>
            <w:tcW w:w="13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w:t>
            </w:r>
          </w:p>
        </w:tc>
        <w:tc>
          <w:tcPr>
            <w:tcW w:w="235" w:type="dxa"/>
            <w:tcBorders>
              <w:top w:val="single" w:sz="4" w:space="0" w:color="000000"/>
              <w:left w:val="single" w:sz="4" w:space="0" w:color="000000"/>
              <w:bottom w:val="single" w:sz="4" w:space="0" w:color="000000"/>
            </w:tcBorders>
          </w:tcPr>
          <w:p>
            <w:pPr>
              <w:pStyle w:val="Normal"/>
              <w:snapToGrid w:val="false"/>
              <w:ind w:hanging="0"/>
              <w:jc w:val="left"/>
              <w:rPr>
                <w:color w:val="000000"/>
                <w:sz w:val="20"/>
                <w:szCs w:val="20"/>
              </w:rPr>
            </w:pPr>
            <w:r>
              <w:rPr>
                <w:color w:val="000000"/>
                <w:sz w:val="20"/>
                <w:szCs w:val="20"/>
              </w:rPr>
            </w:r>
          </w:p>
        </w:tc>
        <w:tc>
          <w:tcPr>
            <w:tcW w:w="1935" w:type="dxa"/>
            <w:tcBorders>
              <w:top w:val="single" w:sz="4" w:space="0" w:color="000000"/>
              <w:bottom w:val="single" w:sz="4" w:space="0" w:color="000000"/>
              <w:right w:val="single" w:sz="4" w:space="0" w:color="000000"/>
            </w:tcBorders>
          </w:tcPr>
          <w:p>
            <w:pPr>
              <w:pStyle w:val="Normal"/>
              <w:snapToGrid w:val="false"/>
              <w:ind w:hanging="0"/>
              <w:jc w:val="left"/>
              <w:rPr>
                <w:color w:val="000000"/>
                <w:sz w:val="20"/>
                <w:szCs w:val="20"/>
              </w:rPr>
            </w:pPr>
            <w:r>
              <w:rPr>
                <w:color w:val="000000"/>
                <w:sz w:val="20"/>
                <w:szCs w:val="20"/>
              </w:rPr>
            </w:r>
          </w:p>
        </w:tc>
        <w:tc>
          <w:tcPr>
            <w:tcW w:w="6395" w:type="dxa"/>
            <w:gridSpan w:val="7"/>
            <w:tcBorders>
              <w:top w:val="single" w:sz="4" w:space="0" w:color="000000"/>
              <w:left w:val="single" w:sz="4" w:space="0" w:color="000000"/>
              <w:bottom w:val="single" w:sz="4" w:space="0" w:color="000000"/>
              <w:right w:val="single" w:sz="4" w:space="0" w:color="000000"/>
            </w:tcBorders>
          </w:tcPr>
          <w:p>
            <w:pPr>
              <w:pStyle w:val="Normal"/>
              <w:ind w:hanging="0"/>
              <w:jc w:val="left"/>
              <w:rPr>
                <w:color w:val="000000"/>
                <w:sz w:val="20"/>
                <w:szCs w:val="20"/>
              </w:rPr>
            </w:pPr>
            <w:r>
              <w:rPr>
                <w:color w:val="000000"/>
                <w:sz w:val="20"/>
                <w:szCs w:val="20"/>
              </w:rPr>
              <w:t>Земли, предлагаемые к исключению из границ населенного пункта</w:t>
            </w:r>
          </w:p>
        </w:tc>
      </w:tr>
      <w:tr>
        <w:trPr/>
        <w:tc>
          <w:tcPr>
            <w:tcW w:w="13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2.1</w:t>
            </w:r>
          </w:p>
        </w:tc>
        <w:tc>
          <w:tcPr>
            <w:tcW w:w="2170"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Земли населенных пунктов, поставленные на кадастровый учет</w:t>
            </w:r>
          </w:p>
        </w:tc>
        <w:tc>
          <w:tcPr>
            <w:tcW w:w="10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03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147"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r>
      <w:tr>
        <w:trPr/>
        <w:tc>
          <w:tcPr>
            <w:tcW w:w="13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2.2</w:t>
            </w:r>
          </w:p>
        </w:tc>
        <w:tc>
          <w:tcPr>
            <w:tcW w:w="2170"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Земли сельскохозяйственного назначения, поставленные на кадастровый учет</w:t>
            </w:r>
          </w:p>
        </w:tc>
        <w:tc>
          <w:tcPr>
            <w:tcW w:w="10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055"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r>
      <w:tr>
        <w:trPr/>
        <w:tc>
          <w:tcPr>
            <w:tcW w:w="13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2.3</w:t>
            </w:r>
          </w:p>
        </w:tc>
        <w:tc>
          <w:tcPr>
            <w:tcW w:w="2170"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поставленные на кадастровый учет</w:t>
            </w:r>
          </w:p>
        </w:tc>
        <w:tc>
          <w:tcPr>
            <w:tcW w:w="10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055"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r>
      <w:tr>
        <w:trPr/>
        <w:tc>
          <w:tcPr>
            <w:tcW w:w="13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2.4</w:t>
            </w:r>
          </w:p>
        </w:tc>
        <w:tc>
          <w:tcPr>
            <w:tcW w:w="2170"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Земли, поставленные на кадастровый учет с неустановленной категорией земель</w:t>
            </w:r>
          </w:p>
        </w:tc>
        <w:tc>
          <w:tcPr>
            <w:tcW w:w="10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055"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r>
      <w:tr>
        <w:trPr/>
        <w:tc>
          <w:tcPr>
            <w:tcW w:w="13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2.5</w:t>
            </w:r>
          </w:p>
        </w:tc>
        <w:tc>
          <w:tcPr>
            <w:tcW w:w="2170"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Земли, не поставленные на кадастровый учет</w:t>
            </w:r>
          </w:p>
        </w:tc>
        <w:tc>
          <w:tcPr>
            <w:tcW w:w="10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055"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r>
      <w:tr>
        <w:trPr/>
        <w:tc>
          <w:tcPr>
            <w:tcW w:w="13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3</w:t>
            </w:r>
          </w:p>
        </w:tc>
        <w:tc>
          <w:tcPr>
            <w:tcW w:w="2170" w:type="dxa"/>
            <w:gridSpan w:val="2"/>
            <w:tcBorders>
              <w:top w:val="single" w:sz="4" w:space="0" w:color="000000"/>
              <w:left w:val="single" w:sz="4" w:space="0" w:color="000000"/>
              <w:bottom w:val="single" w:sz="4" w:space="0" w:color="000000"/>
              <w:right w:val="single" w:sz="4" w:space="0" w:color="000000"/>
            </w:tcBorders>
          </w:tcPr>
          <w:p>
            <w:pPr>
              <w:pStyle w:val="Normal"/>
              <w:snapToGrid w:val="false"/>
              <w:ind w:hanging="0"/>
              <w:jc w:val="left"/>
              <w:rPr>
                <w:color w:val="000000"/>
                <w:sz w:val="20"/>
                <w:szCs w:val="20"/>
              </w:rPr>
            </w:pPr>
            <w:r>
              <w:rPr>
                <w:color w:val="000000"/>
                <w:sz w:val="20"/>
                <w:szCs w:val="20"/>
              </w:rPr>
            </w:r>
          </w:p>
        </w:tc>
        <w:tc>
          <w:tcPr>
            <w:tcW w:w="6395" w:type="dxa"/>
            <w:gridSpan w:val="7"/>
            <w:tcBorders>
              <w:top w:val="single" w:sz="4" w:space="0" w:color="000000"/>
              <w:left w:val="single" w:sz="4" w:space="0" w:color="000000"/>
              <w:bottom w:val="single" w:sz="4" w:space="0" w:color="000000"/>
              <w:right w:val="single" w:sz="4" w:space="0" w:color="000000"/>
            </w:tcBorders>
          </w:tcPr>
          <w:p>
            <w:pPr>
              <w:pStyle w:val="Normal"/>
              <w:ind w:hanging="0"/>
              <w:jc w:val="left"/>
              <w:rPr>
                <w:color w:val="000000"/>
                <w:sz w:val="20"/>
                <w:szCs w:val="20"/>
              </w:rPr>
            </w:pPr>
            <w:r>
              <w:rPr>
                <w:color w:val="000000"/>
                <w:sz w:val="20"/>
                <w:szCs w:val="20"/>
              </w:rPr>
              <w:t>Земли, предлагаемые к включению в проектные границы населенного пункта</w:t>
            </w:r>
          </w:p>
        </w:tc>
      </w:tr>
      <w:tr>
        <w:trPr/>
        <w:tc>
          <w:tcPr>
            <w:tcW w:w="13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3.1</w:t>
            </w:r>
          </w:p>
          <w:p>
            <w:pPr>
              <w:pStyle w:val="Normal"/>
              <w:ind w:hanging="0"/>
              <w:jc w:val="left"/>
              <w:rPr>
                <w:color w:val="000000"/>
                <w:sz w:val="20"/>
                <w:szCs w:val="20"/>
              </w:rPr>
            </w:pPr>
            <w:r>
              <w:rPr>
                <w:color w:val="000000"/>
                <w:sz w:val="20"/>
                <w:szCs w:val="20"/>
              </w:rPr>
            </w:r>
          </w:p>
        </w:tc>
        <w:tc>
          <w:tcPr>
            <w:tcW w:w="2170"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Земли населенных пунктов, поставленные на кадастровый учет</w:t>
            </w:r>
          </w:p>
        </w:tc>
        <w:tc>
          <w:tcPr>
            <w:tcW w:w="10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48,33</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51,66</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50,60</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23,85</w:t>
            </w:r>
          </w:p>
        </w:tc>
        <w:tc>
          <w:tcPr>
            <w:tcW w:w="1055"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37,75</w:t>
            </w:r>
          </w:p>
        </w:tc>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212,19</w:t>
            </w:r>
          </w:p>
        </w:tc>
      </w:tr>
      <w:tr>
        <w:trPr/>
        <w:tc>
          <w:tcPr>
            <w:tcW w:w="13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3.2</w:t>
            </w:r>
          </w:p>
        </w:tc>
        <w:tc>
          <w:tcPr>
            <w:tcW w:w="2170"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Земли сельскохозяйственного назначения, поставленные на кадастровый учет</w:t>
            </w:r>
          </w:p>
        </w:tc>
        <w:tc>
          <w:tcPr>
            <w:tcW w:w="10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7,31</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055"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7,31</w:t>
            </w:r>
          </w:p>
        </w:tc>
      </w:tr>
      <w:tr>
        <w:trPr/>
        <w:tc>
          <w:tcPr>
            <w:tcW w:w="13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3.3</w:t>
            </w:r>
          </w:p>
        </w:tc>
        <w:tc>
          <w:tcPr>
            <w:tcW w:w="2170"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поставленные на кадастровый учет</w:t>
            </w:r>
          </w:p>
        </w:tc>
        <w:tc>
          <w:tcPr>
            <w:tcW w:w="10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055"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r>
      <w:tr>
        <w:trPr/>
        <w:tc>
          <w:tcPr>
            <w:tcW w:w="13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3.4</w:t>
            </w:r>
          </w:p>
        </w:tc>
        <w:tc>
          <w:tcPr>
            <w:tcW w:w="2170"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Земли, поставленные на кадастровый учет с неустановленной категорией земель</w:t>
            </w:r>
          </w:p>
        </w:tc>
        <w:tc>
          <w:tcPr>
            <w:tcW w:w="10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055"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r>
      <w:tr>
        <w:trPr/>
        <w:tc>
          <w:tcPr>
            <w:tcW w:w="13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3.5</w:t>
            </w:r>
          </w:p>
        </w:tc>
        <w:tc>
          <w:tcPr>
            <w:tcW w:w="2170"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Земли, не поставленные на кадастровый учет</w:t>
            </w:r>
          </w:p>
        </w:tc>
        <w:tc>
          <w:tcPr>
            <w:tcW w:w="10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055"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r>
      <w:tr>
        <w:trPr/>
        <w:tc>
          <w:tcPr>
            <w:tcW w:w="13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4</w:t>
            </w:r>
          </w:p>
        </w:tc>
        <w:tc>
          <w:tcPr>
            <w:tcW w:w="2170" w:type="dxa"/>
            <w:gridSpan w:val="2"/>
            <w:tcBorders>
              <w:top w:val="single" w:sz="4" w:space="0" w:color="000000"/>
              <w:left w:val="single" w:sz="4" w:space="0" w:color="000000"/>
              <w:bottom w:val="single" w:sz="4" w:space="0" w:color="000000"/>
              <w:right w:val="single" w:sz="4" w:space="0" w:color="000000"/>
            </w:tcBorders>
          </w:tcPr>
          <w:p>
            <w:pPr>
              <w:pStyle w:val="Normal"/>
              <w:snapToGrid w:val="false"/>
              <w:ind w:hanging="0"/>
              <w:jc w:val="left"/>
              <w:rPr>
                <w:color w:val="000000"/>
                <w:sz w:val="20"/>
                <w:szCs w:val="20"/>
              </w:rPr>
            </w:pPr>
            <w:r>
              <w:rPr>
                <w:color w:val="000000"/>
                <w:sz w:val="20"/>
                <w:szCs w:val="20"/>
              </w:rPr>
            </w:r>
          </w:p>
        </w:tc>
        <w:tc>
          <w:tcPr>
            <w:tcW w:w="6395" w:type="dxa"/>
            <w:gridSpan w:val="7"/>
            <w:tcBorders>
              <w:top w:val="single" w:sz="4" w:space="0" w:color="000000"/>
              <w:left w:val="single" w:sz="4" w:space="0" w:color="000000"/>
              <w:bottom w:val="single" w:sz="4" w:space="0" w:color="000000"/>
              <w:right w:val="single" w:sz="4" w:space="0" w:color="000000"/>
            </w:tcBorders>
          </w:tcPr>
          <w:p>
            <w:pPr>
              <w:pStyle w:val="Normal"/>
              <w:ind w:hanging="0"/>
              <w:jc w:val="left"/>
              <w:rPr>
                <w:color w:val="000000"/>
                <w:sz w:val="20"/>
                <w:szCs w:val="20"/>
              </w:rPr>
            </w:pPr>
            <w:r>
              <w:rPr>
                <w:color w:val="000000"/>
                <w:sz w:val="20"/>
                <w:szCs w:val="20"/>
              </w:rPr>
              <w:t>Формирование проектных границ населенных пунктов</w:t>
            </w:r>
          </w:p>
        </w:tc>
      </w:tr>
      <w:tr>
        <w:trPr/>
        <w:tc>
          <w:tcPr>
            <w:tcW w:w="13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4.1</w:t>
            </w:r>
          </w:p>
        </w:tc>
        <w:tc>
          <w:tcPr>
            <w:tcW w:w="2170"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Земли в пределах проектных границ населенного пункта</w:t>
            </w:r>
          </w:p>
        </w:tc>
        <w:tc>
          <w:tcPr>
            <w:tcW w:w="10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55,66</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055"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55,66</w:t>
            </w:r>
          </w:p>
        </w:tc>
      </w:tr>
      <w:tr>
        <w:trPr/>
        <w:tc>
          <w:tcPr>
            <w:tcW w:w="13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4.2</w:t>
            </w:r>
          </w:p>
        </w:tc>
        <w:tc>
          <w:tcPr>
            <w:tcW w:w="2170"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Земли в пределах существующей границы территории населенного пункта</w:t>
            </w:r>
          </w:p>
        </w:tc>
        <w:tc>
          <w:tcPr>
            <w:tcW w:w="10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48,33</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51,66</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50,60</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23,85</w:t>
            </w:r>
          </w:p>
        </w:tc>
        <w:tc>
          <w:tcPr>
            <w:tcW w:w="1055"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37,75</w:t>
            </w:r>
          </w:p>
        </w:tc>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212,19</w:t>
            </w:r>
          </w:p>
        </w:tc>
      </w:tr>
      <w:tr>
        <w:trPr/>
        <w:tc>
          <w:tcPr>
            <w:tcW w:w="13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4.3</w:t>
            </w:r>
          </w:p>
        </w:tc>
        <w:tc>
          <w:tcPr>
            <w:tcW w:w="2170"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Земли, предлагаемые к исключению из существующей границы территории населенного пункта</w:t>
            </w:r>
          </w:p>
        </w:tc>
        <w:tc>
          <w:tcPr>
            <w:tcW w:w="10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055"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r>
      <w:tr>
        <w:trPr>
          <w:trHeight w:val="60" w:hRule="atLeast"/>
        </w:trPr>
        <w:tc>
          <w:tcPr>
            <w:tcW w:w="13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4.4</w:t>
            </w:r>
          </w:p>
        </w:tc>
        <w:tc>
          <w:tcPr>
            <w:tcW w:w="2170"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left"/>
              <w:rPr>
                <w:color w:val="000000"/>
                <w:sz w:val="20"/>
                <w:szCs w:val="20"/>
              </w:rPr>
            </w:pPr>
            <w:r>
              <w:rPr>
                <w:color w:val="000000"/>
                <w:sz w:val="20"/>
                <w:szCs w:val="20"/>
              </w:rPr>
              <w:t>Земли, предлагаемые к включению в проектные границы и требующие перевода в земли населенных пунктов</w:t>
            </w:r>
          </w:p>
        </w:tc>
        <w:tc>
          <w:tcPr>
            <w:tcW w:w="10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7,31</w:t>
            </w:r>
          </w:p>
        </w:tc>
        <w:tc>
          <w:tcPr>
            <w:tcW w:w="115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91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055"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12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7,31</w:t>
            </w:r>
          </w:p>
        </w:tc>
      </w:tr>
    </w:tbl>
    <w:p>
      <w:pPr>
        <w:sectPr>
          <w:footerReference w:type="default" r:id="rId136"/>
          <w:footerReference w:type="first" r:id="rId137"/>
          <w:footnotePr>
            <w:numFmt w:val="decimal"/>
          </w:footnotePr>
          <w:type w:val="nextPage"/>
          <w:pgSz w:w="11906" w:h="16838"/>
          <w:pgMar w:left="1134" w:right="851" w:gutter="0" w:header="0" w:top="851" w:footer="709" w:bottom="851"/>
          <w:pgNumType w:fmt="decimal"/>
          <w:formProt w:val="false"/>
          <w:textDirection w:val="lrTb"/>
          <w:docGrid w:type="default" w:linePitch="360" w:charSpace="0"/>
        </w:sectPr>
        <w:pStyle w:val="Normal"/>
        <w:ind w:hanging="0"/>
        <w:jc w:val="right"/>
        <w:rPr>
          <w:color w:val="FF0066"/>
          <w:szCs w:val="28"/>
        </w:rPr>
      </w:pPr>
      <w:r>
        <w:rPr>
          <w:color w:val="FF0066"/>
          <w:szCs w:val="28"/>
        </w:rPr>
      </w:r>
    </w:p>
    <w:p>
      <w:pPr>
        <w:pStyle w:val="Normal"/>
        <w:ind w:hanging="0"/>
        <w:jc w:val="right"/>
        <w:rPr>
          <w:color w:val="000000"/>
          <w:szCs w:val="28"/>
        </w:rPr>
      </w:pPr>
      <w:r>
        <w:rPr>
          <w:color w:val="000000"/>
          <w:szCs w:val="28"/>
        </w:rPr>
        <w:t>Таблица 4.11.3</w:t>
      </w:r>
    </w:p>
    <w:p>
      <w:pPr>
        <w:pStyle w:val="210"/>
        <w:spacing w:lineRule="auto" w:line="240"/>
        <w:ind w:hanging="0"/>
        <w:jc w:val="center"/>
        <w:rPr>
          <w:iCs/>
          <w:color w:val="000000"/>
          <w:szCs w:val="28"/>
        </w:rPr>
      </w:pPr>
      <w:r>
        <w:rPr>
          <w:iCs/>
          <w:color w:val="000000"/>
          <w:szCs w:val="28"/>
        </w:rPr>
        <w:t xml:space="preserve">Перечень мероприятий по установлению границ населенных пунктов, входящих в состав </w:t>
      </w:r>
    </w:p>
    <w:p>
      <w:pPr>
        <w:pStyle w:val="210"/>
        <w:spacing w:lineRule="auto" w:line="240"/>
        <w:ind w:hanging="0"/>
        <w:jc w:val="center"/>
        <w:rPr/>
      </w:pPr>
      <w:r>
        <w:rPr>
          <w:iCs/>
          <w:color w:val="000000"/>
          <w:szCs w:val="28"/>
          <w:lang w:val="ru-RU"/>
        </w:rPr>
        <w:t>Вахитовск</w:t>
      </w:r>
      <w:r>
        <w:rPr/>
        <w:t>ого сельского поселения</w:t>
      </w:r>
    </w:p>
    <w:tbl>
      <w:tblPr>
        <w:tblW w:w="15480" w:type="dxa"/>
        <w:jc w:val="center"/>
        <w:tblInd w:w="0" w:type="dxa"/>
        <w:tblLayout w:type="fixed"/>
        <w:tblCellMar>
          <w:top w:w="0" w:type="dxa"/>
          <w:left w:w="108" w:type="dxa"/>
          <w:bottom w:w="0" w:type="dxa"/>
          <w:right w:w="108" w:type="dxa"/>
        </w:tblCellMar>
      </w:tblPr>
      <w:tblGrid>
        <w:gridCol w:w="601"/>
        <w:gridCol w:w="1698"/>
        <w:gridCol w:w="1559"/>
        <w:gridCol w:w="3118"/>
        <w:gridCol w:w="1134"/>
        <w:gridCol w:w="1135"/>
        <w:gridCol w:w="1275"/>
        <w:gridCol w:w="1276"/>
        <w:gridCol w:w="1418"/>
        <w:gridCol w:w="2266"/>
      </w:tblGrid>
      <w:tr>
        <w:trPr>
          <w:tblHeader w:val="true"/>
          <w:trHeight w:val="342" w:hRule="atLeast"/>
          <w:cantSplit w:val="true"/>
        </w:trPr>
        <w:tc>
          <w:tcPr>
            <w:tcW w:w="60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bookmarkStart w:id="337" w:name="_Hlk151561935"/>
            <w:bookmarkEnd w:id="337"/>
            <w:r>
              <w:rPr>
                <w:color w:val="000000"/>
                <w:sz w:val="20"/>
                <w:szCs w:val="20"/>
              </w:rPr>
              <w:t xml:space="preserve">№ </w:t>
            </w:r>
            <w:r>
              <w:rPr>
                <w:color w:val="000000"/>
                <w:sz w:val="20"/>
                <w:szCs w:val="20"/>
              </w:rPr>
              <w:t>п/п</w:t>
            </w:r>
          </w:p>
        </w:tc>
        <w:tc>
          <w:tcPr>
            <w:tcW w:w="169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Наименование населенного пункта, входящего в состав поселения</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Наименование объекта</w:t>
            </w:r>
          </w:p>
        </w:tc>
        <w:tc>
          <w:tcPr>
            <w:tcW w:w="311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Вид мероприятия</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Единица измерения</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Мощность</w:t>
            </w:r>
          </w:p>
        </w:tc>
        <w:tc>
          <w:tcPr>
            <w:tcW w:w="2694"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Сроки реализации</w:t>
            </w:r>
          </w:p>
        </w:tc>
        <w:tc>
          <w:tcPr>
            <w:tcW w:w="226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Источник мероприятия (наименование документа)</w:t>
            </w:r>
          </w:p>
        </w:tc>
      </w:tr>
      <w:tr>
        <w:trPr>
          <w:tblHeader w:val="true"/>
          <w:trHeight w:val="342" w:hRule="atLeast"/>
          <w:cantSplit w:val="true"/>
        </w:trPr>
        <w:tc>
          <w:tcPr>
            <w:tcW w:w="6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left"/>
              <w:rPr>
                <w:color w:val="000000"/>
                <w:sz w:val="20"/>
                <w:szCs w:val="20"/>
              </w:rPr>
            </w:pPr>
            <w:r>
              <w:rPr>
                <w:color w:val="000000"/>
                <w:sz w:val="20"/>
                <w:szCs w:val="20"/>
              </w:rPr>
            </w:r>
          </w:p>
        </w:tc>
        <w:tc>
          <w:tcPr>
            <w:tcW w:w="16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left"/>
              <w:rPr>
                <w:color w:val="000000"/>
                <w:sz w:val="20"/>
                <w:szCs w:val="20"/>
              </w:rPr>
            </w:pPr>
            <w:r>
              <w:rPr>
                <w:color w:val="000000"/>
                <w:sz w:val="20"/>
                <w:szCs w:val="20"/>
              </w:rPr>
            </w:r>
          </w:p>
        </w:tc>
        <w:tc>
          <w:tcPr>
            <w:tcW w:w="15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left"/>
              <w:rPr>
                <w:color w:val="000000"/>
                <w:sz w:val="20"/>
                <w:szCs w:val="20"/>
              </w:rPr>
            </w:pPr>
            <w:r>
              <w:rPr>
                <w:color w:val="000000"/>
                <w:sz w:val="20"/>
                <w:szCs w:val="20"/>
              </w:rPr>
            </w:r>
          </w:p>
        </w:tc>
        <w:tc>
          <w:tcPr>
            <w:tcW w:w="311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left"/>
              <w:rPr>
                <w:color w:val="000000"/>
                <w:sz w:val="20"/>
                <w:szCs w:val="20"/>
              </w:rPr>
            </w:pPr>
            <w:r>
              <w:rPr>
                <w:color w:val="000000"/>
                <w:sz w:val="20"/>
                <w:szCs w:val="20"/>
              </w:rPr>
            </w:r>
          </w:p>
        </w:tc>
        <w:tc>
          <w:tcPr>
            <w:tcW w:w="11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left"/>
              <w:rPr>
                <w:color w:val="000000"/>
                <w:sz w:val="20"/>
                <w:szCs w:val="20"/>
              </w:rPr>
            </w:pPr>
            <w:r>
              <w:rPr>
                <w:color w:val="000000"/>
                <w:sz w:val="20"/>
                <w:szCs w:val="20"/>
              </w:rPr>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lang w:val="en-US"/>
              </w:rPr>
            </w:pPr>
            <w:r>
              <w:rPr>
                <w:color w:val="000000"/>
                <w:sz w:val="20"/>
                <w:szCs w:val="20"/>
                <w:lang w:val="en-US"/>
              </w:rPr>
              <w:t>Существующая</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lang w:val="en-US"/>
              </w:rPr>
            </w:pPr>
            <w:r>
              <w:rPr>
                <w:color w:val="000000"/>
                <w:sz w:val="20"/>
                <w:szCs w:val="20"/>
                <w:lang w:val="en-US"/>
              </w:rPr>
              <w:t>Дополнительная</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Первая очередь (до 2032 г.)</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Расчетный срок (2033  - 2047 гг.)</w:t>
            </w:r>
          </w:p>
        </w:tc>
        <w:tc>
          <w:tcPr>
            <w:tcW w:w="226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left"/>
              <w:rPr>
                <w:color w:val="000000"/>
                <w:sz w:val="20"/>
                <w:szCs w:val="20"/>
              </w:rPr>
            </w:pPr>
            <w:r>
              <w:rPr>
                <w:color w:val="000000"/>
                <w:sz w:val="20"/>
                <w:szCs w:val="20"/>
              </w:rPr>
            </w:r>
          </w:p>
        </w:tc>
      </w:tr>
      <w:tr>
        <w:trPr>
          <w:trHeight w:val="1611" w:hRule="atLeast"/>
          <w:cantSplit w:val="true"/>
        </w:trPr>
        <w:tc>
          <w:tcPr>
            <w:tcW w:w="60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169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bCs/>
                <w:color w:val="000000"/>
                <w:sz w:val="20"/>
                <w:szCs w:val="20"/>
              </w:rPr>
              <w:t>с.Ташевка</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территория населенного пункта</w:t>
            </w:r>
          </w:p>
        </w:tc>
        <w:tc>
          <w:tcPr>
            <w:tcW w:w="311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включение в границу населенного пункта земельного участка с категорией «земли сельскохозяйственного назначения» и перевод  данного земельного участка в категорию «земли населенных пунктов»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га</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6,88</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22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Письмо от Руководителя Исполнительного комитета Верхнеуслонского муниципального района Республики Татарстан от 22.11.2023 №ИСХ-7447</w:t>
            </w:r>
          </w:p>
        </w:tc>
      </w:tr>
      <w:tr>
        <w:trPr>
          <w:trHeight w:val="1611" w:hRule="atLeast"/>
          <w:cantSplit w:val="true"/>
        </w:trPr>
        <w:tc>
          <w:tcPr>
            <w:tcW w:w="60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w:t>
            </w:r>
          </w:p>
        </w:tc>
        <w:tc>
          <w:tcPr>
            <w:tcW w:w="169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bCs/>
                <w:color w:val="000000"/>
                <w:sz w:val="20"/>
                <w:szCs w:val="20"/>
              </w:rPr>
            </w:pPr>
            <w:r>
              <w:rPr>
                <w:bCs/>
                <w:color w:val="000000"/>
                <w:sz w:val="20"/>
                <w:szCs w:val="20"/>
              </w:rPr>
              <w:t>с.Ташевка</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территория населенного пункта</w:t>
            </w:r>
          </w:p>
        </w:tc>
        <w:tc>
          <w:tcPr>
            <w:tcW w:w="311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включение в границу населенного пункта земельного участка с категорией «земли сельскохозяйственного назначения» и перевод  данного земельного участка в категорию «земли населенных пунктов»</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га</w:t>
            </w:r>
          </w:p>
        </w:tc>
        <w:tc>
          <w:tcPr>
            <w:tcW w:w="113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0,43</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22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Письмо от Руководителя Исполнительного комитета Верхнеуслонского муниципального района Республики Татарстан от 22.11.2023 №ИСХ-7447</w:t>
            </w:r>
          </w:p>
        </w:tc>
      </w:tr>
    </w:tbl>
    <w:p>
      <w:pPr>
        <w:sectPr>
          <w:footerReference w:type="default" r:id="rId138"/>
          <w:footerReference w:type="first" r:id="rId139"/>
          <w:footnotePr>
            <w:numFmt w:val="decimal"/>
          </w:footnotePr>
          <w:type w:val="nextPage"/>
          <w:pgSz w:orient="landscape" w:w="16838" w:h="11906"/>
          <w:pgMar w:left="1134" w:right="851" w:gutter="0" w:header="0" w:top="851" w:footer="709" w:bottom="851"/>
          <w:pgNumType w:fmt="decimal"/>
          <w:formProt w:val="false"/>
          <w:textDirection w:val="lrTb"/>
          <w:docGrid w:type="default" w:linePitch="381" w:charSpace="0"/>
        </w:sectPr>
      </w:pPr>
    </w:p>
    <w:p>
      <w:pPr>
        <w:pStyle w:val="2"/>
        <w:numPr>
          <w:ilvl w:val="1"/>
          <w:numId w:val="7"/>
        </w:numPr>
        <w:ind w:left="1077" w:hanging="720"/>
        <w:jc w:val="both"/>
        <w:rPr>
          <w:bCs w:val="false"/>
          <w:iCs w:val="false"/>
          <w:color w:val="000000"/>
          <w:lang w:val="ru-RU" w:eastAsia="ru-RU"/>
        </w:rPr>
      </w:pPr>
      <w:bookmarkStart w:id="338" w:name="__RefHeading___Toc156489439"/>
      <w:bookmarkEnd w:id="338"/>
      <w:r>
        <w:rPr>
          <w:bCs w:val="false"/>
          <w:iCs w:val="false"/>
          <w:color w:val="000000"/>
          <w:lang w:val="ru-RU" w:eastAsia="ru-RU"/>
        </w:rPr>
        <w:t>Мероприятия по развитию инженерной инфраструктуры</w:t>
      </w:r>
    </w:p>
    <w:p>
      <w:pPr>
        <w:pStyle w:val="Normal"/>
        <w:ind w:left="426" w:hanging="0"/>
        <w:jc w:val="both"/>
        <w:rPr>
          <w:b/>
          <w:color w:val="000000"/>
          <w:szCs w:val="28"/>
        </w:rPr>
      </w:pPr>
      <w:r>
        <w:rPr>
          <w:b/>
          <w:color w:val="000000"/>
          <w:szCs w:val="28"/>
        </w:rPr>
        <w:t>Водоснабжение</w:t>
      </w:r>
    </w:p>
    <w:p>
      <w:pPr>
        <w:pStyle w:val="Normal"/>
        <w:jc w:val="both"/>
        <w:rPr>
          <w:color w:val="000000"/>
          <w:szCs w:val="28"/>
          <w:u w:val="single"/>
        </w:rPr>
      </w:pPr>
      <w:r>
        <w:rPr>
          <w:color w:val="000000"/>
          <w:szCs w:val="28"/>
          <w:u w:val="single"/>
        </w:rPr>
        <w:t>Расчетные расходы</w:t>
      </w:r>
    </w:p>
    <w:p>
      <w:pPr>
        <w:pStyle w:val="Normal"/>
        <w:jc w:val="both"/>
        <w:rPr/>
      </w:pPr>
      <w:r>
        <w:rPr>
          <w:color w:val="000000"/>
          <w:szCs w:val="28"/>
        </w:rPr>
        <w:t xml:space="preserve">Общее водопотребление включает в себя расход воды на хозяйственно-питьевые нужды в жилых и в общественных зданиях, на наружное пожаротушение, на полив улиц и зеленых насаждений. </w:t>
      </w:r>
    </w:p>
    <w:p>
      <w:pPr>
        <w:pStyle w:val="Normal"/>
        <w:jc w:val="both"/>
        <w:rPr>
          <w:rFonts w:eastAsia="Calibri"/>
          <w:color w:val="000000"/>
          <w:szCs w:val="28"/>
        </w:rPr>
      </w:pPr>
      <w:r>
        <w:rPr>
          <w:rFonts w:eastAsia="Calibri"/>
          <w:color w:val="000000"/>
          <w:szCs w:val="28"/>
        </w:rPr>
        <w:t>Расчетные расходы воды на хозяйственно-питьевые нужды населения подсчитаны исходя из норм водопотребления на одного жителя в зависимости от степени благоустройства зданий (санитарно-технического оборудования), принятых по СП 31.13330.2021 «СНиП 2.04.02-84* Водоснабжение. Наружные сети и сооружения» п.5.1 и коэффициентов суточной и часовой неравномерности водопотребления. Удельное водопотребление включает расходы воды на хозяйственно-питьевые и бытовые нужды в общественных зданиях.</w:t>
      </w:r>
    </w:p>
    <w:p>
      <w:pPr>
        <w:pStyle w:val="Normal"/>
        <w:jc w:val="both"/>
        <w:rPr/>
      </w:pPr>
      <w:r>
        <w:rPr>
          <w:color w:val="000000"/>
          <w:szCs w:val="28"/>
        </w:rPr>
        <w:t>Удельные нормы водопотребления представлены в таблице 4.12.1.</w:t>
      </w:r>
    </w:p>
    <w:p>
      <w:pPr>
        <w:pStyle w:val="Normal"/>
        <w:jc w:val="both"/>
        <w:rPr>
          <w:color w:val="000000"/>
          <w:szCs w:val="28"/>
        </w:rPr>
      </w:pPr>
      <w:r>
        <w:rPr>
          <w:color w:val="000000"/>
          <w:szCs w:val="28"/>
        </w:rPr>
      </w:r>
    </w:p>
    <w:p>
      <w:pPr>
        <w:pStyle w:val="Normal"/>
        <w:jc w:val="both"/>
        <w:rPr>
          <w:color w:val="000000"/>
          <w:szCs w:val="28"/>
        </w:rPr>
      </w:pPr>
      <w:r>
        <w:rPr>
          <w:color w:val="000000"/>
          <w:szCs w:val="28"/>
        </w:rPr>
        <w:t>Таблица 4.12.1</w:t>
      </w:r>
    </w:p>
    <w:p>
      <w:pPr>
        <w:pStyle w:val="Normal"/>
        <w:spacing w:lineRule="auto" w:line="276"/>
        <w:ind w:hanging="0"/>
        <w:jc w:val="both"/>
        <w:rPr/>
      </w:pPr>
      <w:r>
        <w:rPr>
          <w:color w:val="000000"/>
          <w:szCs w:val="28"/>
        </w:rPr>
        <w:t>Удельные нормы водопотребления на территории Вахитовского сельского поселения Верхнеуслонского</w:t>
      </w:r>
      <w:r>
        <w:rPr/>
        <w:t xml:space="preserve"> муниципального района Республики Татарстан</w:t>
      </w:r>
    </w:p>
    <w:tbl>
      <w:tblPr>
        <w:tblW w:w="5000" w:type="pct"/>
        <w:jc w:val="center"/>
        <w:tblInd w:w="0" w:type="dxa"/>
        <w:tblLayout w:type="fixed"/>
        <w:tblCellMar>
          <w:top w:w="0" w:type="dxa"/>
          <w:left w:w="108" w:type="dxa"/>
          <w:bottom w:w="0" w:type="dxa"/>
          <w:right w:w="108" w:type="dxa"/>
        </w:tblCellMar>
      </w:tblPr>
      <w:tblGrid>
        <w:gridCol w:w="585"/>
        <w:gridCol w:w="7280"/>
        <w:gridCol w:w="2056"/>
      </w:tblGrid>
      <w:tr>
        <w:trPr/>
        <w:tc>
          <w:tcPr>
            <w:tcW w:w="58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 xml:space="preserve">№ </w:t>
            </w:r>
            <w:r>
              <w:rPr>
                <w:color w:val="000000"/>
                <w:sz w:val="20"/>
                <w:szCs w:val="20"/>
              </w:rPr>
              <w:t>п/п</w:t>
            </w:r>
          </w:p>
        </w:tc>
        <w:tc>
          <w:tcPr>
            <w:tcW w:w="728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Степень благоустройства жилых домов</w:t>
            </w:r>
          </w:p>
        </w:tc>
        <w:tc>
          <w:tcPr>
            <w:tcW w:w="2056" w:type="dxa"/>
            <w:tcBorders>
              <w:top w:val="single" w:sz="4" w:space="0" w:color="000000"/>
              <w:left w:val="single" w:sz="4" w:space="0" w:color="000000"/>
              <w:bottom w:val="single" w:sz="4" w:space="0" w:color="000000"/>
              <w:right w:val="single" w:sz="4" w:space="0" w:color="000000"/>
            </w:tcBorders>
          </w:tcPr>
          <w:p>
            <w:pPr>
              <w:pStyle w:val="Normal"/>
              <w:ind w:hanging="0"/>
              <w:jc w:val="center"/>
              <w:rPr/>
            </w:pPr>
            <w:r>
              <w:rPr>
                <w:color w:val="000000"/>
                <w:sz w:val="20"/>
                <w:szCs w:val="20"/>
                <w:lang w:val="ru-RU" w:eastAsia="ru-RU"/>
              </w:rPr>
              <w:drawing>
                <wp:inline distT="0" distB="0" distL="0" distR="0">
                  <wp:extent cx="152400" cy="190500"/>
                  <wp:effectExtent l="0" t="0" r="0" b="0"/>
                  <wp:docPr id="55"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2" descr=""/>
                          <pic:cNvPicPr>
                            <a:picLocks noChangeAspect="1" noChangeArrowheads="1"/>
                          </pic:cNvPicPr>
                        </pic:nvPicPr>
                        <pic:blipFill>
                          <a:blip r:embed="rId140"/>
                          <a:srcRect l="-210" t="-189" r="-210" b="-189"/>
                          <a:stretch>
                            <a:fillRect/>
                          </a:stretch>
                        </pic:blipFill>
                        <pic:spPr bwMode="auto">
                          <a:xfrm>
                            <a:off x="0" y="0"/>
                            <a:ext cx="152400" cy="190500"/>
                          </a:xfrm>
                          <a:prstGeom prst="rect">
                            <a:avLst/>
                          </a:prstGeom>
                        </pic:spPr>
                      </pic:pic>
                    </a:graphicData>
                  </a:graphic>
                </wp:inline>
              </w:drawing>
            </w:r>
            <w:r>
              <w:rPr>
                <w:color w:val="000000"/>
                <w:sz w:val="20"/>
                <w:szCs w:val="20"/>
              </w:rPr>
              <w:t>, л/сут</w:t>
            </w:r>
          </w:p>
        </w:tc>
      </w:tr>
      <w:tr>
        <w:trPr/>
        <w:tc>
          <w:tcPr>
            <w:tcW w:w="58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7280" w:type="dxa"/>
            <w:tcBorders>
              <w:top w:val="single" w:sz="4" w:space="0" w:color="000000"/>
              <w:left w:val="single" w:sz="4" w:space="0" w:color="000000"/>
              <w:bottom w:val="single" w:sz="4" w:space="0" w:color="000000"/>
              <w:right w:val="single" w:sz="4" w:space="0" w:color="000000"/>
            </w:tcBorders>
          </w:tcPr>
          <w:p>
            <w:pPr>
              <w:pStyle w:val="Normal"/>
              <w:ind w:hanging="0"/>
              <w:jc w:val="left"/>
              <w:rPr>
                <w:color w:val="000000"/>
                <w:sz w:val="20"/>
                <w:szCs w:val="20"/>
              </w:rPr>
            </w:pPr>
            <w:r>
              <w:rPr>
                <w:color w:val="000000"/>
                <w:sz w:val="20"/>
                <w:szCs w:val="20"/>
              </w:rPr>
              <w:t>Застройка зданиями, оборудованными внутренним водопроводом и канализацией, с</w:t>
            </w:r>
          </w:p>
          <w:p>
            <w:pPr>
              <w:pStyle w:val="Normal"/>
              <w:ind w:hanging="0"/>
              <w:jc w:val="left"/>
              <w:rPr>
                <w:color w:val="000000"/>
                <w:sz w:val="20"/>
                <w:szCs w:val="20"/>
              </w:rPr>
            </w:pPr>
            <w:r>
              <w:rPr>
                <w:color w:val="000000"/>
                <w:sz w:val="20"/>
                <w:szCs w:val="20"/>
              </w:rPr>
              <w:t>ванными и местными водонагревателями</w:t>
            </w:r>
          </w:p>
        </w:tc>
        <w:tc>
          <w:tcPr>
            <w:tcW w:w="20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140-180</w:t>
            </w:r>
          </w:p>
        </w:tc>
      </w:tr>
      <w:tr>
        <w:trPr/>
        <w:tc>
          <w:tcPr>
            <w:tcW w:w="58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w:t>
            </w:r>
          </w:p>
        </w:tc>
        <w:tc>
          <w:tcPr>
            <w:tcW w:w="7280" w:type="dxa"/>
            <w:tcBorders>
              <w:top w:val="single" w:sz="4" w:space="0" w:color="000000"/>
              <w:left w:val="single" w:sz="4" w:space="0" w:color="000000"/>
              <w:bottom w:val="single" w:sz="4" w:space="0" w:color="000000"/>
              <w:right w:val="single" w:sz="4" w:space="0" w:color="000000"/>
            </w:tcBorders>
          </w:tcPr>
          <w:p>
            <w:pPr>
              <w:pStyle w:val="Normal"/>
              <w:ind w:hanging="0"/>
              <w:jc w:val="left"/>
              <w:rPr>
                <w:color w:val="000000"/>
                <w:sz w:val="20"/>
                <w:szCs w:val="20"/>
              </w:rPr>
            </w:pPr>
            <w:r>
              <w:rPr>
                <w:color w:val="000000"/>
                <w:sz w:val="20"/>
                <w:szCs w:val="20"/>
              </w:rPr>
              <w:t>То же, с централизованным горячим водоснабжением</w:t>
            </w:r>
          </w:p>
        </w:tc>
        <w:tc>
          <w:tcPr>
            <w:tcW w:w="20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165-180</w:t>
            </w:r>
          </w:p>
        </w:tc>
      </w:tr>
    </w:tbl>
    <w:p>
      <w:pPr>
        <w:pStyle w:val="Normal"/>
        <w:rPr>
          <w:i/>
          <w:i/>
          <w:color w:val="000000"/>
          <w:szCs w:val="28"/>
          <w:lang w:val="en-US"/>
        </w:rPr>
      </w:pPr>
      <w:r>
        <w:rPr>
          <w:i/>
          <w:color w:val="000000"/>
          <w:szCs w:val="28"/>
          <w:lang w:val="en-US"/>
        </w:rPr>
      </w:r>
    </w:p>
    <w:p>
      <w:pPr>
        <w:pStyle w:val="Normal"/>
        <w:jc w:val="both"/>
        <w:rPr>
          <w:rFonts w:eastAsia="Calibri"/>
          <w:color w:val="000000"/>
          <w:szCs w:val="28"/>
        </w:rPr>
      </w:pPr>
      <w:r>
        <w:rPr>
          <w:rFonts w:eastAsia="Calibri"/>
          <w:color w:val="000000"/>
          <w:szCs w:val="28"/>
        </w:rPr>
        <w:t>Норма расхода воды на наружное пожаротушение и количество одновременных пожаров в населенном пункте приняты согласно СП 8.13130.2020 «Системы противопожарной защиты. Наружное противопожарное водоснабжение. Требования пожарной безопасности», а также в соответствии с Пособием по проектированию систем внутреннего и наружного пожаротушения технически несложных объектов П70.0010.09-90, в зависимости от числа жителей и этажности застройки. При населении менее 50 человек пожаротушение не предусматривается. Норма расхода воды на полив улиц и зеленых насаждений принята согласно СП 30.13330.2020 «СНиП 2.04.01-85* Внутренний водопровод и канализация зданий».</w:t>
      </w:r>
    </w:p>
    <w:p>
      <w:pPr>
        <w:pStyle w:val="Normal"/>
        <w:jc w:val="both"/>
        <w:rPr/>
      </w:pPr>
      <w:r>
        <w:rPr>
          <w:color w:val="000000"/>
          <w:szCs w:val="28"/>
        </w:rPr>
        <w:t>Результаты расчетов на существующее положение, на все сроки реализации генерального плана представлены в таблице 4.12.2.</w:t>
      </w:r>
    </w:p>
    <w:p>
      <w:pPr>
        <w:pStyle w:val="Normal"/>
        <w:jc w:val="both"/>
        <w:rPr>
          <w:color w:val="000000"/>
          <w:szCs w:val="28"/>
        </w:rPr>
      </w:pPr>
      <w:r>
        <w:rPr>
          <w:color w:val="000000"/>
          <w:szCs w:val="28"/>
        </w:rPr>
        <w:t>Мероприятия по развитию системы водоснабжения поселения представлены в таблице 4.12.3.</w:t>
      </w:r>
    </w:p>
    <w:p>
      <w:pPr>
        <w:sectPr>
          <w:footerReference w:type="default" r:id="rId141"/>
          <w:footerReference w:type="first" r:id="rId142"/>
          <w:footnotePr>
            <w:numFmt w:val="decimal"/>
          </w:footnotePr>
          <w:type w:val="nextPage"/>
          <w:pgSz w:w="11906" w:h="16838"/>
          <w:pgMar w:left="1134" w:right="851" w:gutter="0" w:header="0" w:top="851" w:footer="709" w:bottom="851"/>
          <w:pgNumType w:fmt="decimal"/>
          <w:formProt w:val="false"/>
          <w:textDirection w:val="lrTb"/>
          <w:docGrid w:type="default" w:linePitch="360" w:charSpace="0"/>
        </w:sectPr>
        <w:pStyle w:val="Normal"/>
        <w:rPr>
          <w:color w:val="000000"/>
          <w:szCs w:val="28"/>
        </w:rPr>
      </w:pPr>
      <w:r>
        <w:rPr>
          <w:color w:val="000000"/>
          <w:szCs w:val="28"/>
        </w:rPr>
      </w:r>
    </w:p>
    <w:p>
      <w:pPr>
        <w:pStyle w:val="Normal"/>
        <w:jc w:val="right"/>
        <w:rPr/>
      </w:pPr>
      <w:r>
        <w:rPr>
          <w:color w:val="000000"/>
        </w:rPr>
        <w:t>Таблица 4.12.2</w:t>
      </w:r>
    </w:p>
    <w:p>
      <w:pPr>
        <w:pStyle w:val="Normal"/>
        <w:jc w:val="center"/>
        <w:rPr/>
      </w:pPr>
      <w:r>
        <w:rPr>
          <w:color w:val="000000"/>
          <w:szCs w:val="28"/>
        </w:rPr>
        <w:t xml:space="preserve">Расчетное водопотребление населением Вахитовского сельского поселения </w:t>
      </w:r>
    </w:p>
    <w:p>
      <w:pPr>
        <w:pStyle w:val="Normal"/>
        <w:jc w:val="center"/>
        <w:rPr/>
      </w:pPr>
      <w:r>
        <w:rPr>
          <w:color w:val="000000"/>
          <w:szCs w:val="28"/>
        </w:rPr>
        <w:t xml:space="preserve">Верхнеуслонского муниципального района Республики Татарстан, </w:t>
      </w:r>
      <w:r>
        <w:rPr>
          <w:color w:val="000000"/>
        </w:rPr>
        <w:t>м</w:t>
      </w:r>
      <w:r>
        <w:rPr>
          <w:color w:val="000000"/>
          <w:vertAlign w:val="superscript"/>
        </w:rPr>
        <w:t>3</w:t>
      </w:r>
      <w:r>
        <w:rPr/>
        <w:t>/сутки</w:t>
      </w:r>
    </w:p>
    <w:tbl>
      <w:tblPr>
        <w:tblW w:w="5000" w:type="pct"/>
        <w:jc w:val="center"/>
        <w:tblInd w:w="0" w:type="dxa"/>
        <w:tblLayout w:type="fixed"/>
        <w:tblCellMar>
          <w:top w:w="0" w:type="dxa"/>
          <w:left w:w="108" w:type="dxa"/>
          <w:bottom w:w="0" w:type="dxa"/>
          <w:right w:w="108" w:type="dxa"/>
        </w:tblCellMar>
      </w:tblPr>
      <w:tblGrid>
        <w:gridCol w:w="526"/>
        <w:gridCol w:w="2044"/>
        <w:gridCol w:w="1952"/>
        <w:gridCol w:w="1634"/>
        <w:gridCol w:w="1934"/>
        <w:gridCol w:w="2216"/>
        <w:gridCol w:w="1375"/>
        <w:gridCol w:w="1110"/>
        <w:gridCol w:w="957"/>
        <w:gridCol w:w="1105"/>
      </w:tblGrid>
      <w:tr>
        <w:trPr>
          <w:trHeight w:val="23" w:hRule="atLeast"/>
          <w:cantSplit w:val="true"/>
        </w:trPr>
        <w:tc>
          <w:tcPr>
            <w:tcW w:w="52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 xml:space="preserve">№ </w:t>
            </w:r>
            <w:r>
              <w:rPr>
                <w:color w:val="000000"/>
                <w:sz w:val="20"/>
                <w:szCs w:val="20"/>
              </w:rPr>
              <w:t>п/п</w:t>
            </w:r>
          </w:p>
        </w:tc>
        <w:tc>
          <w:tcPr>
            <w:tcW w:w="204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Наименование населенного пункта, входящего в состав сельского поселения</w:t>
            </w:r>
          </w:p>
        </w:tc>
        <w:tc>
          <w:tcPr>
            <w:tcW w:w="3586"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Степень благоустройства жилых домов</w:t>
            </w:r>
          </w:p>
          <w:p>
            <w:pPr>
              <w:pStyle w:val="Normal"/>
              <w:ind w:hanging="0"/>
              <w:jc w:val="center"/>
              <w:rPr>
                <w:color w:val="000000"/>
                <w:sz w:val="20"/>
                <w:szCs w:val="20"/>
                <w:u w:val="single"/>
              </w:rPr>
            </w:pPr>
            <w:r>
              <w:rPr>
                <w:color w:val="000000"/>
                <w:sz w:val="20"/>
                <w:szCs w:val="20"/>
                <w:u w:val="single"/>
              </w:rPr>
              <w:t>Число жителей</w:t>
            </w:r>
          </w:p>
          <w:p>
            <w:pPr>
              <w:pStyle w:val="Normal"/>
              <w:ind w:hanging="0"/>
              <w:jc w:val="center"/>
              <w:rPr/>
            </w:pPr>
            <w:r>
              <w:rPr>
                <w:color w:val="000000"/>
                <w:sz w:val="20"/>
                <w:szCs w:val="20"/>
              </w:rPr>
              <w:t>Среднесуточ.расход, м</w:t>
            </w:r>
            <w:r>
              <w:rPr>
                <w:color w:val="000000"/>
                <w:sz w:val="20"/>
                <w:szCs w:val="20"/>
                <w:vertAlign w:val="superscript"/>
              </w:rPr>
              <w:t>3</w:t>
            </w:r>
            <w:r>
              <w:rPr>
                <w:color w:val="000000"/>
                <w:sz w:val="20"/>
                <w:szCs w:val="20"/>
              </w:rPr>
              <w:t>/сут</w:t>
            </w:r>
          </w:p>
        </w:tc>
        <w:tc>
          <w:tcPr>
            <w:tcW w:w="193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Среднесуточные расходы водопотребления, Qср</w:t>
            </w:r>
          </w:p>
        </w:tc>
        <w:tc>
          <w:tcPr>
            <w:tcW w:w="221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Расчетный расход воды в сутки наибольшего водопотребления, Qmах</w:t>
            </w:r>
          </w:p>
        </w:tc>
        <w:tc>
          <w:tcPr>
            <w:tcW w:w="137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 xml:space="preserve">Неучтенные </w:t>
            </w:r>
          </w:p>
          <w:p>
            <w:pPr>
              <w:pStyle w:val="Normal"/>
              <w:ind w:hanging="0"/>
              <w:jc w:val="center"/>
              <w:rPr>
                <w:color w:val="000000"/>
                <w:sz w:val="20"/>
                <w:szCs w:val="20"/>
              </w:rPr>
            </w:pPr>
            <w:r>
              <w:rPr>
                <w:color w:val="000000"/>
                <w:sz w:val="20"/>
                <w:szCs w:val="20"/>
              </w:rPr>
              <w:t>расходы</w:t>
            </w:r>
          </w:p>
        </w:tc>
        <w:tc>
          <w:tcPr>
            <w:tcW w:w="111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Полив</w:t>
            </w:r>
          </w:p>
        </w:tc>
        <w:tc>
          <w:tcPr>
            <w:tcW w:w="95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Пожаро-тушение</w:t>
            </w:r>
          </w:p>
        </w:tc>
        <w:tc>
          <w:tcPr>
            <w:tcW w:w="110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Итого</w:t>
            </w:r>
          </w:p>
        </w:tc>
      </w:tr>
      <w:tr>
        <w:trPr>
          <w:cantSplit w:val="true"/>
        </w:trPr>
        <w:tc>
          <w:tcPr>
            <w:tcW w:w="52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center"/>
              <w:rPr>
                <w:color w:val="000000"/>
                <w:sz w:val="20"/>
                <w:szCs w:val="20"/>
              </w:rPr>
            </w:pPr>
            <w:r>
              <w:rPr>
                <w:color w:val="000000"/>
                <w:sz w:val="20"/>
                <w:szCs w:val="20"/>
              </w:rPr>
            </w:r>
          </w:p>
        </w:tc>
        <w:tc>
          <w:tcPr>
            <w:tcW w:w="204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keepNext w:val="true"/>
              <w:numPr>
                <w:ilvl w:val="0"/>
                <w:numId w:val="0"/>
              </w:numPr>
              <w:snapToGrid w:val="false"/>
              <w:ind w:hanging="0"/>
              <w:jc w:val="center"/>
              <w:outlineLvl w:val="0"/>
              <w:rPr>
                <w:color w:val="000000"/>
                <w:sz w:val="20"/>
                <w:szCs w:val="20"/>
              </w:rPr>
            </w:pPr>
            <w:r>
              <w:rPr>
                <w:color w:val="000000"/>
                <w:sz w:val="20"/>
                <w:szCs w:val="20"/>
              </w:rPr>
            </w:r>
          </w:p>
        </w:tc>
        <w:tc>
          <w:tcPr>
            <w:tcW w:w="195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16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w:t>
            </w:r>
          </w:p>
        </w:tc>
        <w:tc>
          <w:tcPr>
            <w:tcW w:w="193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center"/>
              <w:rPr>
                <w:color w:val="000000"/>
                <w:sz w:val="20"/>
                <w:szCs w:val="20"/>
              </w:rPr>
            </w:pPr>
            <w:r>
              <w:rPr>
                <w:color w:val="000000"/>
                <w:sz w:val="20"/>
                <w:szCs w:val="20"/>
              </w:rPr>
            </w:r>
          </w:p>
        </w:tc>
        <w:tc>
          <w:tcPr>
            <w:tcW w:w="221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center"/>
              <w:rPr>
                <w:color w:val="000000"/>
                <w:sz w:val="20"/>
                <w:szCs w:val="20"/>
              </w:rPr>
            </w:pPr>
            <w:r>
              <w:rPr>
                <w:color w:val="000000"/>
                <w:sz w:val="20"/>
                <w:szCs w:val="20"/>
              </w:rPr>
            </w:r>
          </w:p>
        </w:tc>
        <w:tc>
          <w:tcPr>
            <w:tcW w:w="137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center"/>
              <w:rPr>
                <w:color w:val="000000"/>
                <w:sz w:val="20"/>
                <w:szCs w:val="20"/>
              </w:rPr>
            </w:pPr>
            <w:r>
              <w:rPr>
                <w:color w:val="000000"/>
                <w:sz w:val="20"/>
                <w:szCs w:val="20"/>
              </w:rPr>
            </w:r>
          </w:p>
        </w:tc>
        <w:tc>
          <w:tcPr>
            <w:tcW w:w="111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center"/>
              <w:rPr>
                <w:color w:val="000000"/>
                <w:sz w:val="20"/>
                <w:szCs w:val="20"/>
              </w:rPr>
            </w:pPr>
            <w:r>
              <w:rPr>
                <w:color w:val="000000"/>
                <w:sz w:val="20"/>
                <w:szCs w:val="20"/>
              </w:rPr>
            </w:r>
          </w:p>
        </w:tc>
        <w:tc>
          <w:tcPr>
            <w:tcW w:w="95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center"/>
              <w:rPr>
                <w:color w:val="000000"/>
                <w:sz w:val="20"/>
                <w:szCs w:val="20"/>
              </w:rPr>
            </w:pPr>
            <w:r>
              <w:rPr>
                <w:color w:val="000000"/>
                <w:sz w:val="20"/>
                <w:szCs w:val="20"/>
              </w:rPr>
            </w:r>
          </w:p>
        </w:tc>
        <w:tc>
          <w:tcPr>
            <w:tcW w:w="110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center"/>
              <w:rPr>
                <w:color w:val="000000"/>
                <w:sz w:val="20"/>
                <w:szCs w:val="20"/>
              </w:rPr>
            </w:pPr>
            <w:r>
              <w:rPr>
                <w:color w:val="000000"/>
                <w:sz w:val="20"/>
                <w:szCs w:val="20"/>
              </w:rPr>
            </w:r>
          </w:p>
        </w:tc>
      </w:tr>
      <w:tr>
        <w:trPr>
          <w:trHeight w:val="72" w:hRule="atLeast"/>
          <w:cantSplit w:val="true"/>
        </w:trPr>
        <w:tc>
          <w:tcPr>
            <w:tcW w:w="14853" w:type="dxa"/>
            <w:gridSpan w:val="10"/>
            <w:tcBorders>
              <w:top w:val="single" w:sz="4" w:space="0" w:color="000000"/>
              <w:left w:val="single" w:sz="4" w:space="0" w:color="000000"/>
              <w:bottom w:val="single" w:sz="4" w:space="0" w:color="000000"/>
              <w:right w:val="single" w:sz="4" w:space="0" w:color="000000"/>
            </w:tcBorders>
          </w:tcPr>
          <w:p>
            <w:pPr>
              <w:pStyle w:val="Normal"/>
              <w:ind w:hanging="0"/>
              <w:jc w:val="center"/>
              <w:rPr>
                <w:color w:val="000000"/>
                <w:sz w:val="20"/>
                <w:szCs w:val="20"/>
              </w:rPr>
            </w:pPr>
            <w:r>
              <w:rPr>
                <w:color w:val="000000"/>
                <w:sz w:val="20"/>
                <w:szCs w:val="20"/>
              </w:rPr>
              <w:t xml:space="preserve">Существующее положение </w:t>
            </w:r>
          </w:p>
        </w:tc>
      </w:tr>
      <w:tr>
        <w:trPr>
          <w:cantSplit w:val="true"/>
        </w:trPr>
        <w:tc>
          <w:tcPr>
            <w:tcW w:w="52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bookmarkStart w:id="339" w:name="_Hlk150437300"/>
            <w:bookmarkEnd w:id="339"/>
            <w:r>
              <w:rPr>
                <w:color w:val="000000"/>
                <w:sz w:val="20"/>
                <w:szCs w:val="20"/>
              </w:rPr>
              <w:t>1</w:t>
            </w:r>
          </w:p>
        </w:tc>
        <w:tc>
          <w:tcPr>
            <w:tcW w:w="204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д.им. Мулланура Вахитова</w:t>
            </w:r>
          </w:p>
        </w:tc>
        <w:tc>
          <w:tcPr>
            <w:tcW w:w="195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u w:val="single"/>
              </w:rPr>
            </w:pPr>
            <w:r>
              <w:rPr>
                <w:color w:val="000000"/>
                <w:sz w:val="20"/>
                <w:szCs w:val="20"/>
                <w:u w:val="single"/>
              </w:rPr>
              <w:t>203</w:t>
            </w:r>
          </w:p>
          <w:p>
            <w:pPr>
              <w:pStyle w:val="Normal"/>
              <w:ind w:hanging="0"/>
              <w:jc w:val="center"/>
              <w:rPr>
                <w:color w:val="000000"/>
                <w:sz w:val="20"/>
                <w:szCs w:val="20"/>
              </w:rPr>
            </w:pPr>
            <w:r>
              <w:rPr>
                <w:color w:val="000000"/>
                <w:sz w:val="20"/>
                <w:szCs w:val="20"/>
              </w:rPr>
              <w:t>32,48</w:t>
            </w:r>
          </w:p>
        </w:tc>
        <w:tc>
          <w:tcPr>
            <w:tcW w:w="16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9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32,48</w:t>
            </w:r>
          </w:p>
        </w:tc>
        <w:tc>
          <w:tcPr>
            <w:tcW w:w="221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38,98</w:t>
            </w:r>
          </w:p>
        </w:tc>
        <w:tc>
          <w:tcPr>
            <w:tcW w:w="13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23,45</w:t>
            </w:r>
          </w:p>
        </w:tc>
        <w:tc>
          <w:tcPr>
            <w:tcW w:w="111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14,21</w:t>
            </w:r>
          </w:p>
        </w:tc>
        <w:tc>
          <w:tcPr>
            <w:tcW w:w="9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54</w:t>
            </w:r>
          </w:p>
        </w:tc>
        <w:tc>
          <w:tcPr>
            <w:tcW w:w="11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110,43</w:t>
            </w:r>
          </w:p>
        </w:tc>
      </w:tr>
      <w:tr>
        <w:trPr>
          <w:cantSplit w:val="true"/>
        </w:trPr>
        <w:tc>
          <w:tcPr>
            <w:tcW w:w="52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w:t>
            </w:r>
          </w:p>
        </w:tc>
        <w:tc>
          <w:tcPr>
            <w:tcW w:w="2044" w:type="dxa"/>
            <w:tcBorders>
              <w:top w:val="single" w:sz="4" w:space="0" w:color="000000"/>
              <w:left w:val="single" w:sz="4" w:space="0" w:color="000000"/>
              <w:bottom w:val="single" w:sz="4" w:space="0" w:color="000000"/>
              <w:right w:val="single" w:sz="4" w:space="0" w:color="000000"/>
            </w:tcBorders>
            <w:vAlign w:val="center"/>
          </w:tcPr>
          <w:p>
            <w:pPr>
              <w:pStyle w:val="Style75"/>
              <w:jc w:val="left"/>
              <w:rPr>
                <w:color w:val="000000"/>
                <w:sz w:val="20"/>
                <w:szCs w:val="20"/>
              </w:rPr>
            </w:pPr>
            <w:r>
              <w:rPr>
                <w:color w:val="000000"/>
                <w:sz w:val="20"/>
                <w:szCs w:val="20"/>
              </w:rPr>
              <w:t>п.Бакча-Сарай</w:t>
            </w:r>
          </w:p>
        </w:tc>
        <w:tc>
          <w:tcPr>
            <w:tcW w:w="195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u w:val="single"/>
              </w:rPr>
            </w:pPr>
            <w:r>
              <w:rPr>
                <w:color w:val="000000"/>
                <w:sz w:val="20"/>
                <w:szCs w:val="20"/>
                <w:u w:val="single"/>
              </w:rPr>
              <w:t>161</w:t>
            </w:r>
          </w:p>
          <w:p>
            <w:pPr>
              <w:pStyle w:val="Normal"/>
              <w:ind w:hanging="0"/>
              <w:jc w:val="center"/>
              <w:rPr>
                <w:color w:val="000000"/>
                <w:sz w:val="20"/>
                <w:szCs w:val="20"/>
                <w:u w:val="single"/>
              </w:rPr>
            </w:pPr>
            <w:r>
              <w:rPr>
                <w:color w:val="000000"/>
                <w:sz w:val="20"/>
                <w:szCs w:val="20"/>
                <w:u w:val="single"/>
              </w:rPr>
              <w:t>25,76</w:t>
            </w:r>
          </w:p>
        </w:tc>
        <w:tc>
          <w:tcPr>
            <w:tcW w:w="16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9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25,76</w:t>
            </w:r>
          </w:p>
        </w:tc>
        <w:tc>
          <w:tcPr>
            <w:tcW w:w="221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30,91</w:t>
            </w:r>
          </w:p>
        </w:tc>
        <w:tc>
          <w:tcPr>
            <w:tcW w:w="13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6,54</w:t>
            </w:r>
          </w:p>
        </w:tc>
        <w:tc>
          <w:tcPr>
            <w:tcW w:w="111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11,27</w:t>
            </w:r>
          </w:p>
        </w:tc>
        <w:tc>
          <w:tcPr>
            <w:tcW w:w="9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54</w:t>
            </w:r>
          </w:p>
        </w:tc>
        <w:tc>
          <w:tcPr>
            <w:tcW w:w="11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98,76</w:t>
            </w:r>
          </w:p>
        </w:tc>
      </w:tr>
      <w:tr>
        <w:trPr>
          <w:cantSplit w:val="true"/>
        </w:trPr>
        <w:tc>
          <w:tcPr>
            <w:tcW w:w="52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w:t>
            </w:r>
          </w:p>
        </w:tc>
        <w:tc>
          <w:tcPr>
            <w:tcW w:w="2044" w:type="dxa"/>
            <w:tcBorders>
              <w:top w:val="single" w:sz="4" w:space="0" w:color="000000"/>
              <w:left w:val="single" w:sz="4" w:space="0" w:color="000000"/>
              <w:bottom w:val="single" w:sz="4" w:space="0" w:color="000000"/>
              <w:right w:val="single" w:sz="4" w:space="0" w:color="000000"/>
            </w:tcBorders>
            <w:vAlign w:val="center"/>
          </w:tcPr>
          <w:p>
            <w:pPr>
              <w:pStyle w:val="Style75"/>
              <w:jc w:val="left"/>
              <w:rPr>
                <w:color w:val="000000"/>
                <w:sz w:val="20"/>
                <w:szCs w:val="20"/>
              </w:rPr>
            </w:pPr>
            <w:r>
              <w:rPr>
                <w:color w:val="000000"/>
                <w:sz w:val="20"/>
                <w:szCs w:val="20"/>
              </w:rPr>
              <w:t>с.Ташевка</w:t>
            </w:r>
          </w:p>
        </w:tc>
        <w:tc>
          <w:tcPr>
            <w:tcW w:w="195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u w:val="single"/>
              </w:rPr>
            </w:pPr>
            <w:r>
              <w:rPr>
                <w:color w:val="000000"/>
                <w:sz w:val="20"/>
                <w:szCs w:val="20"/>
                <w:u w:val="single"/>
              </w:rPr>
              <w:t>44</w:t>
            </w:r>
          </w:p>
          <w:p>
            <w:pPr>
              <w:pStyle w:val="Normal"/>
              <w:ind w:hanging="0"/>
              <w:jc w:val="center"/>
              <w:rPr>
                <w:color w:val="000000"/>
                <w:sz w:val="20"/>
                <w:szCs w:val="20"/>
                <w:u w:val="single"/>
              </w:rPr>
            </w:pPr>
            <w:r>
              <w:rPr>
                <w:color w:val="000000"/>
                <w:sz w:val="20"/>
                <w:szCs w:val="20"/>
                <w:u w:val="single"/>
              </w:rPr>
              <w:t>7,04</w:t>
            </w:r>
          </w:p>
        </w:tc>
        <w:tc>
          <w:tcPr>
            <w:tcW w:w="16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9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7,04</w:t>
            </w:r>
          </w:p>
        </w:tc>
        <w:tc>
          <w:tcPr>
            <w:tcW w:w="221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8,45</w:t>
            </w:r>
          </w:p>
        </w:tc>
        <w:tc>
          <w:tcPr>
            <w:tcW w:w="13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6,77</w:t>
            </w:r>
          </w:p>
        </w:tc>
        <w:tc>
          <w:tcPr>
            <w:tcW w:w="111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3,08</w:t>
            </w:r>
          </w:p>
        </w:tc>
        <w:tc>
          <w:tcPr>
            <w:tcW w:w="9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54</w:t>
            </w:r>
          </w:p>
        </w:tc>
        <w:tc>
          <w:tcPr>
            <w:tcW w:w="11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66,23</w:t>
            </w:r>
          </w:p>
        </w:tc>
      </w:tr>
      <w:tr>
        <w:trPr>
          <w:cantSplit w:val="true"/>
        </w:trPr>
        <w:tc>
          <w:tcPr>
            <w:tcW w:w="52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w:t>
            </w:r>
          </w:p>
        </w:tc>
        <w:tc>
          <w:tcPr>
            <w:tcW w:w="2044" w:type="dxa"/>
            <w:tcBorders>
              <w:top w:val="single" w:sz="4" w:space="0" w:color="000000"/>
              <w:left w:val="single" w:sz="4" w:space="0" w:color="000000"/>
              <w:bottom w:val="single" w:sz="4" w:space="0" w:color="000000"/>
              <w:right w:val="single" w:sz="4" w:space="0" w:color="000000"/>
            </w:tcBorders>
            <w:vAlign w:val="center"/>
          </w:tcPr>
          <w:p>
            <w:pPr>
              <w:pStyle w:val="Style75"/>
              <w:jc w:val="left"/>
              <w:rPr>
                <w:color w:val="000000"/>
                <w:sz w:val="20"/>
                <w:szCs w:val="20"/>
              </w:rPr>
            </w:pPr>
            <w:r>
              <w:rPr>
                <w:color w:val="000000"/>
                <w:sz w:val="20"/>
                <w:szCs w:val="20"/>
              </w:rPr>
              <w:t>д.Ватан</w:t>
            </w:r>
          </w:p>
        </w:tc>
        <w:tc>
          <w:tcPr>
            <w:tcW w:w="195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u w:val="single"/>
              </w:rPr>
            </w:pPr>
            <w:r>
              <w:rPr>
                <w:color w:val="000000"/>
                <w:sz w:val="20"/>
                <w:szCs w:val="20"/>
                <w:u w:val="single"/>
              </w:rPr>
              <w:t>24</w:t>
            </w:r>
          </w:p>
          <w:p>
            <w:pPr>
              <w:pStyle w:val="Normal"/>
              <w:ind w:hanging="0"/>
              <w:jc w:val="center"/>
              <w:rPr>
                <w:color w:val="000000"/>
                <w:sz w:val="20"/>
                <w:szCs w:val="20"/>
                <w:u w:val="single"/>
              </w:rPr>
            </w:pPr>
            <w:r>
              <w:rPr>
                <w:color w:val="000000"/>
                <w:sz w:val="20"/>
                <w:szCs w:val="20"/>
                <w:u w:val="single"/>
              </w:rPr>
              <w:t>3,84</w:t>
            </w:r>
          </w:p>
        </w:tc>
        <w:tc>
          <w:tcPr>
            <w:tcW w:w="16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9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3,84</w:t>
            </w:r>
          </w:p>
        </w:tc>
        <w:tc>
          <w:tcPr>
            <w:tcW w:w="221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4,61</w:t>
            </w:r>
          </w:p>
        </w:tc>
        <w:tc>
          <w:tcPr>
            <w:tcW w:w="13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8,30</w:t>
            </w:r>
          </w:p>
        </w:tc>
        <w:tc>
          <w:tcPr>
            <w:tcW w:w="111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1,68</w:t>
            </w:r>
          </w:p>
        </w:tc>
        <w:tc>
          <w:tcPr>
            <w:tcW w:w="9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54</w:t>
            </w:r>
          </w:p>
        </w:tc>
        <w:tc>
          <w:tcPr>
            <w:tcW w:w="11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60,67</w:t>
            </w:r>
          </w:p>
        </w:tc>
      </w:tr>
      <w:tr>
        <w:trPr>
          <w:cantSplit w:val="true"/>
        </w:trPr>
        <w:tc>
          <w:tcPr>
            <w:tcW w:w="52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w:t>
            </w:r>
          </w:p>
        </w:tc>
        <w:tc>
          <w:tcPr>
            <w:tcW w:w="2044" w:type="dxa"/>
            <w:tcBorders>
              <w:top w:val="single" w:sz="4" w:space="0" w:color="000000"/>
              <w:left w:val="single" w:sz="4" w:space="0" w:color="000000"/>
              <w:bottom w:val="single" w:sz="4" w:space="0" w:color="000000"/>
              <w:right w:val="single" w:sz="4" w:space="0" w:color="000000"/>
            </w:tcBorders>
            <w:vAlign w:val="center"/>
          </w:tcPr>
          <w:p>
            <w:pPr>
              <w:pStyle w:val="Style75"/>
              <w:jc w:val="left"/>
              <w:rPr>
                <w:color w:val="000000"/>
                <w:sz w:val="20"/>
                <w:szCs w:val="20"/>
              </w:rPr>
            </w:pPr>
            <w:r>
              <w:rPr>
                <w:color w:val="000000"/>
                <w:sz w:val="20"/>
                <w:szCs w:val="20"/>
              </w:rPr>
              <w:t>д.Гребени</w:t>
            </w:r>
          </w:p>
        </w:tc>
        <w:tc>
          <w:tcPr>
            <w:tcW w:w="195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u w:val="single"/>
              </w:rPr>
            </w:pPr>
            <w:r>
              <w:rPr>
                <w:color w:val="000000"/>
                <w:sz w:val="20"/>
                <w:szCs w:val="20"/>
                <w:u w:val="single"/>
              </w:rPr>
              <w:t>0</w:t>
            </w:r>
          </w:p>
          <w:p>
            <w:pPr>
              <w:pStyle w:val="Normal"/>
              <w:ind w:hanging="0"/>
              <w:jc w:val="center"/>
              <w:rPr>
                <w:color w:val="000000"/>
                <w:sz w:val="20"/>
                <w:szCs w:val="20"/>
                <w:u w:val="single"/>
              </w:rPr>
            </w:pPr>
            <w:r>
              <w:rPr>
                <w:color w:val="000000"/>
                <w:sz w:val="20"/>
                <w:szCs w:val="20"/>
                <w:u w:val="single"/>
              </w:rPr>
              <w:t>0</w:t>
            </w:r>
          </w:p>
        </w:tc>
        <w:tc>
          <w:tcPr>
            <w:tcW w:w="16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9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221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13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111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9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54</w:t>
            </w:r>
          </w:p>
        </w:tc>
        <w:tc>
          <w:tcPr>
            <w:tcW w:w="11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0,00</w:t>
            </w:r>
          </w:p>
        </w:tc>
      </w:tr>
      <w:tr>
        <w:trPr>
          <w:trHeight w:val="133" w:hRule="atLeast"/>
          <w:cantSplit w:val="true"/>
        </w:trPr>
        <w:tc>
          <w:tcPr>
            <w:tcW w:w="14853" w:type="dxa"/>
            <w:gridSpan w:val="10"/>
            <w:tcBorders>
              <w:top w:val="single" w:sz="4" w:space="0" w:color="000000"/>
              <w:left w:val="single" w:sz="4" w:space="0" w:color="000000"/>
              <w:bottom w:val="single" w:sz="4" w:space="0" w:color="000000"/>
              <w:right w:val="single" w:sz="4" w:space="0" w:color="000000"/>
            </w:tcBorders>
          </w:tcPr>
          <w:p>
            <w:pPr>
              <w:pStyle w:val="Normal"/>
              <w:ind w:hanging="0"/>
              <w:jc w:val="center"/>
              <w:rPr/>
            </w:pPr>
            <w:r>
              <w:rPr>
                <w:color w:val="000000"/>
                <w:sz w:val="20"/>
                <w:szCs w:val="20"/>
              </w:rPr>
              <w:t>Первая очередь реализации генерального плана (2032 г.)</w:t>
            </w:r>
          </w:p>
        </w:tc>
      </w:tr>
      <w:tr>
        <w:trPr>
          <w:cantSplit w:val="true"/>
        </w:trPr>
        <w:tc>
          <w:tcPr>
            <w:tcW w:w="52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204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д.им. Мулланура Вахитова</w:t>
            </w:r>
          </w:p>
        </w:tc>
        <w:tc>
          <w:tcPr>
            <w:tcW w:w="195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u w:val="single"/>
              </w:rPr>
            </w:pPr>
            <w:r>
              <w:rPr>
                <w:color w:val="000000"/>
                <w:sz w:val="20"/>
                <w:szCs w:val="20"/>
                <w:u w:val="single"/>
              </w:rPr>
              <w:t>231</w:t>
            </w:r>
          </w:p>
          <w:p>
            <w:pPr>
              <w:pStyle w:val="Normal"/>
              <w:ind w:hanging="0"/>
              <w:jc w:val="center"/>
              <w:rPr>
                <w:color w:val="000000"/>
                <w:sz w:val="20"/>
                <w:szCs w:val="20"/>
              </w:rPr>
            </w:pPr>
            <w:r>
              <w:rPr>
                <w:color w:val="000000"/>
                <w:sz w:val="20"/>
                <w:szCs w:val="20"/>
              </w:rPr>
              <w:t>36,96</w:t>
            </w:r>
          </w:p>
        </w:tc>
        <w:tc>
          <w:tcPr>
            <w:tcW w:w="16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9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36,96</w:t>
            </w:r>
          </w:p>
        </w:tc>
        <w:tc>
          <w:tcPr>
            <w:tcW w:w="221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44,35</w:t>
            </w:r>
          </w:p>
        </w:tc>
        <w:tc>
          <w:tcPr>
            <w:tcW w:w="13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3,70</w:t>
            </w:r>
          </w:p>
        </w:tc>
        <w:tc>
          <w:tcPr>
            <w:tcW w:w="111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16,17</w:t>
            </w:r>
          </w:p>
        </w:tc>
        <w:tc>
          <w:tcPr>
            <w:tcW w:w="9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54</w:t>
            </w:r>
          </w:p>
        </w:tc>
        <w:tc>
          <w:tcPr>
            <w:tcW w:w="11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118,22</w:t>
            </w:r>
          </w:p>
        </w:tc>
      </w:tr>
      <w:tr>
        <w:trPr>
          <w:cantSplit w:val="true"/>
        </w:trPr>
        <w:tc>
          <w:tcPr>
            <w:tcW w:w="52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w:t>
            </w:r>
          </w:p>
        </w:tc>
        <w:tc>
          <w:tcPr>
            <w:tcW w:w="2044" w:type="dxa"/>
            <w:tcBorders>
              <w:top w:val="single" w:sz="4" w:space="0" w:color="000000"/>
              <w:left w:val="single" w:sz="4" w:space="0" w:color="000000"/>
              <w:bottom w:val="single" w:sz="4" w:space="0" w:color="000000"/>
              <w:right w:val="single" w:sz="4" w:space="0" w:color="000000"/>
            </w:tcBorders>
            <w:vAlign w:val="center"/>
          </w:tcPr>
          <w:p>
            <w:pPr>
              <w:pStyle w:val="Style75"/>
              <w:jc w:val="left"/>
              <w:rPr>
                <w:color w:val="000000"/>
                <w:sz w:val="20"/>
                <w:szCs w:val="20"/>
              </w:rPr>
            </w:pPr>
            <w:r>
              <w:rPr>
                <w:color w:val="000000"/>
                <w:sz w:val="20"/>
                <w:szCs w:val="20"/>
              </w:rPr>
              <w:t>п.Бакча-Сарай</w:t>
            </w:r>
          </w:p>
        </w:tc>
        <w:tc>
          <w:tcPr>
            <w:tcW w:w="195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u w:val="single"/>
              </w:rPr>
            </w:pPr>
            <w:r>
              <w:rPr>
                <w:color w:val="000000"/>
                <w:sz w:val="20"/>
                <w:szCs w:val="20"/>
                <w:u w:val="single"/>
              </w:rPr>
              <w:t>233</w:t>
            </w:r>
          </w:p>
          <w:p>
            <w:pPr>
              <w:pStyle w:val="Normal"/>
              <w:ind w:hanging="0"/>
              <w:jc w:val="center"/>
              <w:rPr>
                <w:color w:val="000000"/>
                <w:sz w:val="20"/>
                <w:szCs w:val="20"/>
                <w:u w:val="single"/>
              </w:rPr>
            </w:pPr>
            <w:r>
              <w:rPr>
                <w:color w:val="000000"/>
                <w:sz w:val="20"/>
                <w:szCs w:val="20"/>
                <w:u w:val="single"/>
              </w:rPr>
              <w:t>37,28</w:t>
            </w:r>
          </w:p>
        </w:tc>
        <w:tc>
          <w:tcPr>
            <w:tcW w:w="16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9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37,28</w:t>
            </w:r>
          </w:p>
        </w:tc>
        <w:tc>
          <w:tcPr>
            <w:tcW w:w="221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44,74</w:t>
            </w:r>
          </w:p>
        </w:tc>
        <w:tc>
          <w:tcPr>
            <w:tcW w:w="13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3,73</w:t>
            </w:r>
          </w:p>
        </w:tc>
        <w:tc>
          <w:tcPr>
            <w:tcW w:w="111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16,31</w:t>
            </w:r>
          </w:p>
        </w:tc>
        <w:tc>
          <w:tcPr>
            <w:tcW w:w="9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54</w:t>
            </w:r>
          </w:p>
        </w:tc>
        <w:tc>
          <w:tcPr>
            <w:tcW w:w="11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118,77</w:t>
            </w:r>
          </w:p>
        </w:tc>
      </w:tr>
      <w:tr>
        <w:trPr>
          <w:cantSplit w:val="true"/>
        </w:trPr>
        <w:tc>
          <w:tcPr>
            <w:tcW w:w="52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w:t>
            </w:r>
          </w:p>
        </w:tc>
        <w:tc>
          <w:tcPr>
            <w:tcW w:w="2044" w:type="dxa"/>
            <w:tcBorders>
              <w:top w:val="single" w:sz="4" w:space="0" w:color="000000"/>
              <w:left w:val="single" w:sz="4" w:space="0" w:color="000000"/>
              <w:bottom w:val="single" w:sz="4" w:space="0" w:color="000000"/>
              <w:right w:val="single" w:sz="4" w:space="0" w:color="000000"/>
            </w:tcBorders>
            <w:vAlign w:val="center"/>
          </w:tcPr>
          <w:p>
            <w:pPr>
              <w:pStyle w:val="Style75"/>
              <w:jc w:val="left"/>
              <w:rPr>
                <w:color w:val="000000"/>
                <w:sz w:val="20"/>
                <w:szCs w:val="20"/>
              </w:rPr>
            </w:pPr>
            <w:r>
              <w:rPr>
                <w:color w:val="000000"/>
                <w:sz w:val="20"/>
                <w:szCs w:val="20"/>
              </w:rPr>
              <w:t>с.Ташевка</w:t>
            </w:r>
          </w:p>
        </w:tc>
        <w:tc>
          <w:tcPr>
            <w:tcW w:w="195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u w:val="single"/>
              </w:rPr>
            </w:pPr>
            <w:r>
              <w:rPr>
                <w:color w:val="000000"/>
                <w:sz w:val="20"/>
                <w:szCs w:val="20"/>
                <w:u w:val="single"/>
              </w:rPr>
              <w:t>216</w:t>
            </w:r>
          </w:p>
          <w:p>
            <w:pPr>
              <w:pStyle w:val="Normal"/>
              <w:ind w:hanging="0"/>
              <w:jc w:val="center"/>
              <w:rPr>
                <w:color w:val="000000"/>
                <w:sz w:val="20"/>
                <w:szCs w:val="20"/>
                <w:u w:val="single"/>
              </w:rPr>
            </w:pPr>
            <w:r>
              <w:rPr>
                <w:color w:val="000000"/>
                <w:sz w:val="20"/>
                <w:szCs w:val="20"/>
                <w:u w:val="single"/>
              </w:rPr>
              <w:t>34,56</w:t>
            </w:r>
          </w:p>
        </w:tc>
        <w:tc>
          <w:tcPr>
            <w:tcW w:w="16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9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34,56</w:t>
            </w:r>
          </w:p>
        </w:tc>
        <w:tc>
          <w:tcPr>
            <w:tcW w:w="221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41,47</w:t>
            </w:r>
          </w:p>
        </w:tc>
        <w:tc>
          <w:tcPr>
            <w:tcW w:w="13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3,46</w:t>
            </w:r>
          </w:p>
        </w:tc>
        <w:tc>
          <w:tcPr>
            <w:tcW w:w="111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15,12</w:t>
            </w:r>
          </w:p>
        </w:tc>
        <w:tc>
          <w:tcPr>
            <w:tcW w:w="9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54</w:t>
            </w:r>
          </w:p>
        </w:tc>
        <w:tc>
          <w:tcPr>
            <w:tcW w:w="11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114,05</w:t>
            </w:r>
          </w:p>
        </w:tc>
      </w:tr>
      <w:tr>
        <w:trPr>
          <w:cantSplit w:val="true"/>
        </w:trPr>
        <w:tc>
          <w:tcPr>
            <w:tcW w:w="52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w:t>
            </w:r>
          </w:p>
        </w:tc>
        <w:tc>
          <w:tcPr>
            <w:tcW w:w="2044" w:type="dxa"/>
            <w:tcBorders>
              <w:top w:val="single" w:sz="4" w:space="0" w:color="000000"/>
              <w:left w:val="single" w:sz="4" w:space="0" w:color="000000"/>
              <w:bottom w:val="single" w:sz="4" w:space="0" w:color="000000"/>
              <w:right w:val="single" w:sz="4" w:space="0" w:color="000000"/>
            </w:tcBorders>
            <w:vAlign w:val="center"/>
          </w:tcPr>
          <w:p>
            <w:pPr>
              <w:pStyle w:val="Style75"/>
              <w:jc w:val="left"/>
              <w:rPr>
                <w:color w:val="000000"/>
                <w:sz w:val="20"/>
                <w:szCs w:val="20"/>
              </w:rPr>
            </w:pPr>
            <w:r>
              <w:rPr>
                <w:color w:val="000000"/>
                <w:sz w:val="20"/>
                <w:szCs w:val="20"/>
              </w:rPr>
              <w:t>д.Ватан</w:t>
            </w:r>
          </w:p>
        </w:tc>
        <w:tc>
          <w:tcPr>
            <w:tcW w:w="195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u w:val="single"/>
              </w:rPr>
            </w:pPr>
            <w:r>
              <w:rPr>
                <w:color w:val="000000"/>
                <w:sz w:val="20"/>
                <w:szCs w:val="20"/>
                <w:u w:val="single"/>
              </w:rPr>
              <w:t>23</w:t>
            </w:r>
          </w:p>
          <w:p>
            <w:pPr>
              <w:pStyle w:val="Normal"/>
              <w:ind w:hanging="0"/>
              <w:jc w:val="center"/>
              <w:rPr>
                <w:color w:val="000000"/>
                <w:sz w:val="20"/>
                <w:szCs w:val="20"/>
                <w:u w:val="single"/>
              </w:rPr>
            </w:pPr>
            <w:r>
              <w:rPr>
                <w:color w:val="000000"/>
                <w:sz w:val="20"/>
                <w:szCs w:val="20"/>
                <w:u w:val="single"/>
              </w:rPr>
              <w:t>3,68</w:t>
            </w:r>
          </w:p>
        </w:tc>
        <w:tc>
          <w:tcPr>
            <w:tcW w:w="16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9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3,68</w:t>
            </w:r>
          </w:p>
        </w:tc>
        <w:tc>
          <w:tcPr>
            <w:tcW w:w="221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4,42</w:t>
            </w:r>
          </w:p>
        </w:tc>
        <w:tc>
          <w:tcPr>
            <w:tcW w:w="13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0,37</w:t>
            </w:r>
          </w:p>
        </w:tc>
        <w:tc>
          <w:tcPr>
            <w:tcW w:w="111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1,61</w:t>
            </w:r>
          </w:p>
        </w:tc>
        <w:tc>
          <w:tcPr>
            <w:tcW w:w="9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54</w:t>
            </w:r>
          </w:p>
        </w:tc>
        <w:tc>
          <w:tcPr>
            <w:tcW w:w="11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6,39</w:t>
            </w:r>
          </w:p>
        </w:tc>
      </w:tr>
      <w:tr>
        <w:trPr>
          <w:cantSplit w:val="true"/>
        </w:trPr>
        <w:tc>
          <w:tcPr>
            <w:tcW w:w="52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w:t>
            </w:r>
          </w:p>
        </w:tc>
        <w:tc>
          <w:tcPr>
            <w:tcW w:w="2044" w:type="dxa"/>
            <w:tcBorders>
              <w:top w:val="single" w:sz="4" w:space="0" w:color="000000"/>
              <w:left w:val="single" w:sz="4" w:space="0" w:color="000000"/>
              <w:bottom w:val="single" w:sz="4" w:space="0" w:color="000000"/>
              <w:right w:val="single" w:sz="4" w:space="0" w:color="000000"/>
            </w:tcBorders>
            <w:vAlign w:val="center"/>
          </w:tcPr>
          <w:p>
            <w:pPr>
              <w:pStyle w:val="Style75"/>
              <w:jc w:val="left"/>
              <w:rPr>
                <w:color w:val="000000"/>
                <w:sz w:val="20"/>
                <w:szCs w:val="20"/>
              </w:rPr>
            </w:pPr>
            <w:r>
              <w:rPr>
                <w:color w:val="000000"/>
                <w:sz w:val="20"/>
                <w:szCs w:val="20"/>
              </w:rPr>
              <w:t>д.Гребени</w:t>
            </w:r>
          </w:p>
        </w:tc>
        <w:tc>
          <w:tcPr>
            <w:tcW w:w="195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u w:val="single"/>
              </w:rPr>
            </w:pPr>
            <w:r>
              <w:rPr>
                <w:color w:val="000000"/>
                <w:sz w:val="20"/>
                <w:szCs w:val="20"/>
                <w:u w:val="single"/>
              </w:rPr>
              <w:t>59</w:t>
            </w:r>
          </w:p>
          <w:p>
            <w:pPr>
              <w:pStyle w:val="Normal"/>
              <w:ind w:hanging="0"/>
              <w:jc w:val="center"/>
              <w:rPr>
                <w:color w:val="000000"/>
                <w:sz w:val="20"/>
                <w:szCs w:val="20"/>
                <w:u w:val="single"/>
              </w:rPr>
            </w:pPr>
            <w:r>
              <w:rPr>
                <w:color w:val="000000"/>
                <w:sz w:val="20"/>
                <w:szCs w:val="20"/>
                <w:u w:val="single"/>
              </w:rPr>
              <w:t>9,44</w:t>
            </w:r>
          </w:p>
        </w:tc>
        <w:tc>
          <w:tcPr>
            <w:tcW w:w="16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9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9,44</w:t>
            </w:r>
          </w:p>
        </w:tc>
        <w:tc>
          <w:tcPr>
            <w:tcW w:w="221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11,33</w:t>
            </w:r>
          </w:p>
        </w:tc>
        <w:tc>
          <w:tcPr>
            <w:tcW w:w="13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0,94</w:t>
            </w:r>
          </w:p>
        </w:tc>
        <w:tc>
          <w:tcPr>
            <w:tcW w:w="111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4,13</w:t>
            </w:r>
          </w:p>
        </w:tc>
        <w:tc>
          <w:tcPr>
            <w:tcW w:w="9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54</w:t>
            </w:r>
          </w:p>
        </w:tc>
        <w:tc>
          <w:tcPr>
            <w:tcW w:w="11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16,40</w:t>
            </w:r>
          </w:p>
        </w:tc>
      </w:tr>
      <w:tr>
        <w:trPr>
          <w:trHeight w:val="66" w:hRule="atLeast"/>
          <w:cantSplit w:val="true"/>
        </w:trPr>
        <w:tc>
          <w:tcPr>
            <w:tcW w:w="14853" w:type="dxa"/>
            <w:gridSpan w:val="10"/>
            <w:tcBorders>
              <w:top w:val="single" w:sz="4" w:space="0" w:color="000000"/>
              <w:left w:val="single" w:sz="4" w:space="0" w:color="000000"/>
              <w:bottom w:val="single" w:sz="4" w:space="0" w:color="000000"/>
              <w:right w:val="single" w:sz="4" w:space="0" w:color="000000"/>
            </w:tcBorders>
          </w:tcPr>
          <w:p>
            <w:pPr>
              <w:pStyle w:val="Normal"/>
              <w:ind w:hanging="0"/>
              <w:jc w:val="center"/>
              <w:rPr>
                <w:color w:val="000000"/>
                <w:sz w:val="20"/>
                <w:szCs w:val="20"/>
              </w:rPr>
            </w:pPr>
            <w:r>
              <w:rPr>
                <w:color w:val="000000"/>
                <w:sz w:val="20"/>
                <w:szCs w:val="20"/>
              </w:rPr>
              <w:t>Расчетный срок реализации генерального плана (2047 г.)</w:t>
            </w:r>
          </w:p>
        </w:tc>
      </w:tr>
      <w:tr>
        <w:trPr>
          <w:trHeight w:val="291" w:hRule="atLeast"/>
          <w:cantSplit w:val="true"/>
        </w:trPr>
        <w:tc>
          <w:tcPr>
            <w:tcW w:w="52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204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д.им. Мулланура Вахитова</w:t>
            </w:r>
          </w:p>
        </w:tc>
        <w:tc>
          <w:tcPr>
            <w:tcW w:w="195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u w:val="single"/>
              </w:rPr>
            </w:pPr>
            <w:r>
              <w:rPr>
                <w:color w:val="000000"/>
                <w:sz w:val="20"/>
                <w:szCs w:val="20"/>
                <w:u w:val="single"/>
              </w:rPr>
              <w:t>288</w:t>
            </w:r>
          </w:p>
          <w:p>
            <w:pPr>
              <w:pStyle w:val="Normal"/>
              <w:ind w:hanging="0"/>
              <w:jc w:val="center"/>
              <w:rPr>
                <w:color w:val="000000"/>
                <w:sz w:val="20"/>
                <w:szCs w:val="20"/>
                <w:u w:val="single"/>
              </w:rPr>
            </w:pPr>
            <w:r>
              <w:rPr>
                <w:color w:val="000000"/>
                <w:sz w:val="20"/>
                <w:szCs w:val="20"/>
                <w:u w:val="single"/>
              </w:rPr>
              <w:t>46,08</w:t>
            </w:r>
          </w:p>
        </w:tc>
        <w:tc>
          <w:tcPr>
            <w:tcW w:w="16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9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46,08</w:t>
            </w:r>
          </w:p>
        </w:tc>
        <w:tc>
          <w:tcPr>
            <w:tcW w:w="221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55,30</w:t>
            </w:r>
          </w:p>
        </w:tc>
        <w:tc>
          <w:tcPr>
            <w:tcW w:w="13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4,61</w:t>
            </w:r>
          </w:p>
        </w:tc>
        <w:tc>
          <w:tcPr>
            <w:tcW w:w="111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20,16</w:t>
            </w:r>
          </w:p>
        </w:tc>
        <w:tc>
          <w:tcPr>
            <w:tcW w:w="9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54</w:t>
            </w:r>
          </w:p>
        </w:tc>
        <w:tc>
          <w:tcPr>
            <w:tcW w:w="11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134,06</w:t>
            </w:r>
          </w:p>
        </w:tc>
      </w:tr>
      <w:tr>
        <w:trPr>
          <w:trHeight w:val="291" w:hRule="atLeast"/>
          <w:cantSplit w:val="true"/>
        </w:trPr>
        <w:tc>
          <w:tcPr>
            <w:tcW w:w="52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w:t>
            </w:r>
          </w:p>
        </w:tc>
        <w:tc>
          <w:tcPr>
            <w:tcW w:w="2044" w:type="dxa"/>
            <w:tcBorders>
              <w:top w:val="single" w:sz="4" w:space="0" w:color="000000"/>
              <w:left w:val="single" w:sz="4" w:space="0" w:color="000000"/>
              <w:bottom w:val="single" w:sz="4" w:space="0" w:color="000000"/>
              <w:right w:val="single" w:sz="4" w:space="0" w:color="000000"/>
            </w:tcBorders>
            <w:vAlign w:val="center"/>
          </w:tcPr>
          <w:p>
            <w:pPr>
              <w:pStyle w:val="Style75"/>
              <w:jc w:val="left"/>
              <w:rPr>
                <w:color w:val="000000"/>
                <w:sz w:val="20"/>
                <w:szCs w:val="20"/>
              </w:rPr>
            </w:pPr>
            <w:r>
              <w:rPr>
                <w:color w:val="000000"/>
                <w:sz w:val="20"/>
                <w:szCs w:val="20"/>
              </w:rPr>
              <w:t>п.Бакча-Сарай</w:t>
            </w:r>
          </w:p>
        </w:tc>
        <w:tc>
          <w:tcPr>
            <w:tcW w:w="195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u w:val="single"/>
              </w:rPr>
            </w:pPr>
            <w:r>
              <w:rPr>
                <w:color w:val="000000"/>
                <w:sz w:val="20"/>
                <w:szCs w:val="20"/>
                <w:u w:val="single"/>
              </w:rPr>
              <w:t>256</w:t>
            </w:r>
          </w:p>
          <w:p>
            <w:pPr>
              <w:pStyle w:val="Normal"/>
              <w:ind w:hanging="0"/>
              <w:jc w:val="center"/>
              <w:rPr>
                <w:color w:val="000000"/>
                <w:sz w:val="20"/>
                <w:szCs w:val="20"/>
                <w:u w:val="single"/>
              </w:rPr>
            </w:pPr>
            <w:r>
              <w:rPr>
                <w:color w:val="000000"/>
                <w:sz w:val="20"/>
                <w:szCs w:val="20"/>
                <w:u w:val="single"/>
              </w:rPr>
              <w:t>40,96</w:t>
            </w:r>
          </w:p>
        </w:tc>
        <w:tc>
          <w:tcPr>
            <w:tcW w:w="16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9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40,96</w:t>
            </w:r>
          </w:p>
        </w:tc>
        <w:tc>
          <w:tcPr>
            <w:tcW w:w="221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49,15</w:t>
            </w:r>
          </w:p>
        </w:tc>
        <w:tc>
          <w:tcPr>
            <w:tcW w:w="13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4,10</w:t>
            </w:r>
          </w:p>
        </w:tc>
        <w:tc>
          <w:tcPr>
            <w:tcW w:w="111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17,92</w:t>
            </w:r>
          </w:p>
        </w:tc>
        <w:tc>
          <w:tcPr>
            <w:tcW w:w="9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54</w:t>
            </w:r>
          </w:p>
        </w:tc>
        <w:tc>
          <w:tcPr>
            <w:tcW w:w="11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125,17</w:t>
            </w:r>
          </w:p>
        </w:tc>
      </w:tr>
      <w:tr>
        <w:trPr>
          <w:trHeight w:val="291" w:hRule="atLeast"/>
          <w:cantSplit w:val="true"/>
        </w:trPr>
        <w:tc>
          <w:tcPr>
            <w:tcW w:w="52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w:t>
            </w:r>
          </w:p>
        </w:tc>
        <w:tc>
          <w:tcPr>
            <w:tcW w:w="2044" w:type="dxa"/>
            <w:tcBorders>
              <w:top w:val="single" w:sz="4" w:space="0" w:color="000000"/>
              <w:left w:val="single" w:sz="4" w:space="0" w:color="000000"/>
              <w:bottom w:val="single" w:sz="4" w:space="0" w:color="000000"/>
              <w:right w:val="single" w:sz="4" w:space="0" w:color="000000"/>
            </w:tcBorders>
            <w:vAlign w:val="center"/>
          </w:tcPr>
          <w:p>
            <w:pPr>
              <w:pStyle w:val="Style75"/>
              <w:jc w:val="left"/>
              <w:rPr>
                <w:color w:val="000000"/>
                <w:sz w:val="20"/>
                <w:szCs w:val="20"/>
              </w:rPr>
            </w:pPr>
            <w:r>
              <w:rPr>
                <w:color w:val="000000"/>
                <w:sz w:val="20"/>
                <w:szCs w:val="20"/>
              </w:rPr>
              <w:t>с.Ташевка</w:t>
            </w:r>
          </w:p>
        </w:tc>
        <w:tc>
          <w:tcPr>
            <w:tcW w:w="195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u w:val="single"/>
              </w:rPr>
            </w:pPr>
            <w:r>
              <w:rPr>
                <w:color w:val="000000"/>
                <w:sz w:val="20"/>
                <w:szCs w:val="20"/>
                <w:u w:val="single"/>
              </w:rPr>
              <w:t>258</w:t>
            </w:r>
          </w:p>
          <w:p>
            <w:pPr>
              <w:pStyle w:val="Normal"/>
              <w:ind w:hanging="0"/>
              <w:jc w:val="center"/>
              <w:rPr>
                <w:color w:val="000000"/>
                <w:sz w:val="20"/>
                <w:szCs w:val="20"/>
                <w:u w:val="single"/>
              </w:rPr>
            </w:pPr>
            <w:r>
              <w:rPr>
                <w:color w:val="000000"/>
                <w:sz w:val="20"/>
                <w:szCs w:val="20"/>
                <w:u w:val="single"/>
              </w:rPr>
              <w:t>41,28</w:t>
            </w:r>
          </w:p>
        </w:tc>
        <w:tc>
          <w:tcPr>
            <w:tcW w:w="16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9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41,28</w:t>
            </w:r>
          </w:p>
        </w:tc>
        <w:tc>
          <w:tcPr>
            <w:tcW w:w="221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49,54</w:t>
            </w:r>
          </w:p>
        </w:tc>
        <w:tc>
          <w:tcPr>
            <w:tcW w:w="13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4,13</w:t>
            </w:r>
          </w:p>
        </w:tc>
        <w:tc>
          <w:tcPr>
            <w:tcW w:w="111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18,06</w:t>
            </w:r>
          </w:p>
        </w:tc>
        <w:tc>
          <w:tcPr>
            <w:tcW w:w="9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54</w:t>
            </w:r>
          </w:p>
        </w:tc>
        <w:tc>
          <w:tcPr>
            <w:tcW w:w="11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125,72</w:t>
            </w:r>
          </w:p>
        </w:tc>
      </w:tr>
      <w:tr>
        <w:trPr>
          <w:trHeight w:val="291" w:hRule="atLeast"/>
          <w:cantSplit w:val="true"/>
        </w:trPr>
        <w:tc>
          <w:tcPr>
            <w:tcW w:w="52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w:t>
            </w:r>
          </w:p>
        </w:tc>
        <w:tc>
          <w:tcPr>
            <w:tcW w:w="2044" w:type="dxa"/>
            <w:tcBorders>
              <w:top w:val="single" w:sz="4" w:space="0" w:color="000000"/>
              <w:left w:val="single" w:sz="4" w:space="0" w:color="000000"/>
              <w:bottom w:val="single" w:sz="4" w:space="0" w:color="000000"/>
              <w:right w:val="single" w:sz="4" w:space="0" w:color="000000"/>
            </w:tcBorders>
            <w:vAlign w:val="center"/>
          </w:tcPr>
          <w:p>
            <w:pPr>
              <w:pStyle w:val="Style75"/>
              <w:jc w:val="left"/>
              <w:rPr>
                <w:color w:val="000000"/>
                <w:sz w:val="20"/>
                <w:szCs w:val="20"/>
              </w:rPr>
            </w:pPr>
            <w:r>
              <w:rPr>
                <w:color w:val="000000"/>
                <w:sz w:val="20"/>
                <w:szCs w:val="20"/>
              </w:rPr>
              <w:t>д.Ватан</w:t>
            </w:r>
          </w:p>
        </w:tc>
        <w:tc>
          <w:tcPr>
            <w:tcW w:w="195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u w:val="single"/>
              </w:rPr>
            </w:pPr>
            <w:r>
              <w:rPr>
                <w:color w:val="000000"/>
                <w:sz w:val="20"/>
                <w:szCs w:val="20"/>
                <w:u w:val="single"/>
              </w:rPr>
              <w:t>30</w:t>
            </w:r>
          </w:p>
          <w:p>
            <w:pPr>
              <w:pStyle w:val="Normal"/>
              <w:ind w:hanging="0"/>
              <w:jc w:val="center"/>
              <w:rPr>
                <w:color w:val="000000"/>
                <w:sz w:val="20"/>
                <w:szCs w:val="20"/>
                <w:u w:val="single"/>
              </w:rPr>
            </w:pPr>
            <w:r>
              <w:rPr>
                <w:color w:val="000000"/>
                <w:sz w:val="20"/>
                <w:szCs w:val="20"/>
                <w:u w:val="single"/>
              </w:rPr>
              <w:t>4,8</w:t>
            </w:r>
          </w:p>
        </w:tc>
        <w:tc>
          <w:tcPr>
            <w:tcW w:w="16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9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4,8</w:t>
            </w:r>
          </w:p>
        </w:tc>
        <w:tc>
          <w:tcPr>
            <w:tcW w:w="221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5,76</w:t>
            </w:r>
          </w:p>
        </w:tc>
        <w:tc>
          <w:tcPr>
            <w:tcW w:w="13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0,48</w:t>
            </w:r>
          </w:p>
        </w:tc>
        <w:tc>
          <w:tcPr>
            <w:tcW w:w="111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2,1</w:t>
            </w:r>
          </w:p>
        </w:tc>
        <w:tc>
          <w:tcPr>
            <w:tcW w:w="9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54</w:t>
            </w:r>
          </w:p>
        </w:tc>
        <w:tc>
          <w:tcPr>
            <w:tcW w:w="11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8,34</w:t>
            </w:r>
          </w:p>
        </w:tc>
      </w:tr>
      <w:tr>
        <w:trPr>
          <w:trHeight w:val="291" w:hRule="atLeast"/>
          <w:cantSplit w:val="true"/>
        </w:trPr>
        <w:tc>
          <w:tcPr>
            <w:tcW w:w="52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w:t>
            </w:r>
          </w:p>
        </w:tc>
        <w:tc>
          <w:tcPr>
            <w:tcW w:w="2044" w:type="dxa"/>
            <w:tcBorders>
              <w:top w:val="single" w:sz="4" w:space="0" w:color="000000"/>
              <w:left w:val="single" w:sz="4" w:space="0" w:color="000000"/>
              <w:bottom w:val="single" w:sz="4" w:space="0" w:color="000000"/>
              <w:right w:val="single" w:sz="4" w:space="0" w:color="000000"/>
            </w:tcBorders>
            <w:vAlign w:val="center"/>
          </w:tcPr>
          <w:p>
            <w:pPr>
              <w:pStyle w:val="Style75"/>
              <w:jc w:val="left"/>
              <w:rPr>
                <w:color w:val="000000"/>
                <w:sz w:val="20"/>
                <w:szCs w:val="20"/>
              </w:rPr>
            </w:pPr>
            <w:r>
              <w:rPr>
                <w:color w:val="000000"/>
                <w:sz w:val="20"/>
                <w:szCs w:val="20"/>
              </w:rPr>
              <w:t>д.Гребени</w:t>
            </w:r>
          </w:p>
        </w:tc>
        <w:tc>
          <w:tcPr>
            <w:tcW w:w="195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u w:val="single"/>
              </w:rPr>
            </w:pPr>
            <w:r>
              <w:rPr>
                <w:color w:val="000000"/>
                <w:sz w:val="20"/>
                <w:szCs w:val="20"/>
                <w:u w:val="single"/>
              </w:rPr>
              <w:t>243</w:t>
            </w:r>
          </w:p>
          <w:p>
            <w:pPr>
              <w:pStyle w:val="Normal"/>
              <w:ind w:hanging="0"/>
              <w:jc w:val="center"/>
              <w:rPr>
                <w:color w:val="000000"/>
                <w:sz w:val="20"/>
                <w:szCs w:val="20"/>
                <w:u w:val="single"/>
              </w:rPr>
            </w:pPr>
            <w:r>
              <w:rPr>
                <w:color w:val="000000"/>
                <w:sz w:val="20"/>
                <w:szCs w:val="20"/>
                <w:u w:val="single"/>
              </w:rPr>
              <w:t>38,88</w:t>
            </w:r>
          </w:p>
        </w:tc>
        <w:tc>
          <w:tcPr>
            <w:tcW w:w="16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9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38,88</w:t>
            </w:r>
          </w:p>
        </w:tc>
        <w:tc>
          <w:tcPr>
            <w:tcW w:w="221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46,66</w:t>
            </w:r>
          </w:p>
        </w:tc>
        <w:tc>
          <w:tcPr>
            <w:tcW w:w="13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3,89</w:t>
            </w:r>
          </w:p>
        </w:tc>
        <w:tc>
          <w:tcPr>
            <w:tcW w:w="111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17,01</w:t>
            </w:r>
          </w:p>
        </w:tc>
        <w:tc>
          <w:tcPr>
            <w:tcW w:w="95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54</w:t>
            </w:r>
          </w:p>
        </w:tc>
        <w:tc>
          <w:tcPr>
            <w:tcW w:w="11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67,55</w:t>
            </w:r>
          </w:p>
        </w:tc>
      </w:tr>
    </w:tbl>
    <w:p>
      <w:pPr>
        <w:pStyle w:val="Normal"/>
        <w:rPr>
          <w:rFonts w:eastAsia="Calibri"/>
          <w:i/>
          <w:i/>
          <w:color w:val="000000"/>
          <w:sz w:val="20"/>
          <w:szCs w:val="20"/>
        </w:rPr>
      </w:pPr>
      <w:r>
        <w:rPr>
          <w:rFonts w:eastAsia="Calibri"/>
          <w:i/>
          <w:color w:val="000000"/>
          <w:sz w:val="20"/>
          <w:szCs w:val="20"/>
        </w:rPr>
        <w:t>Примечание:</w:t>
      </w:r>
    </w:p>
    <w:p>
      <w:pPr>
        <w:pStyle w:val="Normal"/>
        <w:numPr>
          <w:ilvl w:val="0"/>
          <w:numId w:val="11"/>
        </w:numPr>
        <w:rPr>
          <w:rFonts w:eastAsia="Calibri"/>
          <w:color w:val="000000"/>
          <w:sz w:val="20"/>
          <w:szCs w:val="20"/>
        </w:rPr>
      </w:pPr>
      <w:r>
        <w:rPr>
          <w:rFonts w:eastAsia="Calibri"/>
          <w:color w:val="000000"/>
          <w:sz w:val="20"/>
          <w:szCs w:val="20"/>
        </w:rPr>
        <w:t>Столбцы (1), (2) по наименованию соответствуют таблице 4.12.1 по нормам водопотребления на 1 человека.</w:t>
      </w:r>
    </w:p>
    <w:p>
      <w:pPr>
        <w:pStyle w:val="Style80"/>
        <w:spacing w:before="0" w:after="0"/>
        <w:jc w:val="right"/>
        <w:rPr/>
      </w:pPr>
      <w:r>
        <w:rPr>
          <w:rFonts w:cs="Times New Roman" w:ascii="Times New Roman" w:hAnsi="Times New Roman"/>
          <w:color w:val="000000"/>
          <w:sz w:val="28"/>
          <w:szCs w:val="28"/>
        </w:rPr>
        <w:t>Таблица 4</w:t>
      </w:r>
      <w:r>
        <w:rPr>
          <w:rFonts w:cs="Times New Roman" w:ascii="Times New Roman" w:hAnsi="Times New Roman"/>
          <w:color w:val="000000"/>
          <w:sz w:val="28"/>
          <w:szCs w:val="28"/>
          <w:lang w:eastAsia="en-US"/>
        </w:rPr>
        <w:t>.12</w:t>
      </w:r>
      <w:r>
        <w:rPr>
          <w:rFonts w:cs="Times New Roman" w:ascii="Times New Roman" w:hAnsi="Times New Roman"/>
          <w:color w:val="000000"/>
          <w:sz w:val="28"/>
          <w:szCs w:val="28"/>
        </w:rPr>
        <w:t>.3</w:t>
      </w:r>
    </w:p>
    <w:p>
      <w:pPr>
        <w:pStyle w:val="Normal"/>
        <w:ind w:hanging="0"/>
        <w:jc w:val="center"/>
        <w:rPr>
          <w:rFonts w:eastAsia="Calibri"/>
          <w:color w:val="000000"/>
          <w:szCs w:val="28"/>
        </w:rPr>
      </w:pPr>
      <w:r>
        <w:rPr>
          <w:rFonts w:eastAsia="Calibri"/>
          <w:color w:val="000000"/>
          <w:szCs w:val="28"/>
        </w:rPr>
        <w:t xml:space="preserve">Перечень мероприятий по развитию системы водоснабжения населенных пунктов, входящих в состав </w:t>
      </w:r>
    </w:p>
    <w:p>
      <w:pPr>
        <w:pStyle w:val="Normal"/>
        <w:ind w:hanging="0"/>
        <w:jc w:val="center"/>
        <w:rPr/>
      </w:pPr>
      <w:r>
        <w:rPr>
          <w:rFonts w:eastAsia="Calibri"/>
          <w:color w:val="000000"/>
          <w:szCs w:val="28"/>
        </w:rPr>
        <w:t>Вахитовского сельского поселения Верхнеуслон</w:t>
      </w:r>
      <w:r>
        <w:rPr/>
        <w:t>ского муниципального района Республики Татарстан</w:t>
      </w:r>
    </w:p>
    <w:tbl>
      <w:tblPr>
        <w:tblW w:w="5000" w:type="pct"/>
        <w:jc w:val="left"/>
        <w:tblInd w:w="-113" w:type="dxa"/>
        <w:tblLayout w:type="fixed"/>
        <w:tblCellMar>
          <w:top w:w="0" w:type="dxa"/>
          <w:left w:w="108" w:type="dxa"/>
          <w:bottom w:w="0" w:type="dxa"/>
          <w:right w:w="108" w:type="dxa"/>
        </w:tblCellMar>
      </w:tblPr>
      <w:tblGrid>
        <w:gridCol w:w="498"/>
        <w:gridCol w:w="3188"/>
        <w:gridCol w:w="1693"/>
        <w:gridCol w:w="2490"/>
        <w:gridCol w:w="1114"/>
        <w:gridCol w:w="1123"/>
        <w:gridCol w:w="1158"/>
        <w:gridCol w:w="1464"/>
        <w:gridCol w:w="2125"/>
      </w:tblGrid>
      <w:tr>
        <w:trPr>
          <w:tblHeader w:val="true"/>
          <w:cantSplit w:val="true"/>
        </w:trPr>
        <w:tc>
          <w:tcPr>
            <w:tcW w:w="49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bookmarkStart w:id="340" w:name="_Hlk151562034"/>
            <w:bookmarkEnd w:id="340"/>
            <w:r>
              <w:rPr>
                <w:color w:val="000000"/>
                <w:sz w:val="20"/>
                <w:szCs w:val="20"/>
              </w:rPr>
              <w:t xml:space="preserve">№ </w:t>
            </w:r>
            <w:r>
              <w:rPr>
                <w:color w:val="000000"/>
                <w:sz w:val="20"/>
                <w:szCs w:val="20"/>
              </w:rPr>
              <w:t>п/п</w:t>
            </w:r>
          </w:p>
        </w:tc>
        <w:tc>
          <w:tcPr>
            <w:tcW w:w="318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Местоположение</w:t>
            </w:r>
          </w:p>
        </w:tc>
        <w:tc>
          <w:tcPr>
            <w:tcW w:w="169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Наименование объекта</w:t>
            </w:r>
          </w:p>
        </w:tc>
        <w:tc>
          <w:tcPr>
            <w:tcW w:w="249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Вид мероприятия</w:t>
            </w:r>
          </w:p>
        </w:tc>
        <w:tc>
          <w:tcPr>
            <w:tcW w:w="111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Ед. измерения</w:t>
            </w:r>
          </w:p>
        </w:tc>
        <w:tc>
          <w:tcPr>
            <w:tcW w:w="112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Мощность</w:t>
            </w:r>
          </w:p>
        </w:tc>
        <w:tc>
          <w:tcPr>
            <w:tcW w:w="2622"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Сроки реализации</w:t>
            </w:r>
          </w:p>
        </w:tc>
        <w:tc>
          <w:tcPr>
            <w:tcW w:w="212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Источник мероприятия</w:t>
            </w:r>
          </w:p>
        </w:tc>
      </w:tr>
      <w:tr>
        <w:trPr>
          <w:tblHeader w:val="true"/>
          <w:cantSplit w:val="true"/>
        </w:trPr>
        <w:tc>
          <w:tcPr>
            <w:tcW w:w="49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left"/>
              <w:rPr>
                <w:color w:val="000000"/>
                <w:sz w:val="20"/>
                <w:szCs w:val="20"/>
              </w:rPr>
            </w:pPr>
            <w:r>
              <w:rPr>
                <w:color w:val="000000"/>
                <w:sz w:val="20"/>
                <w:szCs w:val="20"/>
              </w:rPr>
            </w:r>
          </w:p>
        </w:tc>
        <w:tc>
          <w:tcPr>
            <w:tcW w:w="318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left"/>
              <w:rPr>
                <w:color w:val="000000"/>
                <w:sz w:val="20"/>
                <w:szCs w:val="20"/>
              </w:rPr>
            </w:pPr>
            <w:r>
              <w:rPr>
                <w:color w:val="000000"/>
                <w:sz w:val="20"/>
                <w:szCs w:val="20"/>
              </w:rPr>
            </w:r>
          </w:p>
        </w:tc>
        <w:tc>
          <w:tcPr>
            <w:tcW w:w="169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left"/>
              <w:rPr>
                <w:color w:val="000000"/>
                <w:sz w:val="20"/>
                <w:szCs w:val="20"/>
              </w:rPr>
            </w:pPr>
            <w:r>
              <w:rPr>
                <w:color w:val="000000"/>
                <w:sz w:val="20"/>
                <w:szCs w:val="20"/>
              </w:rPr>
            </w:r>
          </w:p>
        </w:tc>
        <w:tc>
          <w:tcPr>
            <w:tcW w:w="249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left"/>
              <w:rPr>
                <w:color w:val="000000"/>
                <w:sz w:val="20"/>
                <w:szCs w:val="20"/>
              </w:rPr>
            </w:pPr>
            <w:r>
              <w:rPr>
                <w:color w:val="000000"/>
                <w:sz w:val="20"/>
                <w:szCs w:val="20"/>
              </w:rPr>
            </w:r>
          </w:p>
        </w:tc>
        <w:tc>
          <w:tcPr>
            <w:tcW w:w="111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left"/>
              <w:rPr>
                <w:color w:val="000000"/>
                <w:sz w:val="20"/>
                <w:szCs w:val="20"/>
              </w:rPr>
            </w:pPr>
            <w:r>
              <w:rPr>
                <w:color w:val="000000"/>
                <w:sz w:val="20"/>
                <w:szCs w:val="20"/>
              </w:rPr>
            </w:r>
          </w:p>
        </w:tc>
        <w:tc>
          <w:tcPr>
            <w:tcW w:w="11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left"/>
              <w:rPr>
                <w:color w:val="000000"/>
                <w:sz w:val="20"/>
                <w:szCs w:val="20"/>
              </w:rPr>
            </w:pPr>
            <w:r>
              <w:rPr>
                <w:color w:val="000000"/>
                <w:sz w:val="20"/>
                <w:szCs w:val="20"/>
              </w:rPr>
            </w:r>
          </w:p>
        </w:tc>
        <w:tc>
          <w:tcPr>
            <w:tcW w:w="115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Первая очередь (до 2032 г.)</w:t>
            </w:r>
          </w:p>
        </w:tc>
        <w:tc>
          <w:tcPr>
            <w:tcW w:w="146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Расчетный срок</w:t>
            </w:r>
          </w:p>
          <w:p>
            <w:pPr>
              <w:pStyle w:val="Normal"/>
              <w:ind w:hanging="0"/>
              <w:jc w:val="center"/>
              <w:rPr/>
            </w:pPr>
            <w:r>
              <w:rPr>
                <w:color w:val="000000"/>
                <w:sz w:val="20"/>
                <w:szCs w:val="20"/>
              </w:rPr>
              <w:t xml:space="preserve"> </w:t>
            </w:r>
            <w:r>
              <w:rPr>
                <w:color w:val="000000"/>
                <w:sz w:val="20"/>
                <w:szCs w:val="20"/>
              </w:rPr>
              <w:t>(2033-2047 гг.)</w:t>
            </w:r>
          </w:p>
        </w:tc>
        <w:tc>
          <w:tcPr>
            <w:tcW w:w="21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left"/>
              <w:rPr>
                <w:color w:val="000000"/>
                <w:sz w:val="20"/>
                <w:szCs w:val="20"/>
              </w:rPr>
            </w:pPr>
            <w:r>
              <w:rPr>
                <w:color w:val="000000"/>
                <w:sz w:val="20"/>
                <w:szCs w:val="20"/>
              </w:rPr>
            </w:r>
          </w:p>
        </w:tc>
      </w:tr>
      <w:tr>
        <w:trPr>
          <w:cantSplit w:val="true"/>
        </w:trPr>
        <w:tc>
          <w:tcPr>
            <w:tcW w:w="14853" w:type="dxa"/>
            <w:gridSpan w:val="9"/>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aps/>
                <w:color w:val="000000"/>
                <w:sz w:val="20"/>
                <w:szCs w:val="20"/>
              </w:rPr>
            </w:pPr>
            <w:r>
              <w:rPr>
                <w:caps/>
                <w:color w:val="000000"/>
                <w:sz w:val="20"/>
                <w:szCs w:val="20"/>
              </w:rPr>
              <w:t>МЕРОПРИЯТИЯ Местного (районного) значения</w:t>
            </w:r>
          </w:p>
        </w:tc>
      </w:tr>
      <w:tr>
        <w:trPr>
          <w:cantSplit w:val="true"/>
        </w:trPr>
        <w:tc>
          <w:tcPr>
            <w:tcW w:w="49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318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д.Гребени</w:t>
            </w:r>
          </w:p>
        </w:tc>
        <w:tc>
          <w:tcPr>
            <w:tcW w:w="169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Водонапорная башня, скважина</w:t>
            </w:r>
          </w:p>
        </w:tc>
        <w:tc>
          <w:tcPr>
            <w:tcW w:w="249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Новое строительство</w:t>
            </w:r>
          </w:p>
          <w:p>
            <w:pPr>
              <w:pStyle w:val="Normal"/>
              <w:ind w:hanging="0"/>
              <w:jc w:val="center"/>
              <w:rPr>
                <w:color w:val="000000"/>
                <w:sz w:val="20"/>
                <w:szCs w:val="20"/>
              </w:rPr>
            </w:pPr>
            <w:r>
              <w:rPr>
                <w:color w:val="000000"/>
                <w:sz w:val="20"/>
                <w:szCs w:val="20"/>
              </w:rPr>
              <w:t>(бурение скважин в соответствии с потребностями населения)</w:t>
            </w:r>
          </w:p>
        </w:tc>
        <w:tc>
          <w:tcPr>
            <w:tcW w:w="111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шт.</w:t>
            </w:r>
          </w:p>
        </w:tc>
        <w:tc>
          <w:tcPr>
            <w:tcW w:w="112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15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46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212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Генеральный план Вахитовского СП</w:t>
            </w:r>
          </w:p>
        </w:tc>
      </w:tr>
      <w:tr>
        <w:trPr>
          <w:cantSplit w:val="true"/>
        </w:trPr>
        <w:tc>
          <w:tcPr>
            <w:tcW w:w="49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w:t>
            </w:r>
          </w:p>
        </w:tc>
        <w:tc>
          <w:tcPr>
            <w:tcW w:w="318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д.Гребени</w:t>
            </w:r>
          </w:p>
        </w:tc>
        <w:tc>
          <w:tcPr>
            <w:tcW w:w="169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Сети водоснабжения</w:t>
            </w:r>
          </w:p>
        </w:tc>
        <w:tc>
          <w:tcPr>
            <w:tcW w:w="249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Новое строительство</w:t>
            </w:r>
          </w:p>
        </w:tc>
        <w:tc>
          <w:tcPr>
            <w:tcW w:w="111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км</w:t>
            </w:r>
          </w:p>
        </w:tc>
        <w:tc>
          <w:tcPr>
            <w:tcW w:w="112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15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146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2125" w:type="dxa"/>
            <w:tcBorders>
              <w:top w:val="single" w:sz="4" w:space="0" w:color="000000"/>
              <w:left w:val="single" w:sz="4" w:space="0" w:color="000000"/>
              <w:bottom w:val="single" w:sz="4" w:space="0" w:color="000000"/>
              <w:right w:val="single" w:sz="4" w:space="0" w:color="000000"/>
            </w:tcBorders>
          </w:tcPr>
          <w:p>
            <w:pPr>
              <w:pStyle w:val="Normal"/>
              <w:ind w:hanging="0"/>
              <w:jc w:val="center"/>
              <w:rPr/>
            </w:pPr>
            <w:r>
              <w:rPr>
                <w:color w:val="000000"/>
                <w:sz w:val="20"/>
                <w:szCs w:val="20"/>
              </w:rPr>
              <w:t>Генеральный план Вахитовского СП</w:t>
            </w:r>
          </w:p>
        </w:tc>
      </w:tr>
    </w:tbl>
    <w:p>
      <w:pPr>
        <w:pStyle w:val="Normal"/>
        <w:jc w:val="center"/>
        <w:rPr>
          <w:color w:val="FF0066"/>
        </w:rPr>
      </w:pPr>
      <w:r>
        <w:rPr>
          <w:color w:val="FF0066"/>
        </w:rPr>
      </w:r>
    </w:p>
    <w:p>
      <w:pPr>
        <w:sectPr>
          <w:footerReference w:type="default" r:id="rId143"/>
          <w:footerReference w:type="first" r:id="rId144"/>
          <w:footnotePr>
            <w:numFmt w:val="decimal"/>
          </w:footnotePr>
          <w:type w:val="nextPage"/>
          <w:pgSz w:orient="landscape" w:w="16838" w:h="11906"/>
          <w:pgMar w:left="1134" w:right="851" w:gutter="0" w:header="0" w:top="851" w:footer="709" w:bottom="851"/>
          <w:pgNumType w:fmt="decimal"/>
          <w:formProt w:val="false"/>
          <w:titlePg/>
          <w:textDirection w:val="lrTb"/>
          <w:docGrid w:type="default" w:linePitch="360" w:charSpace="0"/>
        </w:sectPr>
        <w:pStyle w:val="Normal"/>
        <w:jc w:val="center"/>
        <w:rPr>
          <w:color w:val="FF0066"/>
          <w:szCs w:val="28"/>
        </w:rPr>
      </w:pPr>
      <w:r>
        <w:rPr>
          <w:color w:val="FF0066"/>
          <w:szCs w:val="28"/>
        </w:rPr>
      </w:r>
    </w:p>
    <w:p>
      <w:pPr>
        <w:pStyle w:val="Normal"/>
        <w:jc w:val="both"/>
        <w:rPr/>
      </w:pPr>
      <w:r>
        <w:rPr>
          <w:rFonts w:eastAsia="Calibri"/>
          <w:color w:val="000000"/>
          <w:szCs w:val="28"/>
        </w:rPr>
        <w:t>В целях улучшения благоустройства жилых зданий и санитарно-гигиенических условий жизни населения генеральным планом на первую очередь (до 2032 г.) и на расчетный срок (до 2047г.) также предусматриваются следующие мероприятия:</w:t>
      </w:r>
    </w:p>
    <w:p>
      <w:pPr>
        <w:pStyle w:val="Normal"/>
        <w:numPr>
          <w:ilvl w:val="0"/>
          <w:numId w:val="12"/>
        </w:numPr>
        <w:tabs>
          <w:tab w:val="clear" w:pos="709"/>
          <w:tab w:val="left" w:pos="1134" w:leader="none"/>
        </w:tabs>
        <w:spacing w:before="0" w:after="0"/>
        <w:ind w:left="0" w:firstLine="709"/>
        <w:contextualSpacing/>
        <w:jc w:val="both"/>
        <w:rPr>
          <w:rFonts w:eastAsia="Calibri"/>
          <w:color w:val="000000"/>
          <w:szCs w:val="28"/>
        </w:rPr>
      </w:pPr>
      <w:r>
        <w:rPr>
          <w:rFonts w:eastAsia="Calibri"/>
          <w:color w:val="000000"/>
          <w:szCs w:val="28"/>
        </w:rPr>
        <w:t>для профилактики возникновения аварий и утечек на сетях водопровода и для уменьшения объемов потерь необходимо проводить своевременную замену запорно-регулирующей арматуры и водопроводных сетей с истекшим эксплуатационным ресурсом. Запорно-регулирующая арматура необходима для локализации аварийных участков водопровода и отключения наименьшего числа потребителей при производстве аварийно-восстановительных работ;</w:t>
      </w:r>
    </w:p>
    <w:p>
      <w:pPr>
        <w:pStyle w:val="Normal"/>
        <w:numPr>
          <w:ilvl w:val="0"/>
          <w:numId w:val="12"/>
        </w:numPr>
        <w:ind w:left="0" w:firstLine="709"/>
        <w:jc w:val="both"/>
        <w:rPr>
          <w:color w:val="000000"/>
          <w:szCs w:val="28"/>
        </w:rPr>
      </w:pPr>
      <w:r>
        <w:rPr>
          <w:color w:val="000000"/>
          <w:szCs w:val="28"/>
        </w:rPr>
        <w:t>оснащение приборами учета водонапорных башен и артезианских скважин, внедрение системы диспетчеризации;</w:t>
      </w:r>
    </w:p>
    <w:p>
      <w:pPr>
        <w:pStyle w:val="Normal"/>
        <w:numPr>
          <w:ilvl w:val="0"/>
          <w:numId w:val="12"/>
        </w:numPr>
        <w:ind w:left="0" w:firstLine="709"/>
        <w:jc w:val="both"/>
        <w:rPr>
          <w:color w:val="000000"/>
          <w:szCs w:val="28"/>
        </w:rPr>
      </w:pPr>
      <w:r>
        <w:rPr>
          <w:color w:val="000000"/>
          <w:szCs w:val="28"/>
        </w:rPr>
        <w:t>усиление контроля по рациональному расходованию воды потребителями и совершенствованию системы мониторинга качества воды в системе водоснабжения.</w:t>
      </w:r>
    </w:p>
    <w:p>
      <w:pPr>
        <w:pStyle w:val="Normal"/>
        <w:jc w:val="both"/>
        <w:rPr>
          <w:color w:val="000000"/>
          <w:szCs w:val="28"/>
        </w:rPr>
      </w:pPr>
      <w:r>
        <w:rPr>
          <w:color w:val="000000"/>
          <w:szCs w:val="28"/>
        </w:rPr>
        <w:t xml:space="preserve">Мероприятия по обеспечению сетями/объектами водоснабжения должны быть выполнены до начала освоения участков нового жилищного строительства. </w:t>
      </w:r>
    </w:p>
    <w:p>
      <w:pPr>
        <w:pStyle w:val="Normal"/>
        <w:jc w:val="both"/>
        <w:rPr>
          <w:color w:val="000000"/>
          <w:szCs w:val="28"/>
        </w:rPr>
      </w:pPr>
      <w:r>
        <w:rPr>
          <w:color w:val="000000"/>
          <w:szCs w:val="28"/>
        </w:rPr>
        <w:t>Местоположение и мощность новых объектов водоснабжения, протяженность водопроводных сетей уточняются на последующих стадиях проектирования.</w:t>
      </w:r>
    </w:p>
    <w:p>
      <w:pPr>
        <w:pStyle w:val="Normal"/>
        <w:jc w:val="both"/>
        <w:rPr>
          <w:color w:val="000000"/>
          <w:szCs w:val="28"/>
        </w:rPr>
      </w:pPr>
      <w:r>
        <w:rPr>
          <w:color w:val="000000"/>
          <w:szCs w:val="28"/>
        </w:rPr>
        <w:t>Генеральным планом предлагаются организационные мероприятия, направленные на отказ от использования устаревших и неэффективных технологий и переход на принципы наилучших доступных технологий с внедрением современных инновационных технологий.</w:t>
      </w:r>
    </w:p>
    <w:p>
      <w:pPr>
        <w:pStyle w:val="Normal"/>
        <w:jc w:val="both"/>
        <w:rPr>
          <w:color w:val="FF0066"/>
          <w:szCs w:val="28"/>
        </w:rPr>
      </w:pPr>
      <w:r>
        <w:rPr>
          <w:color w:val="FF0066"/>
          <w:szCs w:val="28"/>
        </w:rPr>
      </w:r>
    </w:p>
    <w:p>
      <w:pPr>
        <w:pStyle w:val="Normal"/>
        <w:ind w:left="426" w:hanging="0"/>
        <w:jc w:val="both"/>
        <w:rPr>
          <w:b/>
          <w:color w:val="000000"/>
          <w:szCs w:val="28"/>
        </w:rPr>
      </w:pPr>
      <w:r>
        <w:rPr>
          <w:b/>
          <w:color w:val="000000"/>
          <w:szCs w:val="28"/>
        </w:rPr>
        <w:t>Канализация</w:t>
      </w:r>
    </w:p>
    <w:p>
      <w:pPr>
        <w:pStyle w:val="Normal"/>
        <w:jc w:val="both"/>
        <w:rPr>
          <w:color w:val="000000"/>
          <w:szCs w:val="28"/>
          <w:u w:val="single"/>
        </w:rPr>
      </w:pPr>
      <w:r>
        <w:rPr>
          <w:color w:val="000000"/>
          <w:szCs w:val="28"/>
          <w:u w:val="single"/>
        </w:rPr>
        <w:t>Расчетные расходы</w:t>
      </w:r>
    </w:p>
    <w:p>
      <w:pPr>
        <w:pStyle w:val="Normal"/>
        <w:jc w:val="both"/>
        <w:rPr>
          <w:color w:val="000000"/>
          <w:szCs w:val="28"/>
        </w:rPr>
      </w:pPr>
      <w:r>
        <w:rPr>
          <w:color w:val="000000"/>
          <w:szCs w:val="28"/>
        </w:rPr>
        <w:t>При проектировании системы канализации населенных пунктов расчетное удельное среднесуточное водоотведение бытовых сточных вод от жилых и общественных зданий следует принимать равное расчетному удельному среднесуточному водопотреблению без учета расхода воды на полив территорий и зеленых насаждений.</w:t>
      </w:r>
    </w:p>
    <w:p>
      <w:pPr>
        <w:pStyle w:val="Normal"/>
        <w:rPr/>
      </w:pPr>
      <w:r>
        <w:rPr>
          <w:color w:val="000000"/>
          <w:szCs w:val="28"/>
        </w:rPr>
        <w:t>Удельные нормы водоотведения представлены в таблице 4.12.4.</w:t>
      </w:r>
    </w:p>
    <w:p>
      <w:pPr>
        <w:pStyle w:val="Normal"/>
        <w:jc w:val="right"/>
        <w:rPr/>
      </w:pPr>
      <w:r>
        <w:rPr>
          <w:color w:val="000000"/>
          <w:szCs w:val="28"/>
        </w:rPr>
        <w:t>Таблица 4.12.4</w:t>
      </w:r>
    </w:p>
    <w:p>
      <w:pPr>
        <w:pStyle w:val="Normal"/>
        <w:jc w:val="center"/>
        <w:rPr/>
      </w:pPr>
      <w:r>
        <w:rPr>
          <w:color w:val="000000"/>
          <w:szCs w:val="28"/>
        </w:rPr>
        <w:t>Удельные нормы водоотведения на территории Вахитовского сельского поселения Верхнеуслонского</w:t>
      </w:r>
      <w:r>
        <w:rPr/>
        <w:t xml:space="preserve"> муниципального района Республики Татарстан</w:t>
      </w:r>
    </w:p>
    <w:tbl>
      <w:tblPr>
        <w:tblW w:w="5000" w:type="pct"/>
        <w:jc w:val="center"/>
        <w:tblInd w:w="0" w:type="dxa"/>
        <w:tblLayout w:type="fixed"/>
        <w:tblCellMar>
          <w:top w:w="0" w:type="dxa"/>
          <w:left w:w="108" w:type="dxa"/>
          <w:bottom w:w="0" w:type="dxa"/>
          <w:right w:w="108" w:type="dxa"/>
        </w:tblCellMar>
      </w:tblPr>
      <w:tblGrid>
        <w:gridCol w:w="585"/>
        <w:gridCol w:w="7280"/>
        <w:gridCol w:w="2056"/>
      </w:tblGrid>
      <w:tr>
        <w:trPr/>
        <w:tc>
          <w:tcPr>
            <w:tcW w:w="58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 xml:space="preserve">№ </w:t>
            </w:r>
            <w:r>
              <w:rPr>
                <w:color w:val="000000"/>
                <w:sz w:val="20"/>
                <w:szCs w:val="20"/>
              </w:rPr>
              <w:t>п/п</w:t>
            </w:r>
          </w:p>
        </w:tc>
        <w:tc>
          <w:tcPr>
            <w:tcW w:w="728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Степень благоустройства жилых домов</w:t>
            </w:r>
          </w:p>
        </w:tc>
        <w:tc>
          <w:tcPr>
            <w:tcW w:w="2056" w:type="dxa"/>
            <w:tcBorders>
              <w:top w:val="single" w:sz="4" w:space="0" w:color="000000"/>
              <w:left w:val="single" w:sz="4" w:space="0" w:color="000000"/>
              <w:bottom w:val="single" w:sz="4" w:space="0" w:color="000000"/>
              <w:right w:val="single" w:sz="4" w:space="0" w:color="000000"/>
            </w:tcBorders>
          </w:tcPr>
          <w:p>
            <w:pPr>
              <w:pStyle w:val="Normal"/>
              <w:ind w:hanging="0"/>
              <w:jc w:val="center"/>
              <w:rPr/>
            </w:pPr>
            <w:r>
              <w:rPr>
                <w:color w:val="000000"/>
                <w:sz w:val="20"/>
                <w:szCs w:val="20"/>
                <w:lang w:val="ru-RU" w:eastAsia="ru-RU"/>
              </w:rPr>
              <w:drawing>
                <wp:inline distT="0" distB="0" distL="0" distR="0">
                  <wp:extent cx="152400" cy="190500"/>
                  <wp:effectExtent l="0" t="0" r="0" b="0"/>
                  <wp:docPr id="58"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1" descr=""/>
                          <pic:cNvPicPr>
                            <a:picLocks noChangeAspect="1" noChangeArrowheads="1"/>
                          </pic:cNvPicPr>
                        </pic:nvPicPr>
                        <pic:blipFill>
                          <a:blip r:embed="rId145"/>
                          <a:srcRect l="-210" t="-189" r="-210" b="-189"/>
                          <a:stretch>
                            <a:fillRect/>
                          </a:stretch>
                        </pic:blipFill>
                        <pic:spPr bwMode="auto">
                          <a:xfrm>
                            <a:off x="0" y="0"/>
                            <a:ext cx="152400" cy="190500"/>
                          </a:xfrm>
                          <a:prstGeom prst="rect">
                            <a:avLst/>
                          </a:prstGeom>
                        </pic:spPr>
                      </pic:pic>
                    </a:graphicData>
                  </a:graphic>
                </wp:inline>
              </w:drawing>
            </w:r>
            <w:r>
              <w:rPr>
                <w:color w:val="000000"/>
                <w:sz w:val="20"/>
                <w:szCs w:val="20"/>
              </w:rPr>
              <w:t>, л/сут</w:t>
            </w:r>
          </w:p>
        </w:tc>
      </w:tr>
      <w:tr>
        <w:trPr/>
        <w:tc>
          <w:tcPr>
            <w:tcW w:w="58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7280" w:type="dxa"/>
            <w:tcBorders>
              <w:top w:val="single" w:sz="4" w:space="0" w:color="000000"/>
              <w:left w:val="single" w:sz="4" w:space="0" w:color="000000"/>
              <w:bottom w:val="single" w:sz="4" w:space="0" w:color="000000"/>
              <w:right w:val="single" w:sz="4" w:space="0" w:color="000000"/>
            </w:tcBorders>
          </w:tcPr>
          <w:p>
            <w:pPr>
              <w:pStyle w:val="Normal"/>
              <w:ind w:hanging="0"/>
              <w:jc w:val="left"/>
              <w:rPr>
                <w:color w:val="000000"/>
                <w:sz w:val="20"/>
                <w:szCs w:val="20"/>
              </w:rPr>
            </w:pPr>
            <w:r>
              <w:rPr>
                <w:color w:val="000000"/>
                <w:sz w:val="20"/>
                <w:szCs w:val="20"/>
              </w:rPr>
              <w:t>Застройка зданиями, оборудованными внутренним водопроводом и канализацией, с</w:t>
            </w:r>
          </w:p>
          <w:p>
            <w:pPr>
              <w:pStyle w:val="Normal"/>
              <w:ind w:hanging="0"/>
              <w:jc w:val="left"/>
              <w:rPr>
                <w:color w:val="000000"/>
                <w:sz w:val="20"/>
                <w:szCs w:val="20"/>
              </w:rPr>
            </w:pPr>
            <w:r>
              <w:rPr>
                <w:color w:val="000000"/>
                <w:sz w:val="20"/>
                <w:szCs w:val="20"/>
              </w:rPr>
              <w:t>ванными и местными водонагревателями</w:t>
            </w:r>
          </w:p>
        </w:tc>
        <w:tc>
          <w:tcPr>
            <w:tcW w:w="20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140-180</w:t>
            </w:r>
          </w:p>
        </w:tc>
      </w:tr>
      <w:tr>
        <w:trPr/>
        <w:tc>
          <w:tcPr>
            <w:tcW w:w="58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w:t>
            </w:r>
          </w:p>
        </w:tc>
        <w:tc>
          <w:tcPr>
            <w:tcW w:w="7280" w:type="dxa"/>
            <w:tcBorders>
              <w:top w:val="single" w:sz="4" w:space="0" w:color="000000"/>
              <w:left w:val="single" w:sz="4" w:space="0" w:color="000000"/>
              <w:bottom w:val="single" w:sz="4" w:space="0" w:color="000000"/>
              <w:right w:val="single" w:sz="4" w:space="0" w:color="000000"/>
            </w:tcBorders>
          </w:tcPr>
          <w:p>
            <w:pPr>
              <w:pStyle w:val="Normal"/>
              <w:ind w:hanging="0"/>
              <w:jc w:val="left"/>
              <w:rPr>
                <w:color w:val="000000"/>
                <w:sz w:val="20"/>
                <w:szCs w:val="20"/>
              </w:rPr>
            </w:pPr>
            <w:r>
              <w:rPr>
                <w:color w:val="000000"/>
                <w:sz w:val="20"/>
                <w:szCs w:val="20"/>
              </w:rPr>
              <w:t>То же, с централизованным горячим водоснабжением</w:t>
            </w:r>
          </w:p>
        </w:tc>
        <w:tc>
          <w:tcPr>
            <w:tcW w:w="20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165-180</w:t>
            </w:r>
          </w:p>
        </w:tc>
      </w:tr>
    </w:tbl>
    <w:p>
      <w:pPr>
        <w:pStyle w:val="Normal"/>
        <w:rPr>
          <w:color w:val="000000"/>
          <w:szCs w:val="28"/>
          <w:highlight w:val="green"/>
        </w:rPr>
      </w:pPr>
      <w:r>
        <w:rPr>
          <w:color w:val="000000"/>
          <w:szCs w:val="28"/>
          <w:highlight w:val="green"/>
        </w:rPr>
      </w:r>
    </w:p>
    <w:p>
      <w:pPr>
        <w:pStyle w:val="Normal"/>
        <w:rPr/>
      </w:pPr>
      <w:r>
        <w:rPr>
          <w:color w:val="000000"/>
          <w:szCs w:val="28"/>
        </w:rPr>
        <w:t>Результаты расчетов на существующее положение, на все сроки реализации генерального плана представлены в таблице 4.12.5.</w:t>
      </w:r>
    </w:p>
    <w:p>
      <w:pPr>
        <w:pStyle w:val="Normal"/>
        <w:rPr>
          <w:color w:val="000000"/>
          <w:szCs w:val="28"/>
        </w:rPr>
      </w:pPr>
      <w:r>
        <w:rPr>
          <w:color w:val="000000"/>
          <w:szCs w:val="28"/>
        </w:rPr>
        <w:t>Мероприятия по развитию системы водоотведения поселения представлены в таблице 4.12.6.</w:t>
      </w:r>
    </w:p>
    <w:p>
      <w:pPr>
        <w:pStyle w:val="Normal"/>
        <w:rPr>
          <w:color w:val="FF0066"/>
          <w:szCs w:val="28"/>
        </w:rPr>
      </w:pPr>
      <w:r>
        <w:rPr>
          <w:color w:val="FF0066"/>
          <w:szCs w:val="28"/>
        </w:rPr>
      </w:r>
    </w:p>
    <w:p>
      <w:pPr>
        <w:sectPr>
          <w:footerReference w:type="default" r:id="rId146"/>
          <w:footerReference w:type="first" r:id="rId147"/>
          <w:footnotePr>
            <w:numFmt w:val="decimal"/>
          </w:footnotePr>
          <w:type w:val="nextPage"/>
          <w:pgSz w:w="11906" w:h="16838"/>
          <w:pgMar w:left="1134" w:right="851" w:gutter="0" w:header="0" w:top="851" w:footer="708" w:bottom="851"/>
          <w:pgNumType w:fmt="decimal"/>
          <w:formProt w:val="false"/>
          <w:textDirection w:val="lrTb"/>
          <w:docGrid w:type="default" w:linePitch="360" w:charSpace="0"/>
        </w:sectPr>
        <w:pStyle w:val="Normal"/>
        <w:rPr>
          <w:color w:val="FF0066"/>
          <w:szCs w:val="28"/>
        </w:rPr>
      </w:pPr>
      <w:r>
        <w:rPr>
          <w:color w:val="FF0066"/>
          <w:szCs w:val="28"/>
        </w:rPr>
      </w:r>
    </w:p>
    <w:p>
      <w:pPr>
        <w:pStyle w:val="Normal"/>
        <w:jc w:val="right"/>
        <w:rPr>
          <w:color w:val="000000"/>
          <w:szCs w:val="28"/>
        </w:rPr>
      </w:pPr>
      <w:r>
        <w:rPr>
          <w:color w:val="000000"/>
          <w:szCs w:val="28"/>
        </w:rPr>
        <w:t>Таблица 4.12.5</w:t>
      </w:r>
    </w:p>
    <w:p>
      <w:pPr>
        <w:pStyle w:val="Normal"/>
        <w:jc w:val="center"/>
        <w:rPr/>
      </w:pPr>
      <w:r>
        <w:rPr>
          <w:color w:val="000000"/>
          <w:szCs w:val="28"/>
        </w:rPr>
        <w:t xml:space="preserve">Расчетное водоотведение населением Вахитовского сельского поселения </w:t>
      </w:r>
    </w:p>
    <w:p>
      <w:pPr>
        <w:pStyle w:val="Normal"/>
        <w:jc w:val="center"/>
        <w:rPr/>
      </w:pPr>
      <w:r>
        <w:rPr>
          <w:color w:val="000000"/>
          <w:szCs w:val="28"/>
        </w:rPr>
        <w:t>Верхнеуслонского</w:t>
      </w:r>
      <w:r>
        <w:rPr/>
        <w:t xml:space="preserve"> муниципального района Республики Татарстан, м3/сутки</w:t>
      </w:r>
    </w:p>
    <w:tbl>
      <w:tblPr>
        <w:tblW w:w="15030" w:type="dxa"/>
        <w:jc w:val="center"/>
        <w:tblInd w:w="0" w:type="dxa"/>
        <w:tblLayout w:type="fixed"/>
        <w:tblCellMar>
          <w:top w:w="0" w:type="dxa"/>
          <w:left w:w="108" w:type="dxa"/>
          <w:bottom w:w="0" w:type="dxa"/>
          <w:right w:w="108" w:type="dxa"/>
        </w:tblCellMar>
      </w:tblPr>
      <w:tblGrid>
        <w:gridCol w:w="623"/>
        <w:gridCol w:w="2333"/>
        <w:gridCol w:w="2227"/>
        <w:gridCol w:w="1867"/>
        <w:gridCol w:w="2200"/>
        <w:gridCol w:w="2519"/>
        <w:gridCol w:w="1530"/>
        <w:gridCol w:w="42"/>
        <w:gridCol w:w="1689"/>
      </w:tblGrid>
      <w:tr>
        <w:trPr>
          <w:trHeight w:val="23" w:hRule="atLeast"/>
          <w:cantSplit w:val="true"/>
        </w:trPr>
        <w:tc>
          <w:tcPr>
            <w:tcW w:w="62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 xml:space="preserve">№ </w:t>
            </w:r>
            <w:r>
              <w:rPr>
                <w:color w:val="000000"/>
                <w:sz w:val="20"/>
                <w:szCs w:val="20"/>
              </w:rPr>
              <w:t>п/п</w:t>
            </w:r>
          </w:p>
        </w:tc>
        <w:tc>
          <w:tcPr>
            <w:tcW w:w="233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 xml:space="preserve">Наименование населенного пункта, входящего в состав </w:t>
            </w:r>
          </w:p>
          <w:p>
            <w:pPr>
              <w:pStyle w:val="Normal"/>
              <w:ind w:hanging="0"/>
              <w:jc w:val="center"/>
              <w:rPr>
                <w:color w:val="000000"/>
                <w:sz w:val="20"/>
                <w:szCs w:val="20"/>
              </w:rPr>
            </w:pPr>
            <w:r>
              <w:rPr>
                <w:color w:val="000000"/>
                <w:sz w:val="20"/>
                <w:szCs w:val="20"/>
              </w:rPr>
              <w:t>МО г.Тетюши</w:t>
            </w:r>
          </w:p>
        </w:tc>
        <w:tc>
          <w:tcPr>
            <w:tcW w:w="4094"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Степень благоустройства жилых домов</w:t>
            </w:r>
          </w:p>
          <w:p>
            <w:pPr>
              <w:pStyle w:val="Normal"/>
              <w:ind w:hanging="0"/>
              <w:jc w:val="center"/>
              <w:rPr>
                <w:color w:val="000000"/>
                <w:sz w:val="20"/>
                <w:szCs w:val="20"/>
                <w:u w:val="single"/>
              </w:rPr>
            </w:pPr>
            <w:r>
              <w:rPr>
                <w:color w:val="000000"/>
                <w:sz w:val="20"/>
                <w:szCs w:val="20"/>
                <w:u w:val="single"/>
              </w:rPr>
              <w:t>Число жителей</w:t>
            </w:r>
          </w:p>
          <w:p>
            <w:pPr>
              <w:pStyle w:val="Normal"/>
              <w:ind w:hanging="0"/>
              <w:jc w:val="center"/>
              <w:rPr/>
            </w:pPr>
            <w:r>
              <w:rPr>
                <w:color w:val="000000"/>
                <w:sz w:val="20"/>
                <w:szCs w:val="20"/>
              </w:rPr>
              <w:t>Среднесуточ.расход, м</w:t>
            </w:r>
            <w:r>
              <w:rPr>
                <w:color w:val="000000"/>
                <w:sz w:val="20"/>
                <w:szCs w:val="20"/>
                <w:vertAlign w:val="superscript"/>
              </w:rPr>
              <w:t>3</w:t>
            </w:r>
            <w:r>
              <w:rPr>
                <w:color w:val="000000"/>
                <w:sz w:val="20"/>
                <w:szCs w:val="20"/>
              </w:rPr>
              <w:t>/сут</w:t>
            </w:r>
          </w:p>
        </w:tc>
        <w:tc>
          <w:tcPr>
            <w:tcW w:w="220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Среднесуточные расходы водопотребления, Qср</w:t>
            </w:r>
          </w:p>
        </w:tc>
        <w:tc>
          <w:tcPr>
            <w:tcW w:w="251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Расчетный расход воды в сутки наибольшего водопотребления, Qmах</w:t>
            </w:r>
          </w:p>
        </w:tc>
        <w:tc>
          <w:tcPr>
            <w:tcW w:w="1572" w:type="dxa"/>
            <w:gridSpan w:val="2"/>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 xml:space="preserve">Неучтенные </w:t>
            </w:r>
          </w:p>
          <w:p>
            <w:pPr>
              <w:pStyle w:val="Normal"/>
              <w:ind w:hanging="0"/>
              <w:jc w:val="center"/>
              <w:rPr>
                <w:color w:val="000000"/>
                <w:sz w:val="20"/>
                <w:szCs w:val="20"/>
              </w:rPr>
            </w:pPr>
            <w:r>
              <w:rPr>
                <w:color w:val="000000"/>
                <w:sz w:val="20"/>
                <w:szCs w:val="20"/>
              </w:rPr>
              <w:t>расходы</w:t>
            </w:r>
          </w:p>
        </w:tc>
        <w:tc>
          <w:tcPr>
            <w:tcW w:w="168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Итого</w:t>
            </w:r>
          </w:p>
        </w:tc>
      </w:tr>
      <w:tr>
        <w:trPr>
          <w:cantSplit w:val="true"/>
        </w:trPr>
        <w:tc>
          <w:tcPr>
            <w:tcW w:w="6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center"/>
              <w:rPr>
                <w:color w:val="000000"/>
                <w:sz w:val="20"/>
                <w:szCs w:val="20"/>
              </w:rPr>
            </w:pPr>
            <w:r>
              <w:rPr>
                <w:color w:val="000000"/>
                <w:sz w:val="20"/>
                <w:szCs w:val="20"/>
              </w:rPr>
            </w:r>
          </w:p>
        </w:tc>
        <w:tc>
          <w:tcPr>
            <w:tcW w:w="23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keepNext w:val="true"/>
              <w:numPr>
                <w:ilvl w:val="0"/>
                <w:numId w:val="0"/>
              </w:numPr>
              <w:snapToGrid w:val="false"/>
              <w:ind w:hanging="0"/>
              <w:jc w:val="center"/>
              <w:outlineLvl w:val="0"/>
              <w:rPr>
                <w:color w:val="000000"/>
                <w:sz w:val="20"/>
                <w:szCs w:val="20"/>
              </w:rPr>
            </w:pPr>
            <w:r>
              <w:rPr>
                <w:color w:val="000000"/>
                <w:sz w:val="20"/>
                <w:szCs w:val="20"/>
              </w:rPr>
            </w:r>
          </w:p>
        </w:tc>
        <w:tc>
          <w:tcPr>
            <w:tcW w:w="222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18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w:t>
            </w:r>
          </w:p>
        </w:tc>
        <w:tc>
          <w:tcPr>
            <w:tcW w:w="22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center"/>
              <w:rPr>
                <w:color w:val="000000"/>
                <w:sz w:val="20"/>
                <w:szCs w:val="20"/>
              </w:rPr>
            </w:pPr>
            <w:r>
              <w:rPr>
                <w:color w:val="000000"/>
                <w:sz w:val="20"/>
                <w:szCs w:val="20"/>
              </w:rPr>
            </w:r>
          </w:p>
        </w:tc>
        <w:tc>
          <w:tcPr>
            <w:tcW w:w="251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center"/>
              <w:rPr>
                <w:color w:val="000000"/>
                <w:sz w:val="20"/>
                <w:szCs w:val="20"/>
              </w:rPr>
            </w:pPr>
            <w:r>
              <w:rPr>
                <w:color w:val="000000"/>
                <w:sz w:val="20"/>
                <w:szCs w:val="20"/>
              </w:rPr>
            </w:r>
          </w:p>
        </w:tc>
        <w:tc>
          <w:tcPr>
            <w:tcW w:w="1572"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center"/>
              <w:rPr>
                <w:color w:val="000000"/>
                <w:sz w:val="20"/>
                <w:szCs w:val="20"/>
              </w:rPr>
            </w:pPr>
            <w:r>
              <w:rPr>
                <w:color w:val="000000"/>
                <w:sz w:val="20"/>
                <w:szCs w:val="20"/>
              </w:rPr>
            </w:r>
          </w:p>
        </w:tc>
        <w:tc>
          <w:tcPr>
            <w:tcW w:w="168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center"/>
              <w:rPr>
                <w:color w:val="000000"/>
                <w:sz w:val="20"/>
                <w:szCs w:val="20"/>
              </w:rPr>
            </w:pPr>
            <w:r>
              <w:rPr>
                <w:color w:val="000000"/>
                <w:sz w:val="20"/>
                <w:szCs w:val="20"/>
              </w:rPr>
            </w:r>
          </w:p>
        </w:tc>
      </w:tr>
      <w:tr>
        <w:trPr>
          <w:trHeight w:val="72" w:hRule="atLeast"/>
          <w:cantSplit w:val="true"/>
        </w:trPr>
        <w:tc>
          <w:tcPr>
            <w:tcW w:w="15030" w:type="dxa"/>
            <w:gridSpan w:val="9"/>
            <w:tcBorders>
              <w:top w:val="single" w:sz="4" w:space="0" w:color="000000"/>
              <w:left w:val="single" w:sz="4" w:space="0" w:color="000000"/>
              <w:bottom w:val="single" w:sz="4" w:space="0" w:color="000000"/>
              <w:right w:val="single" w:sz="4" w:space="0" w:color="000000"/>
            </w:tcBorders>
          </w:tcPr>
          <w:p>
            <w:pPr>
              <w:pStyle w:val="Normal"/>
              <w:ind w:hanging="0"/>
              <w:jc w:val="center"/>
              <w:rPr>
                <w:color w:val="000000"/>
                <w:sz w:val="20"/>
                <w:szCs w:val="20"/>
              </w:rPr>
            </w:pPr>
            <w:r>
              <w:rPr>
                <w:color w:val="000000"/>
                <w:sz w:val="20"/>
                <w:szCs w:val="20"/>
              </w:rPr>
              <w:t xml:space="preserve">Существующее положение </w:t>
            </w:r>
          </w:p>
        </w:tc>
      </w:tr>
      <w:tr>
        <w:trPr>
          <w:cantSplit w:val="true"/>
        </w:trPr>
        <w:tc>
          <w:tcPr>
            <w:tcW w:w="62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bookmarkStart w:id="341" w:name="_Hlk150437591"/>
            <w:bookmarkEnd w:id="341"/>
            <w:r>
              <w:rPr>
                <w:color w:val="000000"/>
                <w:sz w:val="20"/>
                <w:szCs w:val="20"/>
              </w:rPr>
              <w:t>1</w:t>
            </w:r>
          </w:p>
        </w:tc>
        <w:tc>
          <w:tcPr>
            <w:tcW w:w="2333"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д.им. Мулланура Вахитова</w:t>
            </w:r>
          </w:p>
        </w:tc>
        <w:tc>
          <w:tcPr>
            <w:tcW w:w="222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u w:val="single"/>
              </w:rPr>
            </w:pPr>
            <w:r>
              <w:rPr>
                <w:color w:val="000000"/>
                <w:sz w:val="20"/>
                <w:szCs w:val="20"/>
                <w:u w:val="single"/>
              </w:rPr>
              <w:t>203</w:t>
            </w:r>
          </w:p>
          <w:p>
            <w:pPr>
              <w:pStyle w:val="Normal"/>
              <w:ind w:hanging="0"/>
              <w:jc w:val="center"/>
              <w:rPr>
                <w:color w:val="000000"/>
                <w:sz w:val="20"/>
                <w:szCs w:val="20"/>
              </w:rPr>
            </w:pPr>
            <w:r>
              <w:rPr>
                <w:color w:val="000000"/>
                <w:sz w:val="20"/>
                <w:szCs w:val="20"/>
              </w:rPr>
              <w:t>32,48</w:t>
            </w:r>
          </w:p>
        </w:tc>
        <w:tc>
          <w:tcPr>
            <w:tcW w:w="18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220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32,48</w:t>
            </w:r>
          </w:p>
        </w:tc>
        <w:tc>
          <w:tcPr>
            <w:tcW w:w="251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38,98</w:t>
            </w:r>
          </w:p>
        </w:tc>
        <w:tc>
          <w:tcPr>
            <w:tcW w:w="1572"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23,45</w:t>
            </w:r>
          </w:p>
        </w:tc>
        <w:tc>
          <w:tcPr>
            <w:tcW w:w="168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94,91</w:t>
            </w:r>
          </w:p>
        </w:tc>
      </w:tr>
      <w:tr>
        <w:trPr>
          <w:cantSplit w:val="true"/>
        </w:trPr>
        <w:tc>
          <w:tcPr>
            <w:tcW w:w="62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w:t>
            </w:r>
          </w:p>
        </w:tc>
        <w:tc>
          <w:tcPr>
            <w:tcW w:w="2333" w:type="dxa"/>
            <w:tcBorders>
              <w:top w:val="single" w:sz="4" w:space="0" w:color="000000"/>
              <w:left w:val="single" w:sz="4" w:space="0" w:color="000000"/>
              <w:bottom w:val="single" w:sz="4" w:space="0" w:color="000000"/>
              <w:right w:val="single" w:sz="4" w:space="0" w:color="000000"/>
            </w:tcBorders>
            <w:vAlign w:val="center"/>
          </w:tcPr>
          <w:p>
            <w:pPr>
              <w:pStyle w:val="Style75"/>
              <w:jc w:val="left"/>
              <w:rPr>
                <w:color w:val="000000"/>
                <w:sz w:val="20"/>
                <w:szCs w:val="20"/>
              </w:rPr>
            </w:pPr>
            <w:r>
              <w:rPr>
                <w:color w:val="000000"/>
                <w:sz w:val="20"/>
                <w:szCs w:val="20"/>
              </w:rPr>
              <w:t>п.Бакча-Сарай</w:t>
            </w:r>
          </w:p>
        </w:tc>
        <w:tc>
          <w:tcPr>
            <w:tcW w:w="222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u w:val="single"/>
              </w:rPr>
            </w:pPr>
            <w:r>
              <w:rPr>
                <w:color w:val="000000"/>
                <w:sz w:val="20"/>
                <w:szCs w:val="20"/>
                <w:u w:val="single"/>
              </w:rPr>
              <w:t>161</w:t>
            </w:r>
          </w:p>
          <w:p>
            <w:pPr>
              <w:pStyle w:val="Normal"/>
              <w:ind w:hanging="0"/>
              <w:jc w:val="center"/>
              <w:rPr>
                <w:color w:val="000000"/>
                <w:sz w:val="20"/>
                <w:szCs w:val="20"/>
                <w:u w:val="single"/>
              </w:rPr>
            </w:pPr>
            <w:r>
              <w:rPr>
                <w:color w:val="000000"/>
                <w:sz w:val="20"/>
                <w:szCs w:val="20"/>
                <w:u w:val="single"/>
              </w:rPr>
              <w:t>25,76</w:t>
            </w:r>
          </w:p>
        </w:tc>
        <w:tc>
          <w:tcPr>
            <w:tcW w:w="18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220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25,76</w:t>
            </w:r>
          </w:p>
        </w:tc>
        <w:tc>
          <w:tcPr>
            <w:tcW w:w="251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30,91</w:t>
            </w:r>
          </w:p>
        </w:tc>
        <w:tc>
          <w:tcPr>
            <w:tcW w:w="1572"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6,54</w:t>
            </w:r>
          </w:p>
        </w:tc>
        <w:tc>
          <w:tcPr>
            <w:tcW w:w="168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63,21</w:t>
            </w:r>
          </w:p>
        </w:tc>
      </w:tr>
      <w:tr>
        <w:trPr>
          <w:cantSplit w:val="true"/>
        </w:trPr>
        <w:tc>
          <w:tcPr>
            <w:tcW w:w="62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w:t>
            </w:r>
          </w:p>
        </w:tc>
        <w:tc>
          <w:tcPr>
            <w:tcW w:w="2333" w:type="dxa"/>
            <w:tcBorders>
              <w:top w:val="single" w:sz="4" w:space="0" w:color="000000"/>
              <w:left w:val="single" w:sz="4" w:space="0" w:color="000000"/>
              <w:bottom w:val="single" w:sz="4" w:space="0" w:color="000000"/>
              <w:right w:val="single" w:sz="4" w:space="0" w:color="000000"/>
            </w:tcBorders>
            <w:vAlign w:val="center"/>
          </w:tcPr>
          <w:p>
            <w:pPr>
              <w:pStyle w:val="Style75"/>
              <w:jc w:val="left"/>
              <w:rPr>
                <w:color w:val="000000"/>
                <w:sz w:val="20"/>
                <w:szCs w:val="20"/>
              </w:rPr>
            </w:pPr>
            <w:r>
              <w:rPr>
                <w:color w:val="000000"/>
                <w:sz w:val="20"/>
                <w:szCs w:val="20"/>
              </w:rPr>
              <w:t>с.Ташевка</w:t>
            </w:r>
          </w:p>
        </w:tc>
        <w:tc>
          <w:tcPr>
            <w:tcW w:w="222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u w:val="single"/>
              </w:rPr>
            </w:pPr>
            <w:r>
              <w:rPr>
                <w:color w:val="000000"/>
                <w:sz w:val="20"/>
                <w:szCs w:val="20"/>
                <w:u w:val="single"/>
              </w:rPr>
              <w:t>44</w:t>
            </w:r>
          </w:p>
          <w:p>
            <w:pPr>
              <w:pStyle w:val="Normal"/>
              <w:ind w:hanging="0"/>
              <w:jc w:val="center"/>
              <w:rPr>
                <w:color w:val="000000"/>
                <w:sz w:val="20"/>
                <w:szCs w:val="20"/>
                <w:u w:val="single"/>
              </w:rPr>
            </w:pPr>
            <w:r>
              <w:rPr>
                <w:color w:val="000000"/>
                <w:sz w:val="20"/>
                <w:szCs w:val="20"/>
                <w:u w:val="single"/>
              </w:rPr>
              <w:t>7,04</w:t>
            </w:r>
          </w:p>
        </w:tc>
        <w:tc>
          <w:tcPr>
            <w:tcW w:w="18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220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7,04</w:t>
            </w:r>
          </w:p>
        </w:tc>
        <w:tc>
          <w:tcPr>
            <w:tcW w:w="251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8,45</w:t>
            </w:r>
          </w:p>
        </w:tc>
        <w:tc>
          <w:tcPr>
            <w:tcW w:w="1572"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6,77</w:t>
            </w:r>
          </w:p>
        </w:tc>
        <w:tc>
          <w:tcPr>
            <w:tcW w:w="168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22,26</w:t>
            </w:r>
          </w:p>
        </w:tc>
      </w:tr>
      <w:tr>
        <w:trPr>
          <w:cantSplit w:val="true"/>
        </w:trPr>
        <w:tc>
          <w:tcPr>
            <w:tcW w:w="62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w:t>
            </w:r>
          </w:p>
        </w:tc>
        <w:tc>
          <w:tcPr>
            <w:tcW w:w="2333" w:type="dxa"/>
            <w:tcBorders>
              <w:top w:val="single" w:sz="4" w:space="0" w:color="000000"/>
              <w:left w:val="single" w:sz="4" w:space="0" w:color="000000"/>
              <w:bottom w:val="single" w:sz="4" w:space="0" w:color="000000"/>
              <w:right w:val="single" w:sz="4" w:space="0" w:color="000000"/>
            </w:tcBorders>
            <w:vAlign w:val="center"/>
          </w:tcPr>
          <w:p>
            <w:pPr>
              <w:pStyle w:val="Style75"/>
              <w:jc w:val="left"/>
              <w:rPr>
                <w:color w:val="000000"/>
                <w:sz w:val="20"/>
                <w:szCs w:val="20"/>
              </w:rPr>
            </w:pPr>
            <w:r>
              <w:rPr>
                <w:color w:val="000000"/>
                <w:sz w:val="20"/>
                <w:szCs w:val="20"/>
              </w:rPr>
              <w:t>д.Ватан</w:t>
            </w:r>
          </w:p>
        </w:tc>
        <w:tc>
          <w:tcPr>
            <w:tcW w:w="222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u w:val="single"/>
              </w:rPr>
            </w:pPr>
            <w:r>
              <w:rPr>
                <w:color w:val="000000"/>
                <w:sz w:val="20"/>
                <w:szCs w:val="20"/>
                <w:u w:val="single"/>
              </w:rPr>
              <w:t>24</w:t>
            </w:r>
          </w:p>
          <w:p>
            <w:pPr>
              <w:pStyle w:val="Normal"/>
              <w:ind w:hanging="0"/>
              <w:jc w:val="center"/>
              <w:rPr>
                <w:color w:val="000000"/>
                <w:sz w:val="20"/>
                <w:szCs w:val="20"/>
                <w:u w:val="single"/>
              </w:rPr>
            </w:pPr>
            <w:r>
              <w:rPr>
                <w:color w:val="000000"/>
                <w:sz w:val="20"/>
                <w:szCs w:val="20"/>
                <w:u w:val="single"/>
              </w:rPr>
              <w:t>3,84</w:t>
            </w:r>
          </w:p>
        </w:tc>
        <w:tc>
          <w:tcPr>
            <w:tcW w:w="18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220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3,84</w:t>
            </w:r>
          </w:p>
        </w:tc>
        <w:tc>
          <w:tcPr>
            <w:tcW w:w="251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4,61</w:t>
            </w:r>
          </w:p>
        </w:tc>
        <w:tc>
          <w:tcPr>
            <w:tcW w:w="1572"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8,30</w:t>
            </w:r>
          </w:p>
        </w:tc>
        <w:tc>
          <w:tcPr>
            <w:tcW w:w="168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16,75</w:t>
            </w:r>
          </w:p>
        </w:tc>
      </w:tr>
      <w:tr>
        <w:trPr>
          <w:cantSplit w:val="true"/>
        </w:trPr>
        <w:tc>
          <w:tcPr>
            <w:tcW w:w="62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w:t>
            </w:r>
          </w:p>
        </w:tc>
        <w:tc>
          <w:tcPr>
            <w:tcW w:w="2333" w:type="dxa"/>
            <w:tcBorders>
              <w:top w:val="single" w:sz="4" w:space="0" w:color="000000"/>
              <w:left w:val="single" w:sz="4" w:space="0" w:color="000000"/>
              <w:bottom w:val="single" w:sz="4" w:space="0" w:color="000000"/>
              <w:right w:val="single" w:sz="4" w:space="0" w:color="000000"/>
            </w:tcBorders>
            <w:vAlign w:val="center"/>
          </w:tcPr>
          <w:p>
            <w:pPr>
              <w:pStyle w:val="Style75"/>
              <w:jc w:val="left"/>
              <w:rPr>
                <w:color w:val="000000"/>
                <w:sz w:val="20"/>
                <w:szCs w:val="20"/>
              </w:rPr>
            </w:pPr>
            <w:r>
              <w:rPr>
                <w:color w:val="000000"/>
                <w:sz w:val="20"/>
                <w:szCs w:val="20"/>
              </w:rPr>
              <w:t>д.Гребени</w:t>
            </w:r>
          </w:p>
        </w:tc>
        <w:tc>
          <w:tcPr>
            <w:tcW w:w="222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u w:val="single"/>
              </w:rPr>
            </w:pPr>
            <w:r>
              <w:rPr>
                <w:color w:val="000000"/>
                <w:sz w:val="20"/>
                <w:szCs w:val="20"/>
                <w:u w:val="single"/>
              </w:rPr>
              <w:t>0</w:t>
            </w:r>
          </w:p>
          <w:p>
            <w:pPr>
              <w:pStyle w:val="Normal"/>
              <w:ind w:hanging="0"/>
              <w:jc w:val="center"/>
              <w:rPr>
                <w:color w:val="000000"/>
                <w:sz w:val="20"/>
                <w:szCs w:val="20"/>
                <w:u w:val="single"/>
              </w:rPr>
            </w:pPr>
            <w:r>
              <w:rPr>
                <w:color w:val="000000"/>
                <w:sz w:val="20"/>
                <w:szCs w:val="20"/>
                <w:u w:val="single"/>
              </w:rPr>
              <w:t>0</w:t>
            </w:r>
          </w:p>
        </w:tc>
        <w:tc>
          <w:tcPr>
            <w:tcW w:w="18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220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251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1572"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c>
          <w:tcPr>
            <w:tcW w:w="168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w:t>
            </w:r>
          </w:p>
        </w:tc>
      </w:tr>
      <w:tr>
        <w:trPr>
          <w:trHeight w:val="133" w:hRule="atLeast"/>
          <w:cantSplit w:val="true"/>
        </w:trPr>
        <w:tc>
          <w:tcPr>
            <w:tcW w:w="15030" w:type="dxa"/>
            <w:gridSpan w:val="9"/>
            <w:tcBorders>
              <w:top w:val="single" w:sz="4" w:space="0" w:color="000000"/>
              <w:left w:val="single" w:sz="4" w:space="0" w:color="000000"/>
              <w:bottom w:val="single" w:sz="4" w:space="0" w:color="000000"/>
              <w:right w:val="single" w:sz="4" w:space="0" w:color="000000"/>
            </w:tcBorders>
          </w:tcPr>
          <w:p>
            <w:pPr>
              <w:pStyle w:val="Normal"/>
              <w:ind w:hanging="0"/>
              <w:jc w:val="center"/>
              <w:rPr>
                <w:color w:val="000000"/>
                <w:sz w:val="20"/>
                <w:szCs w:val="20"/>
              </w:rPr>
            </w:pPr>
            <w:r>
              <w:rPr>
                <w:color w:val="000000"/>
                <w:sz w:val="20"/>
                <w:szCs w:val="20"/>
              </w:rPr>
              <w:t>Первая очередь реализации генерального плана (2032 г.)</w:t>
            </w:r>
          </w:p>
        </w:tc>
      </w:tr>
      <w:tr>
        <w:trPr>
          <w:cantSplit w:val="true"/>
        </w:trPr>
        <w:tc>
          <w:tcPr>
            <w:tcW w:w="62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2333"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д.им. Мулланура Вахитова</w:t>
            </w:r>
          </w:p>
        </w:tc>
        <w:tc>
          <w:tcPr>
            <w:tcW w:w="222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u w:val="single"/>
              </w:rPr>
            </w:pPr>
            <w:r>
              <w:rPr>
                <w:color w:val="000000"/>
                <w:sz w:val="20"/>
                <w:szCs w:val="20"/>
                <w:u w:val="single"/>
              </w:rPr>
              <w:t>231</w:t>
            </w:r>
          </w:p>
          <w:p>
            <w:pPr>
              <w:pStyle w:val="Normal"/>
              <w:ind w:hanging="0"/>
              <w:jc w:val="center"/>
              <w:rPr>
                <w:color w:val="000000"/>
                <w:sz w:val="20"/>
                <w:szCs w:val="20"/>
              </w:rPr>
            </w:pPr>
            <w:r>
              <w:rPr>
                <w:color w:val="000000"/>
                <w:sz w:val="20"/>
                <w:szCs w:val="20"/>
              </w:rPr>
              <w:t>36,96</w:t>
            </w:r>
          </w:p>
        </w:tc>
        <w:tc>
          <w:tcPr>
            <w:tcW w:w="18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220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36,96</w:t>
            </w:r>
          </w:p>
        </w:tc>
        <w:tc>
          <w:tcPr>
            <w:tcW w:w="251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44,35</w:t>
            </w:r>
          </w:p>
        </w:tc>
        <w:tc>
          <w:tcPr>
            <w:tcW w:w="153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3,70</w:t>
            </w:r>
          </w:p>
        </w:tc>
        <w:tc>
          <w:tcPr>
            <w:tcW w:w="1731"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85,01</w:t>
            </w:r>
          </w:p>
        </w:tc>
      </w:tr>
      <w:tr>
        <w:trPr>
          <w:cantSplit w:val="true"/>
        </w:trPr>
        <w:tc>
          <w:tcPr>
            <w:tcW w:w="62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w:t>
            </w:r>
          </w:p>
        </w:tc>
        <w:tc>
          <w:tcPr>
            <w:tcW w:w="2333" w:type="dxa"/>
            <w:tcBorders>
              <w:top w:val="single" w:sz="4" w:space="0" w:color="000000"/>
              <w:left w:val="single" w:sz="4" w:space="0" w:color="000000"/>
              <w:bottom w:val="single" w:sz="4" w:space="0" w:color="000000"/>
              <w:right w:val="single" w:sz="4" w:space="0" w:color="000000"/>
            </w:tcBorders>
            <w:vAlign w:val="center"/>
          </w:tcPr>
          <w:p>
            <w:pPr>
              <w:pStyle w:val="Style75"/>
              <w:jc w:val="left"/>
              <w:rPr>
                <w:color w:val="000000"/>
                <w:sz w:val="20"/>
                <w:szCs w:val="20"/>
              </w:rPr>
            </w:pPr>
            <w:r>
              <w:rPr>
                <w:color w:val="000000"/>
                <w:sz w:val="20"/>
                <w:szCs w:val="20"/>
              </w:rPr>
              <w:t>п.Бакча-Сарай</w:t>
            </w:r>
          </w:p>
        </w:tc>
        <w:tc>
          <w:tcPr>
            <w:tcW w:w="222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u w:val="single"/>
              </w:rPr>
            </w:pPr>
            <w:r>
              <w:rPr>
                <w:color w:val="000000"/>
                <w:sz w:val="20"/>
                <w:szCs w:val="20"/>
                <w:u w:val="single"/>
              </w:rPr>
              <w:t>233</w:t>
            </w:r>
          </w:p>
          <w:p>
            <w:pPr>
              <w:pStyle w:val="Normal"/>
              <w:ind w:hanging="0"/>
              <w:jc w:val="center"/>
              <w:rPr>
                <w:color w:val="000000"/>
                <w:sz w:val="20"/>
                <w:szCs w:val="20"/>
                <w:u w:val="single"/>
              </w:rPr>
            </w:pPr>
            <w:r>
              <w:rPr>
                <w:color w:val="000000"/>
                <w:sz w:val="20"/>
                <w:szCs w:val="20"/>
                <w:u w:val="single"/>
              </w:rPr>
              <w:t>37,28</w:t>
            </w:r>
          </w:p>
        </w:tc>
        <w:tc>
          <w:tcPr>
            <w:tcW w:w="18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220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37,28</w:t>
            </w:r>
          </w:p>
        </w:tc>
        <w:tc>
          <w:tcPr>
            <w:tcW w:w="251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44,74</w:t>
            </w:r>
          </w:p>
        </w:tc>
        <w:tc>
          <w:tcPr>
            <w:tcW w:w="153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3,73</w:t>
            </w:r>
          </w:p>
        </w:tc>
        <w:tc>
          <w:tcPr>
            <w:tcW w:w="1731"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85,75</w:t>
            </w:r>
          </w:p>
        </w:tc>
      </w:tr>
      <w:tr>
        <w:trPr>
          <w:cantSplit w:val="true"/>
        </w:trPr>
        <w:tc>
          <w:tcPr>
            <w:tcW w:w="62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w:t>
            </w:r>
          </w:p>
        </w:tc>
        <w:tc>
          <w:tcPr>
            <w:tcW w:w="2333" w:type="dxa"/>
            <w:tcBorders>
              <w:top w:val="single" w:sz="4" w:space="0" w:color="000000"/>
              <w:left w:val="single" w:sz="4" w:space="0" w:color="000000"/>
              <w:bottom w:val="single" w:sz="4" w:space="0" w:color="000000"/>
              <w:right w:val="single" w:sz="4" w:space="0" w:color="000000"/>
            </w:tcBorders>
            <w:vAlign w:val="center"/>
          </w:tcPr>
          <w:p>
            <w:pPr>
              <w:pStyle w:val="Style75"/>
              <w:jc w:val="left"/>
              <w:rPr>
                <w:color w:val="000000"/>
                <w:sz w:val="20"/>
                <w:szCs w:val="20"/>
              </w:rPr>
            </w:pPr>
            <w:r>
              <w:rPr>
                <w:color w:val="000000"/>
                <w:sz w:val="20"/>
                <w:szCs w:val="20"/>
              </w:rPr>
              <w:t>с.Ташевка</w:t>
            </w:r>
          </w:p>
        </w:tc>
        <w:tc>
          <w:tcPr>
            <w:tcW w:w="222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u w:val="single"/>
              </w:rPr>
            </w:pPr>
            <w:r>
              <w:rPr>
                <w:color w:val="000000"/>
                <w:sz w:val="20"/>
                <w:szCs w:val="20"/>
                <w:u w:val="single"/>
              </w:rPr>
              <w:t>216</w:t>
            </w:r>
          </w:p>
          <w:p>
            <w:pPr>
              <w:pStyle w:val="Normal"/>
              <w:ind w:hanging="0"/>
              <w:jc w:val="center"/>
              <w:rPr>
                <w:color w:val="000000"/>
                <w:sz w:val="20"/>
                <w:szCs w:val="20"/>
                <w:u w:val="single"/>
              </w:rPr>
            </w:pPr>
            <w:r>
              <w:rPr>
                <w:color w:val="000000"/>
                <w:sz w:val="20"/>
                <w:szCs w:val="20"/>
                <w:u w:val="single"/>
              </w:rPr>
              <w:t>34,56</w:t>
            </w:r>
          </w:p>
        </w:tc>
        <w:tc>
          <w:tcPr>
            <w:tcW w:w="18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220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34,56</w:t>
            </w:r>
          </w:p>
        </w:tc>
        <w:tc>
          <w:tcPr>
            <w:tcW w:w="251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41,47</w:t>
            </w:r>
          </w:p>
        </w:tc>
        <w:tc>
          <w:tcPr>
            <w:tcW w:w="153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3,46</w:t>
            </w:r>
          </w:p>
        </w:tc>
        <w:tc>
          <w:tcPr>
            <w:tcW w:w="1731"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79,49</w:t>
            </w:r>
          </w:p>
        </w:tc>
      </w:tr>
      <w:tr>
        <w:trPr>
          <w:cantSplit w:val="true"/>
        </w:trPr>
        <w:tc>
          <w:tcPr>
            <w:tcW w:w="62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w:t>
            </w:r>
          </w:p>
        </w:tc>
        <w:tc>
          <w:tcPr>
            <w:tcW w:w="2333" w:type="dxa"/>
            <w:tcBorders>
              <w:top w:val="single" w:sz="4" w:space="0" w:color="000000"/>
              <w:left w:val="single" w:sz="4" w:space="0" w:color="000000"/>
              <w:bottom w:val="single" w:sz="4" w:space="0" w:color="000000"/>
              <w:right w:val="single" w:sz="4" w:space="0" w:color="000000"/>
            </w:tcBorders>
            <w:vAlign w:val="center"/>
          </w:tcPr>
          <w:p>
            <w:pPr>
              <w:pStyle w:val="Style75"/>
              <w:jc w:val="left"/>
              <w:rPr>
                <w:color w:val="000000"/>
                <w:sz w:val="20"/>
                <w:szCs w:val="20"/>
              </w:rPr>
            </w:pPr>
            <w:r>
              <w:rPr>
                <w:color w:val="000000"/>
                <w:sz w:val="20"/>
                <w:szCs w:val="20"/>
              </w:rPr>
              <w:t>д.Ватан</w:t>
            </w:r>
          </w:p>
        </w:tc>
        <w:tc>
          <w:tcPr>
            <w:tcW w:w="222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u w:val="single"/>
              </w:rPr>
            </w:pPr>
            <w:r>
              <w:rPr>
                <w:color w:val="000000"/>
                <w:sz w:val="20"/>
                <w:szCs w:val="20"/>
                <w:u w:val="single"/>
              </w:rPr>
              <w:t>23</w:t>
            </w:r>
          </w:p>
          <w:p>
            <w:pPr>
              <w:pStyle w:val="Normal"/>
              <w:ind w:hanging="0"/>
              <w:jc w:val="center"/>
              <w:rPr>
                <w:color w:val="000000"/>
                <w:sz w:val="20"/>
                <w:szCs w:val="20"/>
                <w:u w:val="single"/>
              </w:rPr>
            </w:pPr>
            <w:r>
              <w:rPr>
                <w:color w:val="000000"/>
                <w:sz w:val="20"/>
                <w:szCs w:val="20"/>
                <w:u w:val="single"/>
              </w:rPr>
              <w:t>3,68</w:t>
            </w:r>
          </w:p>
        </w:tc>
        <w:tc>
          <w:tcPr>
            <w:tcW w:w="18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220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3,68</w:t>
            </w:r>
          </w:p>
        </w:tc>
        <w:tc>
          <w:tcPr>
            <w:tcW w:w="251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4,42</w:t>
            </w:r>
          </w:p>
        </w:tc>
        <w:tc>
          <w:tcPr>
            <w:tcW w:w="153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0,37</w:t>
            </w:r>
          </w:p>
        </w:tc>
        <w:tc>
          <w:tcPr>
            <w:tcW w:w="1731"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8,47</w:t>
            </w:r>
          </w:p>
        </w:tc>
      </w:tr>
      <w:tr>
        <w:trPr>
          <w:cantSplit w:val="true"/>
        </w:trPr>
        <w:tc>
          <w:tcPr>
            <w:tcW w:w="62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w:t>
            </w:r>
          </w:p>
        </w:tc>
        <w:tc>
          <w:tcPr>
            <w:tcW w:w="2333" w:type="dxa"/>
            <w:tcBorders>
              <w:top w:val="single" w:sz="4" w:space="0" w:color="000000"/>
              <w:left w:val="single" w:sz="4" w:space="0" w:color="000000"/>
              <w:bottom w:val="single" w:sz="4" w:space="0" w:color="000000"/>
              <w:right w:val="single" w:sz="4" w:space="0" w:color="000000"/>
            </w:tcBorders>
            <w:vAlign w:val="center"/>
          </w:tcPr>
          <w:p>
            <w:pPr>
              <w:pStyle w:val="Style75"/>
              <w:jc w:val="left"/>
              <w:rPr>
                <w:color w:val="000000"/>
                <w:sz w:val="20"/>
                <w:szCs w:val="20"/>
              </w:rPr>
            </w:pPr>
            <w:r>
              <w:rPr>
                <w:color w:val="000000"/>
                <w:sz w:val="20"/>
                <w:szCs w:val="20"/>
              </w:rPr>
              <w:t>д.Гребени</w:t>
            </w:r>
          </w:p>
        </w:tc>
        <w:tc>
          <w:tcPr>
            <w:tcW w:w="222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u w:val="single"/>
              </w:rPr>
            </w:pPr>
            <w:r>
              <w:rPr>
                <w:color w:val="000000"/>
                <w:sz w:val="20"/>
                <w:szCs w:val="20"/>
                <w:u w:val="single"/>
              </w:rPr>
              <w:t>59</w:t>
            </w:r>
          </w:p>
          <w:p>
            <w:pPr>
              <w:pStyle w:val="Normal"/>
              <w:ind w:hanging="0"/>
              <w:jc w:val="center"/>
              <w:rPr>
                <w:color w:val="000000"/>
                <w:sz w:val="20"/>
                <w:szCs w:val="20"/>
                <w:u w:val="single"/>
              </w:rPr>
            </w:pPr>
            <w:r>
              <w:rPr>
                <w:color w:val="000000"/>
                <w:sz w:val="20"/>
                <w:szCs w:val="20"/>
                <w:u w:val="single"/>
              </w:rPr>
              <w:t>9,44</w:t>
            </w:r>
          </w:p>
        </w:tc>
        <w:tc>
          <w:tcPr>
            <w:tcW w:w="18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220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9,44</w:t>
            </w:r>
          </w:p>
        </w:tc>
        <w:tc>
          <w:tcPr>
            <w:tcW w:w="251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11,33</w:t>
            </w:r>
          </w:p>
        </w:tc>
        <w:tc>
          <w:tcPr>
            <w:tcW w:w="153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0,94</w:t>
            </w:r>
          </w:p>
        </w:tc>
        <w:tc>
          <w:tcPr>
            <w:tcW w:w="1731"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21,71</w:t>
            </w:r>
          </w:p>
        </w:tc>
      </w:tr>
      <w:tr>
        <w:trPr>
          <w:trHeight w:val="66" w:hRule="atLeast"/>
          <w:cantSplit w:val="true"/>
        </w:trPr>
        <w:tc>
          <w:tcPr>
            <w:tcW w:w="15030" w:type="dxa"/>
            <w:gridSpan w:val="9"/>
            <w:tcBorders>
              <w:top w:val="single" w:sz="4" w:space="0" w:color="000000"/>
              <w:left w:val="single" w:sz="4" w:space="0" w:color="000000"/>
              <w:bottom w:val="single" w:sz="4" w:space="0" w:color="000000"/>
              <w:right w:val="single" w:sz="4" w:space="0" w:color="000000"/>
            </w:tcBorders>
          </w:tcPr>
          <w:p>
            <w:pPr>
              <w:pStyle w:val="Normal"/>
              <w:ind w:hanging="0"/>
              <w:jc w:val="center"/>
              <w:rPr>
                <w:color w:val="000000"/>
                <w:sz w:val="20"/>
                <w:szCs w:val="20"/>
              </w:rPr>
            </w:pPr>
            <w:r>
              <w:rPr>
                <w:color w:val="000000"/>
                <w:sz w:val="20"/>
                <w:szCs w:val="20"/>
              </w:rPr>
              <w:t>Расчетный срок реализации генерального плана (2047 г.)</w:t>
            </w:r>
          </w:p>
        </w:tc>
      </w:tr>
      <w:tr>
        <w:trPr>
          <w:trHeight w:val="291" w:hRule="atLeast"/>
          <w:cantSplit w:val="true"/>
        </w:trPr>
        <w:tc>
          <w:tcPr>
            <w:tcW w:w="62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w:t>
            </w:r>
          </w:p>
        </w:tc>
        <w:tc>
          <w:tcPr>
            <w:tcW w:w="2333"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д.им. Мулланура Вахитова</w:t>
            </w:r>
          </w:p>
        </w:tc>
        <w:tc>
          <w:tcPr>
            <w:tcW w:w="222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u w:val="single"/>
              </w:rPr>
            </w:pPr>
            <w:r>
              <w:rPr>
                <w:color w:val="000000"/>
                <w:sz w:val="20"/>
                <w:szCs w:val="20"/>
                <w:u w:val="single"/>
              </w:rPr>
              <w:t>288</w:t>
            </w:r>
          </w:p>
          <w:p>
            <w:pPr>
              <w:pStyle w:val="Normal"/>
              <w:ind w:hanging="0"/>
              <w:jc w:val="center"/>
              <w:rPr>
                <w:color w:val="000000"/>
                <w:sz w:val="20"/>
                <w:szCs w:val="20"/>
                <w:u w:val="single"/>
              </w:rPr>
            </w:pPr>
            <w:r>
              <w:rPr>
                <w:color w:val="000000"/>
                <w:sz w:val="20"/>
                <w:szCs w:val="20"/>
                <w:u w:val="single"/>
              </w:rPr>
              <w:t>46,08</w:t>
            </w:r>
          </w:p>
        </w:tc>
        <w:tc>
          <w:tcPr>
            <w:tcW w:w="18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220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46,08</w:t>
            </w:r>
          </w:p>
        </w:tc>
        <w:tc>
          <w:tcPr>
            <w:tcW w:w="251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55,30</w:t>
            </w:r>
          </w:p>
        </w:tc>
        <w:tc>
          <w:tcPr>
            <w:tcW w:w="153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4,61</w:t>
            </w:r>
          </w:p>
        </w:tc>
        <w:tc>
          <w:tcPr>
            <w:tcW w:w="1731"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105,99</w:t>
            </w:r>
          </w:p>
        </w:tc>
      </w:tr>
      <w:tr>
        <w:trPr>
          <w:trHeight w:val="291" w:hRule="atLeast"/>
          <w:cantSplit w:val="true"/>
        </w:trPr>
        <w:tc>
          <w:tcPr>
            <w:tcW w:w="62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2</w:t>
            </w:r>
          </w:p>
        </w:tc>
        <w:tc>
          <w:tcPr>
            <w:tcW w:w="2333" w:type="dxa"/>
            <w:tcBorders>
              <w:top w:val="single" w:sz="4" w:space="0" w:color="000000"/>
              <w:left w:val="single" w:sz="4" w:space="0" w:color="000000"/>
              <w:bottom w:val="single" w:sz="4" w:space="0" w:color="000000"/>
              <w:right w:val="single" w:sz="4" w:space="0" w:color="000000"/>
            </w:tcBorders>
            <w:vAlign w:val="center"/>
          </w:tcPr>
          <w:p>
            <w:pPr>
              <w:pStyle w:val="Style75"/>
              <w:jc w:val="left"/>
              <w:rPr>
                <w:color w:val="000000"/>
                <w:sz w:val="20"/>
                <w:szCs w:val="20"/>
              </w:rPr>
            </w:pPr>
            <w:r>
              <w:rPr>
                <w:color w:val="000000"/>
                <w:sz w:val="20"/>
                <w:szCs w:val="20"/>
              </w:rPr>
              <w:t>п.Бакча-Сарай</w:t>
            </w:r>
          </w:p>
        </w:tc>
        <w:tc>
          <w:tcPr>
            <w:tcW w:w="222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u w:val="single"/>
              </w:rPr>
            </w:pPr>
            <w:r>
              <w:rPr>
                <w:color w:val="000000"/>
                <w:sz w:val="20"/>
                <w:szCs w:val="20"/>
                <w:u w:val="single"/>
              </w:rPr>
              <w:t>256</w:t>
            </w:r>
          </w:p>
          <w:p>
            <w:pPr>
              <w:pStyle w:val="Normal"/>
              <w:ind w:hanging="0"/>
              <w:jc w:val="center"/>
              <w:rPr>
                <w:color w:val="000000"/>
                <w:sz w:val="20"/>
                <w:szCs w:val="20"/>
                <w:u w:val="single"/>
              </w:rPr>
            </w:pPr>
            <w:r>
              <w:rPr>
                <w:color w:val="000000"/>
                <w:sz w:val="20"/>
                <w:szCs w:val="20"/>
                <w:u w:val="single"/>
              </w:rPr>
              <w:t>40,96</w:t>
            </w:r>
          </w:p>
        </w:tc>
        <w:tc>
          <w:tcPr>
            <w:tcW w:w="18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220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40,96</w:t>
            </w:r>
          </w:p>
        </w:tc>
        <w:tc>
          <w:tcPr>
            <w:tcW w:w="251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49,15</w:t>
            </w:r>
          </w:p>
        </w:tc>
        <w:tc>
          <w:tcPr>
            <w:tcW w:w="153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4,10</w:t>
            </w:r>
          </w:p>
        </w:tc>
        <w:tc>
          <w:tcPr>
            <w:tcW w:w="1731"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94,21</w:t>
            </w:r>
          </w:p>
        </w:tc>
      </w:tr>
      <w:tr>
        <w:trPr>
          <w:trHeight w:val="291" w:hRule="atLeast"/>
          <w:cantSplit w:val="true"/>
        </w:trPr>
        <w:tc>
          <w:tcPr>
            <w:tcW w:w="62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w:t>
            </w:r>
          </w:p>
        </w:tc>
        <w:tc>
          <w:tcPr>
            <w:tcW w:w="2333" w:type="dxa"/>
            <w:tcBorders>
              <w:top w:val="single" w:sz="4" w:space="0" w:color="000000"/>
              <w:left w:val="single" w:sz="4" w:space="0" w:color="000000"/>
              <w:bottom w:val="single" w:sz="4" w:space="0" w:color="000000"/>
              <w:right w:val="single" w:sz="4" w:space="0" w:color="000000"/>
            </w:tcBorders>
            <w:vAlign w:val="center"/>
          </w:tcPr>
          <w:p>
            <w:pPr>
              <w:pStyle w:val="Style75"/>
              <w:jc w:val="left"/>
              <w:rPr>
                <w:color w:val="000000"/>
                <w:sz w:val="20"/>
                <w:szCs w:val="20"/>
              </w:rPr>
            </w:pPr>
            <w:r>
              <w:rPr>
                <w:color w:val="000000"/>
                <w:sz w:val="20"/>
                <w:szCs w:val="20"/>
              </w:rPr>
              <w:t>с.Ташевка</w:t>
            </w:r>
          </w:p>
        </w:tc>
        <w:tc>
          <w:tcPr>
            <w:tcW w:w="222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u w:val="single"/>
              </w:rPr>
            </w:pPr>
            <w:r>
              <w:rPr>
                <w:color w:val="000000"/>
                <w:sz w:val="20"/>
                <w:szCs w:val="20"/>
                <w:u w:val="single"/>
              </w:rPr>
              <w:t>258</w:t>
            </w:r>
          </w:p>
          <w:p>
            <w:pPr>
              <w:pStyle w:val="Normal"/>
              <w:ind w:hanging="0"/>
              <w:jc w:val="center"/>
              <w:rPr>
                <w:color w:val="000000"/>
                <w:sz w:val="20"/>
                <w:szCs w:val="20"/>
                <w:u w:val="single"/>
              </w:rPr>
            </w:pPr>
            <w:r>
              <w:rPr>
                <w:color w:val="000000"/>
                <w:sz w:val="20"/>
                <w:szCs w:val="20"/>
                <w:u w:val="single"/>
              </w:rPr>
              <w:t>41,28</w:t>
            </w:r>
          </w:p>
        </w:tc>
        <w:tc>
          <w:tcPr>
            <w:tcW w:w="18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220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41,28</w:t>
            </w:r>
          </w:p>
        </w:tc>
        <w:tc>
          <w:tcPr>
            <w:tcW w:w="251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49,54</w:t>
            </w:r>
          </w:p>
        </w:tc>
        <w:tc>
          <w:tcPr>
            <w:tcW w:w="153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4,13</w:t>
            </w:r>
          </w:p>
        </w:tc>
        <w:tc>
          <w:tcPr>
            <w:tcW w:w="1731"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94,95</w:t>
            </w:r>
          </w:p>
        </w:tc>
      </w:tr>
      <w:tr>
        <w:trPr>
          <w:trHeight w:val="291" w:hRule="atLeast"/>
          <w:cantSplit w:val="true"/>
        </w:trPr>
        <w:tc>
          <w:tcPr>
            <w:tcW w:w="62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w:t>
            </w:r>
          </w:p>
        </w:tc>
        <w:tc>
          <w:tcPr>
            <w:tcW w:w="2333" w:type="dxa"/>
            <w:tcBorders>
              <w:top w:val="single" w:sz="4" w:space="0" w:color="000000"/>
              <w:left w:val="single" w:sz="4" w:space="0" w:color="000000"/>
              <w:bottom w:val="single" w:sz="4" w:space="0" w:color="000000"/>
              <w:right w:val="single" w:sz="4" w:space="0" w:color="000000"/>
            </w:tcBorders>
            <w:vAlign w:val="center"/>
          </w:tcPr>
          <w:p>
            <w:pPr>
              <w:pStyle w:val="Style75"/>
              <w:jc w:val="left"/>
              <w:rPr>
                <w:color w:val="000000"/>
                <w:sz w:val="20"/>
                <w:szCs w:val="20"/>
              </w:rPr>
            </w:pPr>
            <w:r>
              <w:rPr>
                <w:color w:val="000000"/>
                <w:sz w:val="20"/>
                <w:szCs w:val="20"/>
              </w:rPr>
              <w:t>д.Ватан</w:t>
            </w:r>
          </w:p>
        </w:tc>
        <w:tc>
          <w:tcPr>
            <w:tcW w:w="222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u w:val="single"/>
              </w:rPr>
            </w:pPr>
            <w:r>
              <w:rPr>
                <w:color w:val="000000"/>
                <w:sz w:val="20"/>
                <w:szCs w:val="20"/>
                <w:u w:val="single"/>
              </w:rPr>
              <w:t>30</w:t>
            </w:r>
          </w:p>
          <w:p>
            <w:pPr>
              <w:pStyle w:val="Normal"/>
              <w:ind w:hanging="0"/>
              <w:jc w:val="center"/>
              <w:rPr>
                <w:color w:val="000000"/>
                <w:sz w:val="20"/>
                <w:szCs w:val="20"/>
                <w:u w:val="single"/>
              </w:rPr>
            </w:pPr>
            <w:r>
              <w:rPr>
                <w:color w:val="000000"/>
                <w:sz w:val="20"/>
                <w:szCs w:val="20"/>
                <w:u w:val="single"/>
              </w:rPr>
              <w:t>4,8</w:t>
            </w:r>
          </w:p>
        </w:tc>
        <w:tc>
          <w:tcPr>
            <w:tcW w:w="18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220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4,8</w:t>
            </w:r>
          </w:p>
        </w:tc>
        <w:tc>
          <w:tcPr>
            <w:tcW w:w="251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5,76</w:t>
            </w:r>
          </w:p>
        </w:tc>
        <w:tc>
          <w:tcPr>
            <w:tcW w:w="153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0,48</w:t>
            </w:r>
          </w:p>
        </w:tc>
        <w:tc>
          <w:tcPr>
            <w:tcW w:w="1731"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11,04</w:t>
            </w:r>
          </w:p>
        </w:tc>
      </w:tr>
      <w:tr>
        <w:trPr>
          <w:trHeight w:val="291" w:hRule="atLeast"/>
          <w:cantSplit w:val="true"/>
        </w:trPr>
        <w:tc>
          <w:tcPr>
            <w:tcW w:w="62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5</w:t>
            </w:r>
          </w:p>
        </w:tc>
        <w:tc>
          <w:tcPr>
            <w:tcW w:w="2333" w:type="dxa"/>
            <w:tcBorders>
              <w:top w:val="single" w:sz="4" w:space="0" w:color="000000"/>
              <w:left w:val="single" w:sz="4" w:space="0" w:color="000000"/>
              <w:bottom w:val="single" w:sz="4" w:space="0" w:color="000000"/>
              <w:right w:val="single" w:sz="4" w:space="0" w:color="000000"/>
            </w:tcBorders>
            <w:vAlign w:val="center"/>
          </w:tcPr>
          <w:p>
            <w:pPr>
              <w:pStyle w:val="Style75"/>
              <w:jc w:val="left"/>
              <w:rPr>
                <w:color w:val="000000"/>
                <w:sz w:val="20"/>
                <w:szCs w:val="20"/>
              </w:rPr>
            </w:pPr>
            <w:r>
              <w:rPr>
                <w:color w:val="000000"/>
                <w:sz w:val="20"/>
                <w:szCs w:val="20"/>
              </w:rPr>
              <w:t>д.Гребени</w:t>
            </w:r>
          </w:p>
        </w:tc>
        <w:tc>
          <w:tcPr>
            <w:tcW w:w="222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u w:val="single"/>
              </w:rPr>
            </w:pPr>
            <w:r>
              <w:rPr>
                <w:color w:val="000000"/>
                <w:sz w:val="20"/>
                <w:szCs w:val="20"/>
                <w:u w:val="single"/>
              </w:rPr>
              <w:t>243</w:t>
            </w:r>
          </w:p>
          <w:p>
            <w:pPr>
              <w:pStyle w:val="Normal"/>
              <w:ind w:hanging="0"/>
              <w:jc w:val="center"/>
              <w:rPr>
                <w:color w:val="000000"/>
                <w:sz w:val="20"/>
                <w:szCs w:val="20"/>
                <w:u w:val="single"/>
              </w:rPr>
            </w:pPr>
            <w:r>
              <w:rPr>
                <w:color w:val="000000"/>
                <w:sz w:val="20"/>
                <w:szCs w:val="20"/>
                <w:u w:val="single"/>
              </w:rPr>
              <w:t>38,88</w:t>
            </w:r>
          </w:p>
        </w:tc>
        <w:tc>
          <w:tcPr>
            <w:tcW w:w="186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w:t>
            </w:r>
          </w:p>
        </w:tc>
        <w:tc>
          <w:tcPr>
            <w:tcW w:w="220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38,88</w:t>
            </w:r>
          </w:p>
        </w:tc>
        <w:tc>
          <w:tcPr>
            <w:tcW w:w="251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46,66</w:t>
            </w:r>
          </w:p>
        </w:tc>
        <w:tc>
          <w:tcPr>
            <w:tcW w:w="153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3,89</w:t>
            </w:r>
          </w:p>
        </w:tc>
        <w:tc>
          <w:tcPr>
            <w:tcW w:w="1731"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89,43</w:t>
            </w:r>
          </w:p>
        </w:tc>
      </w:tr>
    </w:tbl>
    <w:p>
      <w:pPr>
        <w:pStyle w:val="Normal"/>
        <w:rPr>
          <w:rFonts w:eastAsia="Calibri"/>
          <w:i/>
          <w:i/>
          <w:color w:val="000000"/>
          <w:sz w:val="20"/>
          <w:szCs w:val="20"/>
        </w:rPr>
      </w:pPr>
      <w:r>
        <w:rPr>
          <w:rFonts w:eastAsia="Calibri"/>
          <w:i/>
          <w:color w:val="000000"/>
          <w:sz w:val="20"/>
          <w:szCs w:val="20"/>
        </w:rPr>
        <w:t>Примечание:</w:t>
      </w:r>
    </w:p>
    <w:p>
      <w:pPr>
        <w:pStyle w:val="Normal"/>
        <w:numPr>
          <w:ilvl w:val="0"/>
          <w:numId w:val="13"/>
        </w:numPr>
        <w:rPr>
          <w:rFonts w:eastAsia="Calibri"/>
          <w:color w:val="000000"/>
          <w:sz w:val="20"/>
          <w:szCs w:val="20"/>
        </w:rPr>
      </w:pPr>
      <w:r>
        <w:rPr>
          <w:rFonts w:eastAsia="Calibri"/>
          <w:color w:val="000000"/>
          <w:sz w:val="20"/>
          <w:szCs w:val="20"/>
        </w:rPr>
        <w:t>Столбцы (1), (2) по наименованию соответствуют таблице 4.12.4 по нормам водопотребления на 1 человека.</w:t>
      </w:r>
    </w:p>
    <w:p>
      <w:pPr>
        <w:pStyle w:val="Normal"/>
        <w:jc w:val="right"/>
        <w:rPr>
          <w:color w:val="000000"/>
        </w:rPr>
      </w:pPr>
      <w:r>
        <w:rPr>
          <w:color w:val="000000"/>
        </w:rPr>
        <w:t>Таблица 4.12.6</w:t>
      </w:r>
    </w:p>
    <w:p>
      <w:pPr>
        <w:pStyle w:val="Normal"/>
        <w:ind w:hanging="0"/>
        <w:jc w:val="center"/>
        <w:rPr>
          <w:rFonts w:eastAsia="Calibri"/>
          <w:color w:val="000000"/>
          <w:szCs w:val="28"/>
        </w:rPr>
      </w:pPr>
      <w:r>
        <w:rPr>
          <w:rFonts w:eastAsia="Calibri"/>
          <w:color w:val="000000"/>
          <w:szCs w:val="28"/>
        </w:rPr>
        <w:t xml:space="preserve">Перечень мероприятий по развитию системы водоотведения населенных пунктов, входящих в состав </w:t>
      </w:r>
    </w:p>
    <w:p>
      <w:pPr>
        <w:pStyle w:val="Normal"/>
        <w:jc w:val="center"/>
        <w:rPr>
          <w:color w:val="000000"/>
          <w:szCs w:val="28"/>
        </w:rPr>
      </w:pPr>
      <w:r>
        <w:rPr>
          <w:color w:val="000000"/>
          <w:szCs w:val="28"/>
        </w:rPr>
        <w:t>Вахитовского сельского поселения Верхнеуслонского</w:t>
      </w:r>
      <w:r>
        <w:rPr>
          <w:rFonts w:eastAsia="Calibri"/>
          <w:color w:val="000000"/>
          <w:szCs w:val="28"/>
        </w:rPr>
        <w:t xml:space="preserve"> муниципального района Республики Татарстан</w:t>
      </w:r>
    </w:p>
    <w:tbl>
      <w:tblPr>
        <w:tblW w:w="5000" w:type="pct"/>
        <w:jc w:val="left"/>
        <w:tblInd w:w="-113" w:type="dxa"/>
        <w:tblLayout w:type="fixed"/>
        <w:tblCellMar>
          <w:top w:w="0" w:type="dxa"/>
          <w:left w:w="108" w:type="dxa"/>
          <w:bottom w:w="0" w:type="dxa"/>
          <w:right w:w="108" w:type="dxa"/>
        </w:tblCellMar>
      </w:tblPr>
      <w:tblGrid>
        <w:gridCol w:w="486"/>
        <w:gridCol w:w="3153"/>
        <w:gridCol w:w="1796"/>
        <w:gridCol w:w="2377"/>
        <w:gridCol w:w="1200"/>
        <w:gridCol w:w="1167"/>
        <w:gridCol w:w="1293"/>
        <w:gridCol w:w="1265"/>
        <w:gridCol w:w="2116"/>
      </w:tblGrid>
      <w:tr>
        <w:trPr>
          <w:tblHeader w:val="true"/>
          <w:cantSplit w:val="true"/>
        </w:trPr>
        <w:tc>
          <w:tcPr>
            <w:tcW w:w="48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bookmarkStart w:id="342" w:name="_Hlk151562078"/>
            <w:bookmarkEnd w:id="342"/>
            <w:r>
              <w:rPr>
                <w:color w:val="000000"/>
                <w:sz w:val="20"/>
                <w:szCs w:val="20"/>
              </w:rPr>
              <w:t xml:space="preserve">№ </w:t>
            </w:r>
            <w:r>
              <w:rPr>
                <w:color w:val="000000"/>
                <w:sz w:val="20"/>
                <w:szCs w:val="20"/>
              </w:rPr>
              <w:t>п/п</w:t>
            </w:r>
          </w:p>
        </w:tc>
        <w:tc>
          <w:tcPr>
            <w:tcW w:w="315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Местоположение</w:t>
            </w:r>
          </w:p>
        </w:tc>
        <w:tc>
          <w:tcPr>
            <w:tcW w:w="179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Наименование объекта</w:t>
            </w:r>
          </w:p>
        </w:tc>
        <w:tc>
          <w:tcPr>
            <w:tcW w:w="237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Вид мероприятия</w:t>
            </w:r>
          </w:p>
        </w:tc>
        <w:tc>
          <w:tcPr>
            <w:tcW w:w="120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Ед. измерения</w:t>
            </w:r>
          </w:p>
        </w:tc>
        <w:tc>
          <w:tcPr>
            <w:tcW w:w="11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Мощность</w:t>
            </w:r>
          </w:p>
        </w:tc>
        <w:tc>
          <w:tcPr>
            <w:tcW w:w="2558"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Сроки реализации</w:t>
            </w:r>
          </w:p>
        </w:tc>
        <w:tc>
          <w:tcPr>
            <w:tcW w:w="211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Источник мероприятия</w:t>
            </w:r>
          </w:p>
        </w:tc>
      </w:tr>
      <w:tr>
        <w:trPr>
          <w:tblHeader w:val="true"/>
          <w:cantSplit w:val="true"/>
        </w:trPr>
        <w:tc>
          <w:tcPr>
            <w:tcW w:w="48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left"/>
              <w:rPr>
                <w:color w:val="000000"/>
                <w:sz w:val="20"/>
                <w:szCs w:val="20"/>
              </w:rPr>
            </w:pPr>
            <w:r>
              <w:rPr>
                <w:color w:val="000000"/>
                <w:sz w:val="20"/>
                <w:szCs w:val="20"/>
              </w:rPr>
            </w:r>
          </w:p>
        </w:tc>
        <w:tc>
          <w:tcPr>
            <w:tcW w:w="315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left"/>
              <w:rPr>
                <w:color w:val="000000"/>
                <w:sz w:val="20"/>
                <w:szCs w:val="20"/>
              </w:rPr>
            </w:pPr>
            <w:r>
              <w:rPr>
                <w:color w:val="000000"/>
                <w:sz w:val="20"/>
                <w:szCs w:val="20"/>
              </w:rPr>
            </w:r>
          </w:p>
        </w:tc>
        <w:tc>
          <w:tcPr>
            <w:tcW w:w="179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left"/>
              <w:rPr>
                <w:color w:val="000000"/>
                <w:sz w:val="20"/>
                <w:szCs w:val="20"/>
              </w:rPr>
            </w:pPr>
            <w:r>
              <w:rPr>
                <w:color w:val="000000"/>
                <w:sz w:val="20"/>
                <w:szCs w:val="20"/>
              </w:rPr>
            </w:r>
          </w:p>
        </w:tc>
        <w:tc>
          <w:tcPr>
            <w:tcW w:w="237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left"/>
              <w:rPr>
                <w:color w:val="000000"/>
                <w:sz w:val="20"/>
                <w:szCs w:val="20"/>
              </w:rPr>
            </w:pPr>
            <w:r>
              <w:rPr>
                <w:color w:val="000000"/>
                <w:sz w:val="20"/>
                <w:szCs w:val="20"/>
              </w:rPr>
            </w:r>
          </w:p>
        </w:tc>
        <w:tc>
          <w:tcPr>
            <w:tcW w:w="12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left"/>
              <w:rPr>
                <w:color w:val="000000"/>
                <w:sz w:val="20"/>
                <w:szCs w:val="20"/>
              </w:rPr>
            </w:pPr>
            <w:r>
              <w:rPr>
                <w:color w:val="000000"/>
                <w:sz w:val="20"/>
                <w:szCs w:val="20"/>
              </w:rPr>
            </w:r>
          </w:p>
        </w:tc>
        <w:tc>
          <w:tcPr>
            <w:tcW w:w="116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left"/>
              <w:rPr>
                <w:color w:val="000000"/>
                <w:sz w:val="20"/>
                <w:szCs w:val="20"/>
              </w:rPr>
            </w:pPr>
            <w:r>
              <w:rPr>
                <w:color w:val="000000"/>
                <w:sz w:val="20"/>
                <w:szCs w:val="20"/>
              </w:rPr>
            </w:r>
          </w:p>
        </w:tc>
        <w:tc>
          <w:tcPr>
            <w:tcW w:w="129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Первая очередь (до 2033 г.)</w:t>
            </w:r>
          </w:p>
        </w:tc>
        <w:tc>
          <w:tcPr>
            <w:tcW w:w="126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Расчетный срок</w:t>
            </w:r>
          </w:p>
          <w:p>
            <w:pPr>
              <w:pStyle w:val="Normal"/>
              <w:ind w:hanging="0"/>
              <w:jc w:val="center"/>
              <w:rPr>
                <w:color w:val="000000"/>
                <w:sz w:val="20"/>
                <w:szCs w:val="20"/>
              </w:rPr>
            </w:pPr>
            <w:r>
              <w:rPr>
                <w:color w:val="000000"/>
                <w:sz w:val="20"/>
                <w:szCs w:val="20"/>
              </w:rPr>
              <w:t xml:space="preserve"> </w:t>
            </w:r>
            <w:r>
              <w:rPr>
                <w:color w:val="000000"/>
                <w:sz w:val="20"/>
                <w:szCs w:val="20"/>
              </w:rPr>
              <w:t>(2033-2047 гг.)</w:t>
            </w:r>
          </w:p>
        </w:tc>
        <w:tc>
          <w:tcPr>
            <w:tcW w:w="211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left"/>
              <w:rPr>
                <w:color w:val="000000"/>
                <w:sz w:val="20"/>
                <w:szCs w:val="20"/>
              </w:rPr>
            </w:pPr>
            <w:r>
              <w:rPr>
                <w:color w:val="000000"/>
                <w:sz w:val="20"/>
                <w:szCs w:val="20"/>
              </w:rPr>
            </w:r>
          </w:p>
        </w:tc>
      </w:tr>
      <w:tr>
        <w:trPr>
          <w:tblHeader w:val="true"/>
          <w:cantSplit w:val="true"/>
        </w:trPr>
        <w:tc>
          <w:tcPr>
            <w:tcW w:w="14853" w:type="dxa"/>
            <w:gridSpan w:val="9"/>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aps/>
                <w:color w:val="000000"/>
                <w:sz w:val="20"/>
                <w:szCs w:val="20"/>
              </w:rPr>
            </w:pPr>
            <w:r>
              <w:rPr>
                <w:caps/>
                <w:color w:val="000000"/>
                <w:sz w:val="20"/>
                <w:szCs w:val="20"/>
              </w:rPr>
              <w:t>МЕРОПРИЯТИЯ МЕСТНОГО (РАЙОННОГО) ЗНАЧЕНИЯ)</w:t>
            </w:r>
          </w:p>
        </w:tc>
      </w:tr>
      <w:tr>
        <w:trPr>
          <w:cantSplit w:val="true"/>
        </w:trPr>
        <w:tc>
          <w:tcPr>
            <w:tcW w:w="486"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59"/>
              </w:numPr>
              <w:tabs>
                <w:tab w:val="clear" w:pos="709"/>
                <w:tab w:val="left" w:pos="351" w:leader="none"/>
              </w:tabs>
              <w:jc w:val="center"/>
              <w:rPr>
                <w:color w:val="000000"/>
                <w:sz w:val="20"/>
                <w:szCs w:val="20"/>
              </w:rPr>
            </w:pPr>
            <w:r>
              <w:rPr>
                <w:color w:val="000000"/>
                <w:sz w:val="20"/>
                <w:szCs w:val="20"/>
              </w:rPr>
              <w:t>3</w:t>
            </w:r>
          </w:p>
        </w:tc>
        <w:tc>
          <w:tcPr>
            <w:tcW w:w="315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д.им. Мулланура Вахитова</w:t>
            </w:r>
          </w:p>
          <w:p>
            <w:pPr>
              <w:pStyle w:val="Normal"/>
              <w:ind w:hanging="0"/>
              <w:jc w:val="center"/>
              <w:rPr>
                <w:color w:val="000000"/>
                <w:sz w:val="20"/>
                <w:szCs w:val="20"/>
              </w:rPr>
            </w:pPr>
            <w:r>
              <w:rPr>
                <w:color w:val="000000"/>
                <w:sz w:val="20"/>
                <w:szCs w:val="20"/>
              </w:rPr>
              <w:t>п.Бакча-Сарай</w:t>
            </w:r>
          </w:p>
          <w:p>
            <w:pPr>
              <w:pStyle w:val="Normal"/>
              <w:ind w:hanging="0"/>
              <w:jc w:val="center"/>
              <w:rPr>
                <w:color w:val="000000"/>
                <w:sz w:val="20"/>
                <w:szCs w:val="20"/>
              </w:rPr>
            </w:pPr>
            <w:r>
              <w:rPr>
                <w:color w:val="000000"/>
                <w:sz w:val="20"/>
                <w:szCs w:val="20"/>
              </w:rPr>
              <w:t>с.Ташевка</w:t>
            </w:r>
          </w:p>
          <w:p>
            <w:pPr>
              <w:pStyle w:val="Normal"/>
              <w:ind w:hanging="0"/>
              <w:jc w:val="center"/>
              <w:rPr>
                <w:color w:val="000000"/>
                <w:sz w:val="20"/>
                <w:szCs w:val="20"/>
              </w:rPr>
            </w:pPr>
            <w:r>
              <w:rPr>
                <w:color w:val="000000"/>
                <w:sz w:val="20"/>
                <w:szCs w:val="20"/>
              </w:rPr>
              <w:t>д.Ватан</w:t>
            </w:r>
          </w:p>
          <w:p>
            <w:pPr>
              <w:pStyle w:val="Normal"/>
              <w:ind w:hanging="0"/>
              <w:jc w:val="center"/>
              <w:rPr>
                <w:color w:val="000000"/>
                <w:sz w:val="20"/>
                <w:szCs w:val="20"/>
              </w:rPr>
            </w:pPr>
            <w:r>
              <w:rPr>
                <w:color w:val="000000"/>
                <w:sz w:val="20"/>
                <w:szCs w:val="20"/>
              </w:rPr>
              <w:t>д.Гребени</w:t>
            </w:r>
          </w:p>
          <w:p>
            <w:pPr>
              <w:pStyle w:val="Normal"/>
              <w:ind w:hanging="0"/>
              <w:jc w:val="center"/>
              <w:rPr>
                <w:color w:val="000000"/>
                <w:sz w:val="20"/>
                <w:szCs w:val="20"/>
              </w:rPr>
            </w:pPr>
            <w:r>
              <w:rPr>
                <w:color w:val="000000"/>
                <w:sz w:val="20"/>
                <w:szCs w:val="20"/>
              </w:rPr>
              <w:t>(индивидуальная застройка)</w:t>
            </w:r>
          </w:p>
        </w:tc>
        <w:tc>
          <w:tcPr>
            <w:tcW w:w="1796"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14"/>
              </w:numPr>
              <w:tabs>
                <w:tab w:val="clear" w:pos="709"/>
                <w:tab w:val="left" w:pos="351" w:leader="none"/>
              </w:tabs>
              <w:jc w:val="center"/>
              <w:rPr>
                <w:color w:val="000000"/>
                <w:sz w:val="20"/>
                <w:szCs w:val="20"/>
              </w:rPr>
            </w:pPr>
            <w:r>
              <w:rPr>
                <w:color w:val="000000"/>
                <w:sz w:val="20"/>
                <w:szCs w:val="20"/>
              </w:rPr>
              <w:t>Автономная система канализации</w:t>
            </w:r>
          </w:p>
        </w:tc>
        <w:tc>
          <w:tcPr>
            <w:tcW w:w="2377"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14"/>
              </w:numPr>
              <w:tabs>
                <w:tab w:val="clear" w:pos="709"/>
                <w:tab w:val="left" w:pos="351" w:leader="none"/>
              </w:tabs>
              <w:jc w:val="center"/>
              <w:rPr>
                <w:color w:val="000000"/>
                <w:sz w:val="20"/>
                <w:szCs w:val="20"/>
              </w:rPr>
            </w:pPr>
            <w:r>
              <w:rPr>
                <w:color w:val="000000"/>
                <w:sz w:val="20"/>
                <w:szCs w:val="20"/>
              </w:rPr>
              <w:t>Новое строительство</w:t>
            </w:r>
          </w:p>
        </w:tc>
        <w:tc>
          <w:tcPr>
            <w:tcW w:w="1200"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14"/>
              </w:numPr>
              <w:tabs>
                <w:tab w:val="clear" w:pos="709"/>
                <w:tab w:val="left" w:pos="351" w:leader="none"/>
              </w:tabs>
              <w:jc w:val="center"/>
              <w:rPr>
                <w:color w:val="000000"/>
                <w:sz w:val="20"/>
                <w:szCs w:val="20"/>
              </w:rPr>
            </w:pPr>
            <w:r>
              <w:rPr>
                <w:color w:val="000000"/>
                <w:sz w:val="20"/>
                <w:szCs w:val="20"/>
              </w:rPr>
              <w:t>шт.</w:t>
            </w:r>
          </w:p>
        </w:tc>
        <w:tc>
          <w:tcPr>
            <w:tcW w:w="1167"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14"/>
              </w:numPr>
              <w:tabs>
                <w:tab w:val="clear" w:pos="709"/>
                <w:tab w:val="left" w:pos="351" w:leader="none"/>
              </w:tabs>
              <w:jc w:val="center"/>
              <w:rPr>
                <w:color w:val="000000"/>
                <w:sz w:val="20"/>
                <w:szCs w:val="20"/>
              </w:rPr>
            </w:pPr>
            <w:r>
              <w:rPr>
                <w:color w:val="000000"/>
                <w:sz w:val="20"/>
                <w:szCs w:val="20"/>
              </w:rPr>
              <w:t>-</w:t>
            </w:r>
          </w:p>
        </w:tc>
        <w:tc>
          <w:tcPr>
            <w:tcW w:w="1293"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14"/>
              </w:numPr>
              <w:tabs>
                <w:tab w:val="clear" w:pos="709"/>
                <w:tab w:val="left" w:pos="351" w:leader="none"/>
              </w:tabs>
              <w:jc w:val="center"/>
              <w:rPr>
                <w:color w:val="000000"/>
                <w:sz w:val="20"/>
                <w:szCs w:val="20"/>
              </w:rPr>
            </w:pPr>
            <w:r>
              <w:rPr>
                <w:color w:val="000000"/>
                <w:sz w:val="20"/>
                <w:szCs w:val="20"/>
              </w:rPr>
              <w:t>+</w:t>
            </w:r>
          </w:p>
        </w:tc>
        <w:tc>
          <w:tcPr>
            <w:tcW w:w="1265"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14"/>
              </w:numPr>
              <w:tabs>
                <w:tab w:val="clear" w:pos="709"/>
                <w:tab w:val="left" w:pos="351" w:leader="none"/>
              </w:tabs>
              <w:jc w:val="center"/>
              <w:rPr>
                <w:color w:val="000000"/>
                <w:sz w:val="20"/>
                <w:szCs w:val="20"/>
              </w:rPr>
            </w:pPr>
            <w:r>
              <w:rPr>
                <w:color w:val="000000"/>
                <w:sz w:val="20"/>
                <w:szCs w:val="20"/>
              </w:rPr>
              <w:t>+</w:t>
            </w:r>
          </w:p>
        </w:tc>
        <w:tc>
          <w:tcPr>
            <w:tcW w:w="211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pPr>
            <w:r>
              <w:rPr>
                <w:color w:val="000000"/>
                <w:sz w:val="20"/>
                <w:szCs w:val="20"/>
              </w:rPr>
              <w:t>Генеральный план Вахитовского СП</w:t>
            </w:r>
          </w:p>
        </w:tc>
      </w:tr>
    </w:tbl>
    <w:p>
      <w:pPr>
        <w:pStyle w:val="Normal"/>
        <w:jc w:val="center"/>
        <w:rPr>
          <w:color w:val="FF0066"/>
          <w:szCs w:val="28"/>
        </w:rPr>
      </w:pPr>
      <w:r>
        <w:rPr>
          <w:color w:val="FF0066"/>
          <w:szCs w:val="28"/>
        </w:rPr>
      </w:r>
    </w:p>
    <w:p>
      <w:pPr>
        <w:pStyle w:val="Normal"/>
        <w:jc w:val="center"/>
        <w:rPr>
          <w:color w:val="FF0066"/>
          <w:szCs w:val="28"/>
        </w:rPr>
      </w:pPr>
      <w:r>
        <w:rPr>
          <w:color w:val="FF0066"/>
          <w:szCs w:val="28"/>
        </w:rPr>
      </w:r>
    </w:p>
    <w:p>
      <w:pPr>
        <w:pStyle w:val="Normal"/>
        <w:jc w:val="center"/>
        <w:rPr>
          <w:color w:val="FF0066"/>
          <w:szCs w:val="28"/>
        </w:rPr>
      </w:pPr>
      <w:r>
        <w:rPr>
          <w:color w:val="FF0066"/>
          <w:szCs w:val="28"/>
        </w:rPr>
      </w:r>
    </w:p>
    <w:p>
      <w:pPr>
        <w:sectPr>
          <w:footerReference w:type="default" r:id="rId148"/>
          <w:footerReference w:type="first" r:id="rId149"/>
          <w:footnotePr>
            <w:numFmt w:val="decimal"/>
          </w:footnotePr>
          <w:type w:val="nextPage"/>
          <w:pgSz w:orient="landscape" w:w="16838" w:h="11906"/>
          <w:pgMar w:left="1134" w:right="851" w:gutter="0" w:header="0" w:top="851" w:footer="709" w:bottom="851"/>
          <w:pgNumType w:fmt="decimal"/>
          <w:formProt w:val="false"/>
          <w:titlePg/>
          <w:textDirection w:val="lrTb"/>
          <w:docGrid w:type="default" w:linePitch="360" w:charSpace="0"/>
        </w:sectPr>
        <w:pStyle w:val="Normal"/>
        <w:rPr>
          <w:color w:val="FF0066"/>
          <w:sz w:val="24"/>
          <w:szCs w:val="28"/>
        </w:rPr>
      </w:pPr>
      <w:r>
        <w:rPr>
          <w:color w:val="FF0066"/>
          <w:sz w:val="24"/>
          <w:szCs w:val="28"/>
        </w:rPr>
      </w:r>
    </w:p>
    <w:p>
      <w:pPr>
        <w:pStyle w:val="Normal"/>
        <w:tabs>
          <w:tab w:val="clear" w:pos="709"/>
          <w:tab w:val="left" w:pos="708" w:leader="none"/>
        </w:tabs>
        <w:jc w:val="both"/>
        <w:rPr>
          <w:color w:val="000000"/>
          <w:szCs w:val="28"/>
        </w:rPr>
      </w:pPr>
      <w:r>
        <w:rPr>
          <w:color w:val="000000"/>
          <w:szCs w:val="28"/>
        </w:rPr>
        <w:t>Автономная система канализации должна обеспечивать сбор сточных вод от выпуска из дома, их отведение к автономным сооружениям для очистки, с дальнейшим вывозом сточных вод на существующие очистные сооружения в муниципальном районе.</w:t>
      </w:r>
    </w:p>
    <w:p>
      <w:pPr>
        <w:pStyle w:val="Normal"/>
        <w:tabs>
          <w:tab w:val="clear" w:pos="709"/>
          <w:tab w:val="left" w:pos="708" w:leader="none"/>
        </w:tabs>
        <w:jc w:val="both"/>
        <w:rPr>
          <w:color w:val="000000"/>
          <w:szCs w:val="28"/>
        </w:rPr>
      </w:pPr>
      <w:r>
        <w:rPr>
          <w:color w:val="000000"/>
          <w:szCs w:val="28"/>
        </w:rPr>
        <w:t>Автономные очистные сооружения предлагается устанавливать на территории домовладений или как отдельно стоящие очистные сооружения для нескольких зданий (как правило, объектов социально-бытового обслуживания).</w:t>
      </w:r>
    </w:p>
    <w:p>
      <w:pPr>
        <w:pStyle w:val="Normal"/>
        <w:tabs>
          <w:tab w:val="clear" w:pos="709"/>
          <w:tab w:val="left" w:pos="708" w:leader="none"/>
        </w:tabs>
        <w:jc w:val="both"/>
        <w:rPr/>
      </w:pPr>
      <w:r>
        <w:rPr>
          <w:color w:val="000000"/>
          <w:szCs w:val="28"/>
        </w:rPr>
        <w:t xml:space="preserve">Сточные воды предлагается очищать установками биологической и глубокой очистки хозяйственно бытовых стоков в различных модификациях заводского изготовления (производительностью от 1 до 20 м3/сутки в зависимости от объема стока с объекта канализования) с приведением качества очищенных стоков в соответствие с действующими нормативами.  Технология очистки на установках биологической очистки должна предусматривать процессы денитрификации и дефосфации сточной воды с последующим обеззараживанием очищенных сточных вод на установке ультразвуковых блоков кавитации. </w:t>
      </w:r>
    </w:p>
    <w:p>
      <w:pPr>
        <w:pStyle w:val="Normal"/>
        <w:tabs>
          <w:tab w:val="clear" w:pos="709"/>
          <w:tab w:val="left" w:pos="708" w:leader="none"/>
        </w:tabs>
        <w:jc w:val="both"/>
        <w:rPr/>
      </w:pPr>
      <w:r>
        <w:rPr>
          <w:color w:val="000000"/>
          <w:szCs w:val="28"/>
        </w:rPr>
        <w:t>Накопительные емкости очищенных сточных вод необходимы для регулирования пиков между режимами сброса очищенных сточных и их расходом на последующие нужды (на полив или пожаротушение).</w:t>
      </w:r>
    </w:p>
    <w:p>
      <w:pPr>
        <w:pStyle w:val="Normal"/>
        <w:tabs>
          <w:tab w:val="clear" w:pos="709"/>
          <w:tab w:val="left" w:pos="708" w:leader="none"/>
        </w:tabs>
        <w:jc w:val="both"/>
        <w:rPr>
          <w:color w:val="000000"/>
          <w:szCs w:val="28"/>
        </w:rPr>
      </w:pPr>
      <w:r>
        <w:rPr>
          <w:color w:val="000000"/>
          <w:szCs w:val="28"/>
        </w:rPr>
        <w:t>Уменьшение количества сбрасываемых сточных вод возможно за счет повторного использования очищенных сточных вод на полив приусадебных участков или зеленых насаждений на территории населенного пункта, на производственные нужды ферм КРС, что приведет к сокращению общего потребления воды.</w:t>
      </w:r>
    </w:p>
    <w:p>
      <w:pPr>
        <w:pStyle w:val="Normal"/>
        <w:tabs>
          <w:tab w:val="clear" w:pos="709"/>
          <w:tab w:val="left" w:pos="708" w:leader="none"/>
        </w:tabs>
        <w:jc w:val="both"/>
        <w:rPr/>
      </w:pPr>
      <w:r>
        <w:rPr>
          <w:color w:val="000000"/>
          <w:szCs w:val="28"/>
        </w:rPr>
        <w:t xml:space="preserve">Развитие технологий рециклинга и повторного использования сточных вод будет способствовать улучшению качества воды в водотоках и водоемах и в целом экологической обстановки в бассейнах рек и озер, а также экономии водных ресурсов за счет уменьшения водозабора и сброса загрязняющих веществ со сточными водами. </w:t>
      </w:r>
    </w:p>
    <w:p>
      <w:pPr>
        <w:pStyle w:val="Normal"/>
        <w:tabs>
          <w:tab w:val="clear" w:pos="709"/>
          <w:tab w:val="left" w:pos="708" w:leader="none"/>
        </w:tabs>
        <w:jc w:val="both"/>
        <w:rPr/>
      </w:pPr>
      <w:r>
        <w:rPr>
          <w:color w:val="000000"/>
          <w:szCs w:val="28"/>
        </w:rPr>
        <w:t>При разработке как централизованной, так и автономной системы канализации следует учитывать номенклатуру как отечественного, так и импортного оборудования, поступающего в Россию, а также Справочник по наилучшим доступным технологиям ИТС 10-2019 по очистке сточных вод. Правильный выбор и рациональное использование технологий обеспечит надежную и эффективную работу локальных систем.</w:t>
      </w:r>
    </w:p>
    <w:p>
      <w:pPr>
        <w:pStyle w:val="Normal"/>
        <w:jc w:val="both"/>
        <w:rPr/>
      </w:pPr>
      <w:r>
        <w:rPr>
          <w:color w:val="000000"/>
          <w:szCs w:val="28"/>
        </w:rPr>
        <w:t>Мероприятия по обеспечению сетями/объектами водоотведения должны быть выполнены до начала о</w:t>
      </w:r>
      <w:r>
        <w:rPr>
          <w:color w:val="000000"/>
          <w:szCs w:val="20"/>
        </w:rPr>
        <w:t xml:space="preserve">своения участков нового жилищного строительства. </w:t>
      </w:r>
    </w:p>
    <w:p>
      <w:pPr>
        <w:pStyle w:val="Normal"/>
        <w:tabs>
          <w:tab w:val="clear" w:pos="709"/>
          <w:tab w:val="left" w:pos="708" w:leader="none"/>
        </w:tabs>
        <w:jc w:val="both"/>
        <w:rPr>
          <w:color w:val="000000"/>
          <w:szCs w:val="28"/>
        </w:rPr>
      </w:pPr>
      <w:r>
        <w:rPr>
          <w:color w:val="000000"/>
          <w:szCs w:val="28"/>
        </w:rPr>
        <w:t>Генеральным планом предлагаются организационные мероприятия, направленные на отказ от использования устаревших и неэффективных технологий и переход на принципы наилучших доступных технологий с внедрением современных инновационных технологий.</w:t>
      </w:r>
    </w:p>
    <w:p>
      <w:pPr>
        <w:pStyle w:val="Normal"/>
        <w:jc w:val="both"/>
        <w:rPr>
          <w:b/>
          <w:color w:val="000000"/>
          <w:szCs w:val="28"/>
        </w:rPr>
      </w:pPr>
      <w:r>
        <w:rPr>
          <w:b/>
          <w:color w:val="000000"/>
          <w:szCs w:val="28"/>
        </w:rPr>
        <w:t>Организация поверхностного стока</w:t>
      </w:r>
    </w:p>
    <w:p>
      <w:pPr>
        <w:pStyle w:val="Normal"/>
        <w:jc w:val="both"/>
        <w:rPr/>
      </w:pPr>
      <w:r>
        <w:rPr>
          <w:color w:val="000000"/>
          <w:szCs w:val="28"/>
        </w:rPr>
        <w:t>В целях благоустройства планируемой территории, улучшения ее общих и санитарных условий проектом предусматривается организация поверхностного стока и устройство сети водостоков.</w:t>
      </w:r>
    </w:p>
    <w:p>
      <w:pPr>
        <w:pStyle w:val="Normal"/>
        <w:jc w:val="both"/>
        <w:rPr>
          <w:color w:val="000000"/>
          <w:szCs w:val="28"/>
        </w:rPr>
      </w:pPr>
      <w:r>
        <w:rPr>
          <w:color w:val="000000"/>
          <w:szCs w:val="28"/>
        </w:rPr>
        <w:t>На первую очередь проектом предлагается открытая сеть ливнестоков. Она является простейшей системой, не требующей сложных и дорогих сооружений.</w:t>
      </w:r>
    </w:p>
    <w:p>
      <w:pPr>
        <w:pStyle w:val="Normal"/>
        <w:jc w:val="both"/>
        <w:rPr>
          <w:color w:val="000000"/>
          <w:szCs w:val="28"/>
        </w:rPr>
      </w:pPr>
      <w:r>
        <w:rPr>
          <w:color w:val="000000"/>
          <w:szCs w:val="28"/>
        </w:rPr>
        <w:t>Выполняется по всей территории сельского поселения, по открытым лоткам (кюветам) с обеих сторон дороги – в населенных пунктах.</w:t>
      </w:r>
    </w:p>
    <w:p>
      <w:pPr>
        <w:pStyle w:val="Normal"/>
        <w:jc w:val="both"/>
        <w:rPr>
          <w:color w:val="000000"/>
          <w:szCs w:val="28"/>
        </w:rPr>
      </w:pPr>
      <w:r>
        <w:rPr>
          <w:color w:val="000000"/>
          <w:szCs w:val="28"/>
        </w:rPr>
        <w:t>Вид и размеры сечения канав и кюветов назначаются в соответствии с гидравлическим расчетом. Глубина их не должна превышать 1,2 м. Крутизна откосов кюветов 1:1.5 Продольные уклоны по кюветам назначают не менее 0,003 (0.3%).</w:t>
      </w:r>
    </w:p>
    <w:p>
      <w:pPr>
        <w:pStyle w:val="Normal"/>
        <w:jc w:val="both"/>
        <w:rPr>
          <w:color w:val="000000"/>
          <w:szCs w:val="28"/>
        </w:rPr>
      </w:pPr>
      <w:r>
        <w:rPr>
          <w:color w:val="000000"/>
          <w:szCs w:val="28"/>
        </w:rPr>
        <w:t>Более точно глубину заложения, длину и местоположения водоотводных лотков определить отдельным рабочим проектом при проектировании дорог.</w:t>
      </w:r>
    </w:p>
    <w:p>
      <w:pPr>
        <w:pStyle w:val="Normal"/>
        <w:jc w:val="both"/>
        <w:rPr>
          <w:color w:val="000000"/>
          <w:szCs w:val="28"/>
        </w:rPr>
      </w:pPr>
      <w:r>
        <w:rPr>
          <w:color w:val="000000"/>
          <w:szCs w:val="28"/>
        </w:rPr>
        <w:t>Через дороги водостоки из кюветов пропустить по железобетонным трубам и лоткам. Их диаметр, длину, уклон определить на стадии рабочего проекта.</w:t>
      </w:r>
    </w:p>
    <w:p>
      <w:pPr>
        <w:pStyle w:val="Normal"/>
        <w:jc w:val="both"/>
        <w:rPr>
          <w:color w:val="000000"/>
          <w:szCs w:val="28"/>
        </w:rPr>
      </w:pPr>
      <w:r>
        <w:rPr>
          <w:color w:val="000000"/>
          <w:szCs w:val="28"/>
        </w:rPr>
        <w:t>Учитывая повышенные требования к охране водного бассейна и к качеству воды, выпуск загрязненных поверхностных вод с территории населенных пунктов рекомендуется выполнять через очистные сооружения с последующим сбросом, после соответствующей очистки, в водоприемники.</w:t>
      </w:r>
    </w:p>
    <w:p>
      <w:pPr>
        <w:pStyle w:val="Normal"/>
        <w:jc w:val="both"/>
        <w:rPr>
          <w:color w:val="000000"/>
          <w:szCs w:val="28"/>
        </w:rPr>
      </w:pPr>
      <w:r>
        <w:rPr>
          <w:color w:val="000000"/>
          <w:szCs w:val="28"/>
        </w:rPr>
        <w:t>На расчетный срок, с увеличением благоустройства территории, проектом предлагается водосточная сеть закрытого типа. Она является наиболее совершенной и отвечает всем требованиям благоустройства территорий. Состоит из подземной сети водосточных труб – коллекторов, с приемом поверхностных вод дождеприемными колодцами и направлением собранных вод в водосточную сеть.</w:t>
      </w:r>
    </w:p>
    <w:p>
      <w:pPr>
        <w:pStyle w:val="Normal"/>
        <w:jc w:val="both"/>
        <w:rPr>
          <w:color w:val="000000"/>
          <w:szCs w:val="28"/>
        </w:rPr>
      </w:pPr>
      <w:r>
        <w:rPr>
          <w:color w:val="000000"/>
          <w:szCs w:val="28"/>
        </w:rPr>
        <w:t>Сеть дождевой канализации (закрытого типа) предназначена для отвода атмосферных вод с территории проездов, крыш и площадей.</w:t>
      </w:r>
    </w:p>
    <w:p>
      <w:pPr>
        <w:pStyle w:val="Normal"/>
        <w:jc w:val="both"/>
        <w:rPr>
          <w:color w:val="000000"/>
          <w:szCs w:val="28"/>
        </w:rPr>
      </w:pPr>
      <w:r>
        <w:rPr>
          <w:color w:val="000000"/>
          <w:szCs w:val="28"/>
        </w:rPr>
        <w:t>Поверхностные стоки с особо загрязненных участков, расположенных на селитебных территориях населенных пунктов должны подвергаться очистке на локальных очистных сооружениях перед сбросом их в водоемы или сеть дождевой канализации. На очистные сооружения должна отводиться наиболее загрязненная часть поверхностного стока, которая образуется в период выпадения дождей, таяния снежного покрова и мойки дорожных покрытий.</w:t>
      </w:r>
    </w:p>
    <w:p>
      <w:pPr>
        <w:pStyle w:val="Normal"/>
        <w:jc w:val="both"/>
        <w:rPr>
          <w:color w:val="000000"/>
          <w:szCs w:val="28"/>
        </w:rPr>
      </w:pPr>
      <w:r>
        <w:rPr>
          <w:color w:val="000000"/>
          <w:szCs w:val="28"/>
        </w:rPr>
        <w:t>Пиковые расходы, относящиеся к наиболее интенсивной части дождя и наибольшему стоку талых вод, сбрасываются в водоем без очистки.</w:t>
      </w:r>
    </w:p>
    <w:p>
      <w:pPr>
        <w:pStyle w:val="Normal"/>
        <w:jc w:val="both"/>
        <w:rPr/>
      </w:pPr>
      <w:r>
        <w:rPr>
          <w:color w:val="000000"/>
          <w:szCs w:val="28"/>
        </w:rPr>
        <w:t>Перед очистными сооружениями необходимо запроектировать аккумулирующую емкость. Условно-чистые дождевые стоки по обводной линии сбрасываются вместе с очищенными стоками в водоприемники, согласно техническим условиям.</w:t>
      </w:r>
    </w:p>
    <w:p>
      <w:pPr>
        <w:pStyle w:val="Normal"/>
        <w:jc w:val="both"/>
        <w:rPr/>
      </w:pPr>
      <w:r>
        <w:rPr>
          <w:color w:val="000000"/>
          <w:szCs w:val="28"/>
        </w:rPr>
        <w:t>Аккумулированный дождевой сток отстаивают в течении 1-2 суток. При этом достигается снижение содержания взвешенных веществ и ХПК на 80-90%. Продолжительность отвода осветленной воды принимается в пределах 1-2 суток.</w:t>
      </w:r>
    </w:p>
    <w:p>
      <w:pPr>
        <w:pStyle w:val="Normal"/>
        <w:jc w:val="both"/>
        <w:rPr>
          <w:color w:val="000000"/>
          <w:szCs w:val="28"/>
        </w:rPr>
      </w:pPr>
      <w:r>
        <w:rPr>
          <w:color w:val="000000"/>
          <w:szCs w:val="28"/>
        </w:rPr>
        <w:t>Поверхностные сточные воды с внеселитебных территорий (промышленных предприятий, складских хозяйств, автохозяйств и др.), а также с особо загрязненных участков, расположенных на селитебных территориях (бензозаправочные станции, стоянки автомашин, крупные автобусные станции и др.), должны подвергаться очистке на локальных или кустовых очистных сооружениях перед сбросом их в водоемы или сеть дождевой канализации.</w:t>
      </w:r>
    </w:p>
    <w:p>
      <w:pPr>
        <w:pStyle w:val="Normal"/>
        <w:jc w:val="both"/>
        <w:rPr>
          <w:color w:val="000000"/>
          <w:szCs w:val="28"/>
        </w:rPr>
      </w:pPr>
      <w:r>
        <w:rPr>
          <w:color w:val="000000"/>
          <w:szCs w:val="28"/>
        </w:rPr>
        <w:t>По коллекторам дождевой канализации на очистные сооружения могут поступать условно-чистые воды, которые допускается сбрасывать в поселковую сеть дождевой канализации:</w:t>
      </w:r>
    </w:p>
    <w:p>
      <w:pPr>
        <w:pStyle w:val="Normal"/>
        <w:jc w:val="both"/>
        <w:rPr/>
      </w:pPr>
      <w:r>
        <w:rPr>
          <w:color w:val="000000"/>
          <w:szCs w:val="28"/>
        </w:rPr>
        <w:t>- условно-чистые воды производственные;</w:t>
      </w:r>
    </w:p>
    <w:p>
      <w:pPr>
        <w:pStyle w:val="Normal"/>
        <w:jc w:val="both"/>
        <w:rPr/>
      </w:pPr>
      <w:r>
        <w:rPr>
          <w:color w:val="000000"/>
          <w:szCs w:val="28"/>
        </w:rPr>
        <w:t>- конденсационные и от охлаждения производственной аппаратуры, не требующие очистки;</w:t>
      </w:r>
    </w:p>
    <w:p>
      <w:pPr>
        <w:pStyle w:val="Normal"/>
        <w:jc w:val="both"/>
        <w:rPr/>
      </w:pPr>
      <w:r>
        <w:rPr>
          <w:color w:val="000000"/>
          <w:szCs w:val="28"/>
        </w:rPr>
        <w:t>- грунтовые (дренажные) воды;</w:t>
      </w:r>
    </w:p>
    <w:p>
      <w:pPr>
        <w:pStyle w:val="Normal"/>
        <w:jc w:val="both"/>
        <w:rPr/>
      </w:pPr>
      <w:r>
        <w:rPr>
          <w:color w:val="000000"/>
          <w:szCs w:val="28"/>
        </w:rPr>
        <w:t>- воды от мойки автомашин после их очистки на локальных очистных сооружениях.</w:t>
      </w:r>
    </w:p>
    <w:p>
      <w:pPr>
        <w:pStyle w:val="Normal"/>
        <w:jc w:val="both"/>
        <w:rPr/>
      </w:pPr>
      <w:r>
        <w:rPr>
          <w:color w:val="000000"/>
          <w:szCs w:val="28"/>
        </w:rPr>
        <w:t>Состав этих вод должен удовлетворять требованиям СанПиН 2.1.3684-21 «</w:t>
      </w:r>
      <w:r>
        <w:rPr>
          <w:bCs/>
          <w:color w:val="000000"/>
          <w:szCs w:val="28"/>
        </w:rPr>
        <w:t xml:space="preserve">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r>
        <w:rPr>
          <w:color w:val="000000"/>
          <w:szCs w:val="28"/>
        </w:rPr>
        <w:t>и их выпуск должен быть подтвержден органами Государственного санитарного надзора.</w:t>
      </w:r>
    </w:p>
    <w:p>
      <w:pPr>
        <w:pStyle w:val="Normal"/>
        <w:jc w:val="both"/>
        <w:rPr/>
      </w:pPr>
      <w:r>
        <w:rPr>
          <w:color w:val="000000"/>
          <w:szCs w:val="28"/>
        </w:rPr>
        <w:t>С территорий, застроенных одно и двухэтажной застройкой, сброс дождевых вод проектируется посредством применения открытых водоотводящих устройств (уличные лотки, дорожные кюветы, водоотводные канавы) с устройством мостиков или труб на пересечении с улицами, дорогами, проездами и тротуарами. Продольный уклон лотков не должен быть менее 0,003.</w:t>
      </w:r>
    </w:p>
    <w:p>
      <w:pPr>
        <w:pStyle w:val="Normal"/>
        <w:jc w:val="both"/>
        <w:rPr>
          <w:color w:val="000000"/>
          <w:szCs w:val="28"/>
        </w:rPr>
      </w:pPr>
      <w:r>
        <w:rPr>
          <w:color w:val="000000"/>
          <w:szCs w:val="28"/>
        </w:rPr>
        <w:t>Дождеприемные колодцы устанавливаются вдоль лотков дорог на затяжных участках спусков (подъемов), на перекрестках и пешеходных переходах со стороны притока поверхностных вод, в пониженных местах при пилообразном профиле лотков дорог, в местах понижений, дворовых и парковых территорий, не имеющих стока поверхностных вод. Соединяются дождеприемники ветками с основным коллектором.</w:t>
      </w:r>
    </w:p>
    <w:p>
      <w:pPr>
        <w:pStyle w:val="Normal"/>
        <w:jc w:val="both"/>
        <w:rPr>
          <w:color w:val="000000"/>
          <w:szCs w:val="28"/>
        </w:rPr>
      </w:pPr>
      <w:r>
        <w:rPr>
          <w:color w:val="000000"/>
          <w:szCs w:val="28"/>
        </w:rPr>
        <w:t>Диаметр водоотводного коллектора должен быть определен расчетом на стадии рабочего проекта.</w:t>
      </w:r>
    </w:p>
    <w:p>
      <w:pPr>
        <w:pStyle w:val="Normal"/>
        <w:jc w:val="both"/>
        <w:rPr>
          <w:color w:val="000000"/>
          <w:szCs w:val="28"/>
        </w:rPr>
      </w:pPr>
      <w:r>
        <w:rPr>
          <w:color w:val="000000"/>
          <w:szCs w:val="28"/>
        </w:rPr>
        <w:t>Нормальная глубина заложения водосточных коллекторов 2-3 м, предельная 5-6 м.</w:t>
      </w:r>
    </w:p>
    <w:p>
      <w:pPr>
        <w:pStyle w:val="Normal"/>
        <w:jc w:val="both"/>
        <w:rPr>
          <w:color w:val="000000"/>
          <w:szCs w:val="28"/>
        </w:rPr>
      </w:pPr>
      <w:r>
        <w:rPr>
          <w:color w:val="000000"/>
          <w:szCs w:val="28"/>
        </w:rPr>
        <w:t>Сброс ливневых вод после предварительной очистки должен производиться в водоприемники, расположенные за пределами зоны санитарной охраны источников водоснабжения.</w:t>
      </w:r>
    </w:p>
    <w:p>
      <w:pPr>
        <w:pStyle w:val="Normal"/>
        <w:jc w:val="both"/>
        <w:rPr>
          <w:color w:val="000000"/>
          <w:szCs w:val="28"/>
        </w:rPr>
      </w:pPr>
      <w:r>
        <w:rPr>
          <w:color w:val="000000"/>
          <w:szCs w:val="28"/>
        </w:rPr>
        <w:t>Закрытая сеть водостоков предусматривается в зоне застройки по проездам, огражденным бортовыми камнями, и на территориях с незначительными уклонами – менее 0,004, на площадях, в местах расположения общественных зданий, где применение открытого типа водоотвода неприемлемо с точки зрения требований благоустройства.</w:t>
      </w:r>
    </w:p>
    <w:p>
      <w:pPr>
        <w:pStyle w:val="Normal"/>
        <w:jc w:val="both"/>
        <w:rPr/>
      </w:pPr>
      <w:r>
        <w:rPr>
          <w:color w:val="000000"/>
          <w:szCs w:val="28"/>
        </w:rPr>
        <w:t>Степень очистки сточных вод, сбрасываемых в водные объекты, должна отвечать требованиям СанПиН 2.1.3684-21 «</w:t>
      </w:r>
      <w:r>
        <w:rPr>
          <w:bCs/>
          <w:color w:val="000000"/>
          <w:szCs w:val="28"/>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color w:val="000000"/>
          <w:szCs w:val="28"/>
        </w:rPr>
        <w:t xml:space="preserve"> Необходимо выявлять возможность использования условно чистых дождевых вод для оборотного водоснабжения в технических целях, использование обезвреженных осадков для удобрения и других целей.</w:t>
      </w:r>
    </w:p>
    <w:p>
      <w:pPr>
        <w:pStyle w:val="Normal"/>
        <w:jc w:val="both"/>
        <w:rPr>
          <w:color w:val="000000"/>
          <w:szCs w:val="28"/>
        </w:rPr>
      </w:pPr>
      <w:r>
        <w:rPr>
          <w:color w:val="000000"/>
          <w:szCs w:val="28"/>
        </w:rPr>
        <w:t>Тип очистных сооружений и схемы систем водоотведения должны быть разработаны на стадии рабочих проектов.</w:t>
      </w:r>
    </w:p>
    <w:p>
      <w:pPr>
        <w:pStyle w:val="Normal"/>
        <w:jc w:val="both"/>
        <w:rPr>
          <w:color w:val="000000"/>
          <w:szCs w:val="28"/>
        </w:rPr>
      </w:pPr>
      <w:r>
        <w:rPr>
          <w:color w:val="000000"/>
          <w:szCs w:val="28"/>
        </w:rPr>
        <w:t xml:space="preserve">При застройке территории зданиями, сооружениями, прокладке асфальтовых дорог и тротуаров, устройстве спортивных площадок, зон отдыха объем фильтрации поверхностных вод уменьшится и увеличится объем воды, отводимый с территорий. </w:t>
      </w:r>
    </w:p>
    <w:p>
      <w:pPr>
        <w:pStyle w:val="Normal"/>
        <w:jc w:val="both"/>
        <w:rPr>
          <w:color w:val="000000"/>
          <w:szCs w:val="28"/>
        </w:rPr>
      </w:pPr>
      <w:r>
        <w:rPr>
          <w:color w:val="000000"/>
          <w:szCs w:val="28"/>
        </w:rPr>
        <w:t xml:space="preserve">Строгое проведение всех мероприятий по отводу поверхностных вод является настоятельной необходимостью. </w:t>
      </w:r>
    </w:p>
    <w:p>
      <w:pPr>
        <w:pStyle w:val="Normal"/>
        <w:jc w:val="both"/>
        <w:rPr>
          <w:color w:val="000000"/>
          <w:szCs w:val="28"/>
        </w:rPr>
      </w:pPr>
      <w:r>
        <w:rPr>
          <w:color w:val="000000"/>
          <w:szCs w:val="28"/>
        </w:rPr>
        <w:t>В дальнейшем, каждое из мероприятий по отведению поверхностного стока должно разрабатываться в виде самостоятельного проекта с учетом инженерно-геологической и гидрологической изученности территории и технико-экономических сопоставлений вариантов проектных решений.</w:t>
      </w:r>
    </w:p>
    <w:p>
      <w:pPr>
        <w:pStyle w:val="Normal"/>
        <w:jc w:val="both"/>
        <w:rPr>
          <w:color w:val="000000"/>
          <w:szCs w:val="28"/>
        </w:rPr>
      </w:pPr>
      <w:r>
        <w:rPr>
          <w:color w:val="000000"/>
          <w:szCs w:val="28"/>
        </w:rPr>
        <w:t>Для полного благоустройства сельского поселения рекомендуется разработка проекта схемы водоотведения коммунально-бытовых и поверхностных стоков.</w:t>
      </w:r>
    </w:p>
    <w:p>
      <w:pPr>
        <w:pStyle w:val="Normal"/>
        <w:jc w:val="both"/>
        <w:rPr>
          <w:color w:val="000000"/>
          <w:szCs w:val="28"/>
        </w:rPr>
      </w:pPr>
      <w:r>
        <w:rPr>
          <w:color w:val="000000"/>
          <w:szCs w:val="28"/>
        </w:rPr>
        <w:t>Схема водоотведения разрабатывается на основании принятых решений по системе водоотведения и является конкретным технически и экономически обоснованным решением по выбору и размещению комплекса инженерных сооружений для приема, транспортирования, очистки и выпуска их в водоем или передачи для последующего использования в сельском хозяйстве и промышленности.</w:t>
      </w:r>
    </w:p>
    <w:p>
      <w:pPr>
        <w:pStyle w:val="Normal"/>
        <w:jc w:val="both"/>
        <w:rPr>
          <w:color w:val="FF0066"/>
          <w:szCs w:val="28"/>
        </w:rPr>
      </w:pPr>
      <w:r>
        <w:rPr>
          <w:color w:val="FF0066"/>
          <w:szCs w:val="28"/>
        </w:rPr>
      </w:r>
    </w:p>
    <w:p>
      <w:pPr>
        <w:pStyle w:val="Normal"/>
        <w:ind w:left="426" w:hanging="0"/>
        <w:jc w:val="both"/>
        <w:rPr/>
      </w:pPr>
      <w:r>
        <w:rPr>
          <w:b/>
          <w:color w:val="000000"/>
          <w:szCs w:val="28"/>
        </w:rPr>
        <w:t>Санитарная очистка территории</w:t>
      </w:r>
    </w:p>
    <w:p>
      <w:pPr>
        <w:pStyle w:val="Normal"/>
        <w:jc w:val="both"/>
        <w:rPr/>
      </w:pPr>
      <w:r>
        <w:rPr>
          <w:color w:val="000000"/>
          <w:szCs w:val="28"/>
        </w:rPr>
        <w:t>Нормы накопления отходов на 1 жителя в год принимается по Постановлению Кабинета Министров Республики Татарстан «Об утверждении нормативов накопления твердых коммунальных отходов» от 12.12.2016 г. № 922:</w:t>
      </w:r>
    </w:p>
    <w:p>
      <w:pPr>
        <w:pStyle w:val="Normal"/>
        <w:jc w:val="both"/>
        <w:rPr/>
      </w:pPr>
      <w:r>
        <w:rPr>
          <w:color w:val="000000"/>
          <w:szCs w:val="28"/>
        </w:rPr>
        <w:t>- твердые коммунальные отходы – 0,27 т/год – индивидуальные жилые дома, 0,205 т/год – многоквартирные дома;</w:t>
      </w:r>
    </w:p>
    <w:p>
      <w:pPr>
        <w:pStyle w:val="Normal"/>
        <w:jc w:val="both"/>
        <w:rPr/>
      </w:pPr>
      <w:r>
        <w:rPr>
          <w:color w:val="000000"/>
          <w:szCs w:val="28"/>
        </w:rPr>
        <w:t>- крупногабаритные отходы – 0,079 т/год – индивидуальные жилые дома, 0,071 т/год – многоквартирные дома.</w:t>
      </w:r>
    </w:p>
    <w:p>
      <w:pPr>
        <w:pStyle w:val="Normal"/>
        <w:jc w:val="both"/>
        <w:rPr/>
      </w:pPr>
      <w:r>
        <w:rPr>
          <w:color w:val="000000"/>
          <w:szCs w:val="28"/>
        </w:rPr>
        <w:t>Объем ТКО на территории сельского поселения, на расчетные периоды приведены в таблице 4.12.7.</w:t>
      </w:r>
    </w:p>
    <w:p>
      <w:pPr>
        <w:pStyle w:val="Normal"/>
        <w:jc w:val="both"/>
        <w:rPr>
          <w:color w:val="FF0066"/>
          <w:szCs w:val="28"/>
        </w:rPr>
      </w:pPr>
      <w:r>
        <w:rPr>
          <w:color w:val="FF0066"/>
          <w:szCs w:val="28"/>
        </w:rPr>
      </w:r>
    </w:p>
    <w:p>
      <w:pPr>
        <w:pStyle w:val="Normal"/>
        <w:jc w:val="both"/>
        <w:rPr>
          <w:color w:val="FF0066"/>
          <w:szCs w:val="28"/>
        </w:rPr>
      </w:pPr>
      <w:r>
        <w:rPr>
          <w:color w:val="FF0066"/>
          <w:szCs w:val="28"/>
        </w:rPr>
      </w:r>
    </w:p>
    <w:p>
      <w:pPr>
        <w:pStyle w:val="Normal"/>
        <w:jc w:val="both"/>
        <w:rPr>
          <w:color w:val="FF0066"/>
        </w:rPr>
      </w:pPr>
      <w:r>
        <w:rPr>
          <w:color w:val="FF0066"/>
        </w:rPr>
      </w:r>
    </w:p>
    <w:p>
      <w:pPr>
        <w:pStyle w:val="Normal"/>
        <w:jc w:val="both"/>
        <w:rPr>
          <w:color w:val="FF0066"/>
        </w:rPr>
      </w:pPr>
      <w:r>
        <w:rPr>
          <w:color w:val="FF0066"/>
        </w:rPr>
      </w:r>
    </w:p>
    <w:p>
      <w:pPr>
        <w:pStyle w:val="Normal"/>
        <w:jc w:val="both"/>
        <w:rPr>
          <w:color w:val="000000"/>
        </w:rPr>
      </w:pPr>
      <w:r>
        <w:rPr>
          <w:color w:val="000000"/>
        </w:rPr>
        <w:t>Таблица 4.12.7</w:t>
      </w:r>
    </w:p>
    <w:p>
      <w:pPr>
        <w:pStyle w:val="Normal"/>
        <w:jc w:val="both"/>
        <w:rPr/>
      </w:pPr>
      <w:r>
        <w:rPr>
          <w:color w:val="000000"/>
        </w:rPr>
        <w:t xml:space="preserve">Объем твердых коммунальных отходов на территории </w:t>
      </w:r>
      <w:r>
        <w:rPr>
          <w:color w:val="000000"/>
          <w:szCs w:val="28"/>
        </w:rPr>
        <w:t>Вахитовского</w:t>
      </w:r>
      <w:r>
        <w:rPr>
          <w:color w:val="000000"/>
        </w:rPr>
        <w:t xml:space="preserve"> сельского поселения Верхнеуслонского муниципального района </w:t>
      </w:r>
    </w:p>
    <w:p>
      <w:pPr>
        <w:pStyle w:val="Normal"/>
        <w:jc w:val="both"/>
        <w:rPr/>
      </w:pPr>
      <w:r>
        <w:rPr/>
        <w:t>Республики Татарстан, т/год</w:t>
      </w:r>
    </w:p>
    <w:tbl>
      <w:tblPr>
        <w:tblW w:w="5000" w:type="pct"/>
        <w:jc w:val="center"/>
        <w:tblInd w:w="0" w:type="dxa"/>
        <w:tblLayout w:type="fixed"/>
        <w:tblCellMar>
          <w:top w:w="0" w:type="dxa"/>
          <w:left w:w="108" w:type="dxa"/>
          <w:bottom w:w="0" w:type="dxa"/>
          <w:right w:w="108" w:type="dxa"/>
        </w:tblCellMar>
      </w:tblPr>
      <w:tblGrid>
        <w:gridCol w:w="660"/>
        <w:gridCol w:w="2723"/>
        <w:gridCol w:w="1307"/>
        <w:gridCol w:w="1308"/>
        <w:gridCol w:w="1307"/>
        <w:gridCol w:w="1308"/>
        <w:gridCol w:w="1308"/>
      </w:tblGrid>
      <w:tr>
        <w:trPr>
          <w:tblHeader w:val="true"/>
          <w:trHeight w:val="23" w:hRule="atLeast"/>
        </w:trPr>
        <w:tc>
          <w:tcPr>
            <w:tcW w:w="66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bookmarkStart w:id="343" w:name="_Hlk150437950"/>
            <w:bookmarkEnd w:id="343"/>
            <w:r>
              <w:rPr>
                <w:color w:val="000000"/>
                <w:sz w:val="20"/>
                <w:szCs w:val="20"/>
              </w:rPr>
              <w:t xml:space="preserve">№ </w:t>
            </w:r>
            <w:r>
              <w:rPr>
                <w:color w:val="000000"/>
                <w:sz w:val="20"/>
                <w:szCs w:val="20"/>
              </w:rPr>
              <w:t>п/п</w:t>
            </w:r>
          </w:p>
        </w:tc>
        <w:tc>
          <w:tcPr>
            <w:tcW w:w="272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Наименование населенного пункта</w:t>
            </w:r>
          </w:p>
        </w:tc>
        <w:tc>
          <w:tcPr>
            <w:tcW w:w="6538" w:type="dxa"/>
            <w:gridSpan w:val="5"/>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 xml:space="preserve">Существующее положение </w:t>
            </w:r>
          </w:p>
        </w:tc>
      </w:tr>
      <w:tr>
        <w:trPr>
          <w:trHeight w:val="23" w:hRule="atLeast"/>
        </w:trPr>
        <w:tc>
          <w:tcPr>
            <w:tcW w:w="66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rPr>
            </w:pPr>
            <w:r>
              <w:rPr>
                <w:color w:val="000000"/>
                <w:sz w:val="20"/>
                <w:szCs w:val="20"/>
              </w:rPr>
            </w:r>
          </w:p>
        </w:tc>
        <w:tc>
          <w:tcPr>
            <w:tcW w:w="272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rPr>
            </w:pPr>
            <w:r>
              <w:rPr>
                <w:color w:val="000000"/>
                <w:sz w:val="20"/>
                <w:szCs w:val="20"/>
              </w:rPr>
            </w:r>
          </w:p>
        </w:tc>
        <w:tc>
          <w:tcPr>
            <w:tcW w:w="130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ТКО</w:t>
            </w:r>
          </w:p>
        </w:tc>
        <w:tc>
          <w:tcPr>
            <w:tcW w:w="130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КГО</w:t>
            </w:r>
          </w:p>
        </w:tc>
        <w:tc>
          <w:tcPr>
            <w:tcW w:w="130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Итого от населения</w:t>
            </w:r>
          </w:p>
        </w:tc>
        <w:tc>
          <w:tcPr>
            <w:tcW w:w="130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 xml:space="preserve">Итого от </w:t>
            </w:r>
          </w:p>
          <w:p>
            <w:pPr>
              <w:pStyle w:val="Normal"/>
              <w:ind w:hanging="0"/>
              <w:jc w:val="both"/>
              <w:rPr>
                <w:color w:val="000000"/>
                <w:sz w:val="20"/>
                <w:szCs w:val="20"/>
              </w:rPr>
            </w:pPr>
            <w:r>
              <w:rPr>
                <w:color w:val="000000"/>
                <w:sz w:val="20"/>
                <w:szCs w:val="20"/>
              </w:rPr>
              <w:t>юр.  лиц</w:t>
            </w:r>
          </w:p>
        </w:tc>
        <w:tc>
          <w:tcPr>
            <w:tcW w:w="130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Итого</w:t>
            </w:r>
          </w:p>
        </w:tc>
      </w:tr>
      <w:tr>
        <w:trPr>
          <w:trHeight w:val="23" w:hRule="atLeast"/>
        </w:trPr>
        <w:tc>
          <w:tcPr>
            <w:tcW w:w="9921" w:type="dxa"/>
            <w:gridSpan w:val="7"/>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Существующее положение</w:t>
            </w:r>
          </w:p>
        </w:tc>
      </w:tr>
      <w:tr>
        <w:trPr>
          <w:trHeight w:val="68" w:hRule="atLeast"/>
        </w:trPr>
        <w:tc>
          <w:tcPr>
            <w:tcW w:w="66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w:t>
            </w:r>
          </w:p>
        </w:tc>
        <w:tc>
          <w:tcPr>
            <w:tcW w:w="2723"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д.им. Мулланура Вахитова</w:t>
            </w:r>
          </w:p>
        </w:tc>
        <w:tc>
          <w:tcPr>
            <w:tcW w:w="130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54,81</w:t>
            </w:r>
          </w:p>
        </w:tc>
        <w:tc>
          <w:tcPr>
            <w:tcW w:w="130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16,04</w:t>
            </w:r>
          </w:p>
        </w:tc>
        <w:tc>
          <w:tcPr>
            <w:tcW w:w="130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70,85</w:t>
            </w:r>
          </w:p>
        </w:tc>
        <w:tc>
          <w:tcPr>
            <w:tcW w:w="130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3,54</w:t>
            </w:r>
          </w:p>
        </w:tc>
        <w:tc>
          <w:tcPr>
            <w:tcW w:w="130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74,39</w:t>
            </w:r>
          </w:p>
        </w:tc>
      </w:tr>
      <w:tr>
        <w:trPr>
          <w:trHeight w:val="23" w:hRule="atLeast"/>
        </w:trPr>
        <w:tc>
          <w:tcPr>
            <w:tcW w:w="66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w:t>
            </w:r>
          </w:p>
        </w:tc>
        <w:tc>
          <w:tcPr>
            <w:tcW w:w="2723"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п.Бакча-Сарай</w:t>
            </w:r>
          </w:p>
        </w:tc>
        <w:tc>
          <w:tcPr>
            <w:tcW w:w="130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43,47</w:t>
            </w:r>
          </w:p>
        </w:tc>
        <w:tc>
          <w:tcPr>
            <w:tcW w:w="130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12,72</w:t>
            </w:r>
          </w:p>
        </w:tc>
        <w:tc>
          <w:tcPr>
            <w:tcW w:w="130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56,19</w:t>
            </w:r>
          </w:p>
        </w:tc>
        <w:tc>
          <w:tcPr>
            <w:tcW w:w="130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2,81</w:t>
            </w:r>
          </w:p>
        </w:tc>
        <w:tc>
          <w:tcPr>
            <w:tcW w:w="130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59,00</w:t>
            </w:r>
          </w:p>
        </w:tc>
      </w:tr>
      <w:tr>
        <w:trPr>
          <w:trHeight w:val="23" w:hRule="atLeast"/>
        </w:trPr>
        <w:tc>
          <w:tcPr>
            <w:tcW w:w="66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3</w:t>
            </w:r>
          </w:p>
        </w:tc>
        <w:tc>
          <w:tcPr>
            <w:tcW w:w="2723"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с.Ташевка</w:t>
            </w:r>
          </w:p>
        </w:tc>
        <w:tc>
          <w:tcPr>
            <w:tcW w:w="130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11,88</w:t>
            </w:r>
          </w:p>
        </w:tc>
        <w:tc>
          <w:tcPr>
            <w:tcW w:w="130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3,48</w:t>
            </w:r>
          </w:p>
        </w:tc>
        <w:tc>
          <w:tcPr>
            <w:tcW w:w="130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15,36</w:t>
            </w:r>
          </w:p>
        </w:tc>
        <w:tc>
          <w:tcPr>
            <w:tcW w:w="130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0,77</w:t>
            </w:r>
          </w:p>
        </w:tc>
        <w:tc>
          <w:tcPr>
            <w:tcW w:w="130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16,12</w:t>
            </w:r>
          </w:p>
        </w:tc>
      </w:tr>
      <w:tr>
        <w:trPr>
          <w:trHeight w:val="23" w:hRule="atLeast"/>
        </w:trPr>
        <w:tc>
          <w:tcPr>
            <w:tcW w:w="66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4</w:t>
            </w:r>
          </w:p>
        </w:tc>
        <w:tc>
          <w:tcPr>
            <w:tcW w:w="2723"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д.Ватан</w:t>
            </w:r>
          </w:p>
        </w:tc>
        <w:tc>
          <w:tcPr>
            <w:tcW w:w="130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6,48</w:t>
            </w:r>
          </w:p>
        </w:tc>
        <w:tc>
          <w:tcPr>
            <w:tcW w:w="130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1,90</w:t>
            </w:r>
          </w:p>
        </w:tc>
        <w:tc>
          <w:tcPr>
            <w:tcW w:w="130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8,38</w:t>
            </w:r>
          </w:p>
        </w:tc>
        <w:tc>
          <w:tcPr>
            <w:tcW w:w="130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0,42</w:t>
            </w:r>
          </w:p>
        </w:tc>
        <w:tc>
          <w:tcPr>
            <w:tcW w:w="130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8,79</w:t>
            </w:r>
          </w:p>
        </w:tc>
      </w:tr>
      <w:tr>
        <w:trPr>
          <w:trHeight w:val="23" w:hRule="atLeast"/>
        </w:trPr>
        <w:tc>
          <w:tcPr>
            <w:tcW w:w="66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5</w:t>
            </w:r>
          </w:p>
        </w:tc>
        <w:tc>
          <w:tcPr>
            <w:tcW w:w="2723"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д.Гребени</w:t>
            </w:r>
          </w:p>
        </w:tc>
        <w:tc>
          <w:tcPr>
            <w:tcW w:w="130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0,00</w:t>
            </w:r>
          </w:p>
        </w:tc>
        <w:tc>
          <w:tcPr>
            <w:tcW w:w="130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0,00</w:t>
            </w:r>
          </w:p>
        </w:tc>
        <w:tc>
          <w:tcPr>
            <w:tcW w:w="130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0,00</w:t>
            </w:r>
          </w:p>
        </w:tc>
        <w:tc>
          <w:tcPr>
            <w:tcW w:w="130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0,00</w:t>
            </w:r>
          </w:p>
        </w:tc>
        <w:tc>
          <w:tcPr>
            <w:tcW w:w="130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0,00</w:t>
            </w:r>
          </w:p>
        </w:tc>
      </w:tr>
      <w:tr>
        <w:trPr>
          <w:trHeight w:val="23" w:hRule="atLeast"/>
        </w:trPr>
        <w:tc>
          <w:tcPr>
            <w:tcW w:w="3383" w:type="dxa"/>
            <w:gridSpan w:val="2"/>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Всего по поселению</w:t>
            </w:r>
          </w:p>
        </w:tc>
        <w:tc>
          <w:tcPr>
            <w:tcW w:w="130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116,64</w:t>
            </w:r>
          </w:p>
        </w:tc>
        <w:tc>
          <w:tcPr>
            <w:tcW w:w="130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34,13</w:t>
            </w:r>
          </w:p>
        </w:tc>
        <w:tc>
          <w:tcPr>
            <w:tcW w:w="130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150,77</w:t>
            </w:r>
          </w:p>
        </w:tc>
        <w:tc>
          <w:tcPr>
            <w:tcW w:w="130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7,54</w:t>
            </w:r>
          </w:p>
        </w:tc>
        <w:tc>
          <w:tcPr>
            <w:tcW w:w="130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158,31</w:t>
            </w:r>
          </w:p>
        </w:tc>
      </w:tr>
      <w:tr>
        <w:trPr>
          <w:trHeight w:val="23" w:hRule="atLeast"/>
        </w:trPr>
        <w:tc>
          <w:tcPr>
            <w:tcW w:w="9921" w:type="dxa"/>
            <w:gridSpan w:val="7"/>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Первая очередь реализации генерального плана (2032 г.)</w:t>
            </w:r>
          </w:p>
        </w:tc>
      </w:tr>
      <w:tr>
        <w:trPr>
          <w:trHeight w:val="23" w:hRule="atLeast"/>
        </w:trPr>
        <w:tc>
          <w:tcPr>
            <w:tcW w:w="66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w:t>
            </w:r>
          </w:p>
        </w:tc>
        <w:tc>
          <w:tcPr>
            <w:tcW w:w="2723"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д.им. Мулланура Вахитова</w:t>
            </w:r>
          </w:p>
        </w:tc>
        <w:tc>
          <w:tcPr>
            <w:tcW w:w="1307"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68,21</w:t>
            </w:r>
          </w:p>
        </w:tc>
        <w:tc>
          <w:tcPr>
            <w:tcW w:w="1308"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19,96</w:t>
            </w:r>
          </w:p>
        </w:tc>
        <w:tc>
          <w:tcPr>
            <w:tcW w:w="1307"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88,17</w:t>
            </w:r>
          </w:p>
        </w:tc>
        <w:tc>
          <w:tcPr>
            <w:tcW w:w="1308"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4,41</w:t>
            </w:r>
          </w:p>
        </w:tc>
        <w:tc>
          <w:tcPr>
            <w:tcW w:w="1308"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92,58</w:t>
            </w:r>
          </w:p>
        </w:tc>
      </w:tr>
      <w:tr>
        <w:trPr>
          <w:trHeight w:val="23" w:hRule="atLeast"/>
        </w:trPr>
        <w:tc>
          <w:tcPr>
            <w:tcW w:w="66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w:t>
            </w:r>
          </w:p>
        </w:tc>
        <w:tc>
          <w:tcPr>
            <w:tcW w:w="2723"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п.Бакча-Сарай</w:t>
            </w:r>
          </w:p>
        </w:tc>
        <w:tc>
          <w:tcPr>
            <w:tcW w:w="1307"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68,80</w:t>
            </w:r>
          </w:p>
        </w:tc>
        <w:tc>
          <w:tcPr>
            <w:tcW w:w="1308"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20,13</w:t>
            </w:r>
          </w:p>
        </w:tc>
        <w:tc>
          <w:tcPr>
            <w:tcW w:w="1307"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88,94</w:t>
            </w:r>
          </w:p>
        </w:tc>
        <w:tc>
          <w:tcPr>
            <w:tcW w:w="1308"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4,45</w:t>
            </w:r>
          </w:p>
        </w:tc>
        <w:tc>
          <w:tcPr>
            <w:tcW w:w="1308"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93,38</w:t>
            </w:r>
          </w:p>
        </w:tc>
      </w:tr>
      <w:tr>
        <w:trPr>
          <w:trHeight w:val="23" w:hRule="atLeast"/>
        </w:trPr>
        <w:tc>
          <w:tcPr>
            <w:tcW w:w="66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3</w:t>
            </w:r>
          </w:p>
        </w:tc>
        <w:tc>
          <w:tcPr>
            <w:tcW w:w="2723"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с.Ташевка</w:t>
            </w:r>
          </w:p>
        </w:tc>
        <w:tc>
          <w:tcPr>
            <w:tcW w:w="1307"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63,78</w:t>
            </w:r>
          </w:p>
        </w:tc>
        <w:tc>
          <w:tcPr>
            <w:tcW w:w="1308"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18,66</w:t>
            </w:r>
          </w:p>
        </w:tc>
        <w:tc>
          <w:tcPr>
            <w:tcW w:w="1307"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82,45</w:t>
            </w:r>
          </w:p>
        </w:tc>
        <w:tc>
          <w:tcPr>
            <w:tcW w:w="1308"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4,12</w:t>
            </w:r>
          </w:p>
        </w:tc>
        <w:tc>
          <w:tcPr>
            <w:tcW w:w="1308"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86,57</w:t>
            </w:r>
          </w:p>
        </w:tc>
      </w:tr>
      <w:tr>
        <w:trPr>
          <w:trHeight w:val="23" w:hRule="atLeast"/>
        </w:trPr>
        <w:tc>
          <w:tcPr>
            <w:tcW w:w="66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4</w:t>
            </w:r>
          </w:p>
        </w:tc>
        <w:tc>
          <w:tcPr>
            <w:tcW w:w="2723"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д.Ватан</w:t>
            </w:r>
          </w:p>
        </w:tc>
        <w:tc>
          <w:tcPr>
            <w:tcW w:w="1307"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6,79</w:t>
            </w:r>
          </w:p>
        </w:tc>
        <w:tc>
          <w:tcPr>
            <w:tcW w:w="1308"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1,99</w:t>
            </w:r>
          </w:p>
        </w:tc>
        <w:tc>
          <w:tcPr>
            <w:tcW w:w="1307"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8,78</w:t>
            </w:r>
          </w:p>
        </w:tc>
        <w:tc>
          <w:tcPr>
            <w:tcW w:w="1308"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0,44</w:t>
            </w:r>
          </w:p>
        </w:tc>
        <w:tc>
          <w:tcPr>
            <w:tcW w:w="1308"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9,22</w:t>
            </w:r>
          </w:p>
        </w:tc>
      </w:tr>
      <w:tr>
        <w:trPr>
          <w:trHeight w:val="23" w:hRule="atLeast"/>
        </w:trPr>
        <w:tc>
          <w:tcPr>
            <w:tcW w:w="66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5</w:t>
            </w:r>
          </w:p>
        </w:tc>
        <w:tc>
          <w:tcPr>
            <w:tcW w:w="2723"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д.Гребени</w:t>
            </w:r>
          </w:p>
        </w:tc>
        <w:tc>
          <w:tcPr>
            <w:tcW w:w="1307"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17,42</w:t>
            </w:r>
          </w:p>
        </w:tc>
        <w:tc>
          <w:tcPr>
            <w:tcW w:w="1308"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5,10</w:t>
            </w:r>
          </w:p>
        </w:tc>
        <w:tc>
          <w:tcPr>
            <w:tcW w:w="1307"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22,52</w:t>
            </w:r>
          </w:p>
        </w:tc>
        <w:tc>
          <w:tcPr>
            <w:tcW w:w="1308"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1,13</w:t>
            </w:r>
          </w:p>
        </w:tc>
        <w:tc>
          <w:tcPr>
            <w:tcW w:w="1308"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23,65</w:t>
            </w:r>
          </w:p>
        </w:tc>
      </w:tr>
      <w:tr>
        <w:trPr>
          <w:trHeight w:val="23" w:hRule="atLeast"/>
        </w:trPr>
        <w:tc>
          <w:tcPr>
            <w:tcW w:w="3383" w:type="dxa"/>
            <w:gridSpan w:val="2"/>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Всего по поселению</w:t>
            </w:r>
          </w:p>
        </w:tc>
        <w:tc>
          <w:tcPr>
            <w:tcW w:w="1307"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225,01</w:t>
            </w:r>
          </w:p>
        </w:tc>
        <w:tc>
          <w:tcPr>
            <w:tcW w:w="1308"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65,84</w:t>
            </w:r>
          </w:p>
        </w:tc>
        <w:tc>
          <w:tcPr>
            <w:tcW w:w="1307"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290,85</w:t>
            </w:r>
          </w:p>
        </w:tc>
        <w:tc>
          <w:tcPr>
            <w:tcW w:w="1308"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14,54</w:t>
            </w:r>
          </w:p>
        </w:tc>
        <w:tc>
          <w:tcPr>
            <w:tcW w:w="1308"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305,40</w:t>
            </w:r>
          </w:p>
        </w:tc>
      </w:tr>
      <w:tr>
        <w:trPr>
          <w:trHeight w:val="23" w:hRule="atLeast"/>
        </w:trPr>
        <w:tc>
          <w:tcPr>
            <w:tcW w:w="9921" w:type="dxa"/>
            <w:gridSpan w:val="7"/>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Расчетный срок реализации генерального плана (2047 г.)</w:t>
            </w:r>
          </w:p>
        </w:tc>
      </w:tr>
      <w:tr>
        <w:trPr>
          <w:trHeight w:val="23" w:hRule="atLeast"/>
        </w:trPr>
        <w:tc>
          <w:tcPr>
            <w:tcW w:w="66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w:t>
            </w:r>
          </w:p>
        </w:tc>
        <w:tc>
          <w:tcPr>
            <w:tcW w:w="2723"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д.им. Мулланура Вахитова</w:t>
            </w:r>
          </w:p>
        </w:tc>
        <w:tc>
          <w:tcPr>
            <w:tcW w:w="1307"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90,28</w:t>
            </w:r>
          </w:p>
        </w:tc>
        <w:tc>
          <w:tcPr>
            <w:tcW w:w="1308"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26,41</w:t>
            </w:r>
          </w:p>
        </w:tc>
        <w:tc>
          <w:tcPr>
            <w:tcW w:w="1307"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116,69</w:t>
            </w:r>
          </w:p>
        </w:tc>
        <w:tc>
          <w:tcPr>
            <w:tcW w:w="1308"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5,83</w:t>
            </w:r>
          </w:p>
        </w:tc>
        <w:tc>
          <w:tcPr>
            <w:tcW w:w="1308"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122,53</w:t>
            </w:r>
          </w:p>
        </w:tc>
      </w:tr>
      <w:tr>
        <w:trPr>
          <w:trHeight w:val="23" w:hRule="atLeast"/>
        </w:trPr>
        <w:tc>
          <w:tcPr>
            <w:tcW w:w="66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w:t>
            </w:r>
          </w:p>
        </w:tc>
        <w:tc>
          <w:tcPr>
            <w:tcW w:w="2723"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п.Бакча-Сарай</w:t>
            </w:r>
          </w:p>
        </w:tc>
        <w:tc>
          <w:tcPr>
            <w:tcW w:w="1307"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80,25</w:t>
            </w:r>
          </w:p>
        </w:tc>
        <w:tc>
          <w:tcPr>
            <w:tcW w:w="1308"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23,48</w:t>
            </w:r>
          </w:p>
        </w:tc>
        <w:tc>
          <w:tcPr>
            <w:tcW w:w="1307"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103,73</w:t>
            </w:r>
          </w:p>
        </w:tc>
        <w:tc>
          <w:tcPr>
            <w:tcW w:w="1308"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5,19</w:t>
            </w:r>
          </w:p>
        </w:tc>
        <w:tc>
          <w:tcPr>
            <w:tcW w:w="1308"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108,91</w:t>
            </w:r>
          </w:p>
        </w:tc>
      </w:tr>
      <w:tr>
        <w:trPr>
          <w:trHeight w:val="23" w:hRule="atLeast"/>
        </w:trPr>
        <w:tc>
          <w:tcPr>
            <w:tcW w:w="66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3</w:t>
            </w:r>
          </w:p>
        </w:tc>
        <w:tc>
          <w:tcPr>
            <w:tcW w:w="2723"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с.Ташевка</w:t>
            </w:r>
          </w:p>
        </w:tc>
        <w:tc>
          <w:tcPr>
            <w:tcW w:w="1307"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80,87</w:t>
            </w:r>
          </w:p>
        </w:tc>
        <w:tc>
          <w:tcPr>
            <w:tcW w:w="1308"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23,66</w:t>
            </w:r>
          </w:p>
        </w:tc>
        <w:tc>
          <w:tcPr>
            <w:tcW w:w="1307"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104,54</w:t>
            </w:r>
          </w:p>
        </w:tc>
        <w:tc>
          <w:tcPr>
            <w:tcW w:w="1308"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5,23</w:t>
            </w:r>
          </w:p>
        </w:tc>
        <w:tc>
          <w:tcPr>
            <w:tcW w:w="1308"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109,76</w:t>
            </w:r>
          </w:p>
        </w:tc>
      </w:tr>
      <w:tr>
        <w:trPr>
          <w:trHeight w:val="23" w:hRule="atLeast"/>
        </w:trPr>
        <w:tc>
          <w:tcPr>
            <w:tcW w:w="66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4</w:t>
            </w:r>
          </w:p>
        </w:tc>
        <w:tc>
          <w:tcPr>
            <w:tcW w:w="2723"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д.Ватан</w:t>
            </w:r>
          </w:p>
        </w:tc>
        <w:tc>
          <w:tcPr>
            <w:tcW w:w="1307"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9,40</w:t>
            </w:r>
          </w:p>
        </w:tc>
        <w:tc>
          <w:tcPr>
            <w:tcW w:w="1308"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2,75</w:t>
            </w:r>
          </w:p>
        </w:tc>
        <w:tc>
          <w:tcPr>
            <w:tcW w:w="1307"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12,16</w:t>
            </w:r>
          </w:p>
        </w:tc>
        <w:tc>
          <w:tcPr>
            <w:tcW w:w="1308"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0,61</w:t>
            </w:r>
          </w:p>
        </w:tc>
        <w:tc>
          <w:tcPr>
            <w:tcW w:w="1308"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12,76</w:t>
            </w:r>
          </w:p>
        </w:tc>
      </w:tr>
      <w:tr>
        <w:trPr>
          <w:trHeight w:val="23" w:hRule="atLeast"/>
        </w:trPr>
        <w:tc>
          <w:tcPr>
            <w:tcW w:w="66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5</w:t>
            </w:r>
          </w:p>
        </w:tc>
        <w:tc>
          <w:tcPr>
            <w:tcW w:w="2723"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д.Гребени</w:t>
            </w:r>
          </w:p>
        </w:tc>
        <w:tc>
          <w:tcPr>
            <w:tcW w:w="1307"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76,17</w:t>
            </w:r>
          </w:p>
        </w:tc>
        <w:tc>
          <w:tcPr>
            <w:tcW w:w="1308"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22,29</w:t>
            </w:r>
          </w:p>
        </w:tc>
        <w:tc>
          <w:tcPr>
            <w:tcW w:w="1307"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98,46</w:t>
            </w:r>
          </w:p>
        </w:tc>
        <w:tc>
          <w:tcPr>
            <w:tcW w:w="1308"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4,92</w:t>
            </w:r>
          </w:p>
        </w:tc>
        <w:tc>
          <w:tcPr>
            <w:tcW w:w="1308"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103,38</w:t>
            </w:r>
          </w:p>
        </w:tc>
      </w:tr>
      <w:tr>
        <w:trPr>
          <w:trHeight w:val="23" w:hRule="atLeast"/>
        </w:trPr>
        <w:tc>
          <w:tcPr>
            <w:tcW w:w="3383"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Всего по поселению</w:t>
            </w:r>
          </w:p>
        </w:tc>
        <w:tc>
          <w:tcPr>
            <w:tcW w:w="1307"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336,97</w:t>
            </w:r>
          </w:p>
        </w:tc>
        <w:tc>
          <w:tcPr>
            <w:tcW w:w="1308"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98,60</w:t>
            </w:r>
          </w:p>
        </w:tc>
        <w:tc>
          <w:tcPr>
            <w:tcW w:w="1307"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435,57</w:t>
            </w:r>
          </w:p>
        </w:tc>
        <w:tc>
          <w:tcPr>
            <w:tcW w:w="1308"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21,78</w:t>
            </w:r>
          </w:p>
        </w:tc>
        <w:tc>
          <w:tcPr>
            <w:tcW w:w="1308"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457,34</w:t>
            </w:r>
          </w:p>
        </w:tc>
      </w:tr>
    </w:tbl>
    <w:p>
      <w:pPr>
        <w:pStyle w:val="Normal"/>
        <w:jc w:val="both"/>
        <w:rPr>
          <w:color w:val="FF0066"/>
          <w:szCs w:val="28"/>
        </w:rPr>
      </w:pPr>
      <w:r>
        <w:rPr>
          <w:color w:val="FF0066"/>
          <w:szCs w:val="28"/>
        </w:rPr>
      </w:r>
    </w:p>
    <w:p>
      <w:pPr>
        <w:pStyle w:val="Normal"/>
        <w:jc w:val="both"/>
        <w:rPr/>
      </w:pPr>
      <w:r>
        <w:rPr>
          <w:color w:val="000000"/>
        </w:rPr>
        <w:t xml:space="preserve">Количество единиц спецтехники (а именно транспортных и собирающих мусоровозов) </w:t>
      </w:r>
      <w:r>
        <w:rPr>
          <w:color w:val="000000"/>
          <w:szCs w:val="22"/>
          <w:lang w:eastAsia="en-US"/>
        </w:rPr>
        <w:t xml:space="preserve">определяется региональным оператором и схемой санитарной очистки территории. </w:t>
      </w:r>
    </w:p>
    <w:p>
      <w:pPr>
        <w:pStyle w:val="Normal"/>
        <w:jc w:val="both"/>
        <w:rPr/>
      </w:pPr>
      <w:r>
        <w:rPr>
          <w:rFonts w:eastAsia="Calibri"/>
          <w:color w:val="000000"/>
          <w:szCs w:val="22"/>
          <w:lang w:eastAsia="en-US"/>
        </w:rPr>
        <w:t xml:space="preserve">Необходимое количество контейнеров подсчитано </w:t>
      </w:r>
      <w:r>
        <w:rPr>
          <w:color w:val="000000"/>
          <w:szCs w:val="28"/>
          <w:lang w:eastAsia="en-US"/>
        </w:rPr>
        <w:t>с учетом среднесуточного накопления коммунальных отходов, периода их вывоза (ежесуточно) и вместимости контейнера (1,1 м</w:t>
      </w:r>
      <w:r>
        <w:rPr>
          <w:color w:val="000000"/>
          <w:szCs w:val="28"/>
          <w:vertAlign w:val="superscript"/>
          <w:lang w:eastAsia="en-US"/>
        </w:rPr>
        <w:t>3</w:t>
      </w:r>
      <w:r>
        <w:rPr>
          <w:color w:val="000000"/>
          <w:szCs w:val="28"/>
          <w:lang w:eastAsia="en-US"/>
        </w:rPr>
        <w:t>) (справочник «Санитарная очистка территории и уборка населенных мест» (Москва, 1990г.)). Расчетное количество контейнеров представлено в таблице 4.12.8.</w:t>
      </w:r>
    </w:p>
    <w:p>
      <w:pPr>
        <w:pStyle w:val="Normal"/>
        <w:jc w:val="both"/>
        <w:rPr>
          <w:color w:val="000000"/>
          <w:szCs w:val="28"/>
          <w:lang w:eastAsia="en-US"/>
        </w:rPr>
      </w:pPr>
      <w:r>
        <w:rPr>
          <w:color w:val="000000"/>
          <w:szCs w:val="28"/>
          <w:lang w:eastAsia="en-US"/>
        </w:rPr>
      </w:r>
    </w:p>
    <w:p>
      <w:pPr>
        <w:pStyle w:val="Normal"/>
        <w:jc w:val="both"/>
        <w:rPr>
          <w:color w:val="000000"/>
          <w:szCs w:val="28"/>
          <w:lang w:eastAsia="en-US"/>
        </w:rPr>
      </w:pPr>
      <w:r>
        <w:rPr>
          <w:color w:val="000000"/>
          <w:szCs w:val="28"/>
          <w:lang w:eastAsia="en-US"/>
        </w:rPr>
        <w:t>Таблица 4.12.8</w:t>
      </w:r>
    </w:p>
    <w:p>
      <w:pPr>
        <w:pStyle w:val="Normal"/>
        <w:ind w:hanging="0"/>
        <w:jc w:val="both"/>
        <w:rPr/>
      </w:pPr>
      <w:r>
        <w:rPr>
          <w:color w:val="000000"/>
          <w:szCs w:val="28"/>
          <w:lang w:eastAsia="en-US"/>
        </w:rPr>
        <w:t>Количество контейнеров, планируемых к размещению на территории населенных пунктов, входящих в состав Вахитовского сельского поселения Верхнеуслон</w:t>
      </w:r>
      <w:r>
        <w:rPr/>
        <w:t>ского муниципального района Республики Татарстан, единиц</w:t>
      </w:r>
    </w:p>
    <w:tbl>
      <w:tblPr>
        <w:tblW w:w="9165" w:type="dxa"/>
        <w:jc w:val="center"/>
        <w:tblInd w:w="0" w:type="dxa"/>
        <w:tblLayout w:type="fixed"/>
        <w:tblCellMar>
          <w:top w:w="0" w:type="dxa"/>
          <w:left w:w="108" w:type="dxa"/>
          <w:bottom w:w="0" w:type="dxa"/>
          <w:right w:w="108" w:type="dxa"/>
        </w:tblCellMar>
      </w:tblPr>
      <w:tblGrid>
        <w:gridCol w:w="3166"/>
        <w:gridCol w:w="2881"/>
        <w:gridCol w:w="3118"/>
      </w:tblGrid>
      <w:tr>
        <w:trPr/>
        <w:tc>
          <w:tcPr>
            <w:tcW w:w="316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bookmarkStart w:id="344" w:name="_Hlk150437861"/>
            <w:bookmarkEnd w:id="344"/>
            <w:r>
              <w:rPr>
                <w:color w:val="000000"/>
                <w:sz w:val="20"/>
                <w:szCs w:val="20"/>
              </w:rPr>
              <w:t>Наименование</w:t>
            </w:r>
          </w:p>
        </w:tc>
        <w:tc>
          <w:tcPr>
            <w:tcW w:w="5999" w:type="dxa"/>
            <w:gridSpan w:val="2"/>
            <w:tcBorders>
              <w:top w:val="single" w:sz="4" w:space="0" w:color="000000"/>
              <w:left w:val="single" w:sz="4" w:space="0" w:color="000000"/>
              <w:bottom w:val="single" w:sz="4" w:space="0" w:color="000000"/>
              <w:right w:val="single" w:sz="4" w:space="0" w:color="000000"/>
            </w:tcBorders>
          </w:tcPr>
          <w:p>
            <w:pPr>
              <w:pStyle w:val="Normal"/>
              <w:ind w:hanging="0"/>
              <w:jc w:val="both"/>
              <w:rPr/>
            </w:pPr>
            <w:r>
              <w:rPr>
                <w:color w:val="000000"/>
                <w:sz w:val="20"/>
                <w:szCs w:val="20"/>
                <w:lang w:eastAsia="en-US"/>
              </w:rPr>
              <w:t>Количество контейнеров, шт.</w:t>
            </w:r>
          </w:p>
        </w:tc>
      </w:tr>
      <w:tr>
        <w:trPr/>
        <w:tc>
          <w:tcPr>
            <w:tcW w:w="316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bCs/>
                <w:color w:val="000000"/>
                <w:sz w:val="20"/>
                <w:szCs w:val="20"/>
                <w:lang w:eastAsia="en-US"/>
              </w:rPr>
            </w:pPr>
            <w:r>
              <w:rPr>
                <w:bCs/>
                <w:color w:val="000000"/>
                <w:sz w:val="20"/>
                <w:szCs w:val="20"/>
                <w:lang w:eastAsia="en-US"/>
              </w:rPr>
            </w:r>
          </w:p>
        </w:tc>
        <w:tc>
          <w:tcPr>
            <w:tcW w:w="288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Первая очередь</w:t>
            </w:r>
          </w:p>
        </w:tc>
        <w:tc>
          <w:tcPr>
            <w:tcW w:w="311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Расчетный срок</w:t>
            </w:r>
          </w:p>
        </w:tc>
      </w:tr>
      <w:tr>
        <w:trPr>
          <w:trHeight w:val="68" w:hRule="atLeast"/>
        </w:trPr>
        <w:tc>
          <w:tcPr>
            <w:tcW w:w="3166"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д.им. Мулланура Вахитова</w:t>
            </w:r>
          </w:p>
        </w:tc>
        <w:tc>
          <w:tcPr>
            <w:tcW w:w="288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bCs/>
                <w:color w:val="000000"/>
                <w:sz w:val="20"/>
                <w:szCs w:val="20"/>
              </w:rPr>
            </w:pPr>
            <w:r>
              <w:rPr>
                <w:bCs/>
                <w:color w:val="000000"/>
                <w:sz w:val="20"/>
                <w:szCs w:val="20"/>
              </w:rPr>
              <w:t>3</w:t>
            </w:r>
          </w:p>
        </w:tc>
        <w:tc>
          <w:tcPr>
            <w:tcW w:w="311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bCs/>
                <w:color w:val="000000"/>
                <w:sz w:val="20"/>
                <w:szCs w:val="20"/>
              </w:rPr>
            </w:pPr>
            <w:r>
              <w:rPr>
                <w:bCs/>
                <w:color w:val="000000"/>
                <w:sz w:val="20"/>
                <w:szCs w:val="20"/>
              </w:rPr>
              <w:t>6</w:t>
            </w:r>
          </w:p>
        </w:tc>
      </w:tr>
      <w:tr>
        <w:trPr>
          <w:trHeight w:val="68" w:hRule="atLeast"/>
        </w:trPr>
        <w:tc>
          <w:tcPr>
            <w:tcW w:w="3166"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п.Бакча-Сарай</w:t>
            </w:r>
          </w:p>
        </w:tc>
        <w:tc>
          <w:tcPr>
            <w:tcW w:w="288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bCs/>
                <w:color w:val="000000"/>
                <w:sz w:val="20"/>
                <w:szCs w:val="20"/>
              </w:rPr>
            </w:pPr>
            <w:r>
              <w:rPr>
                <w:bCs/>
                <w:color w:val="000000"/>
                <w:sz w:val="20"/>
                <w:szCs w:val="20"/>
              </w:rPr>
              <w:t>3</w:t>
            </w:r>
          </w:p>
        </w:tc>
        <w:tc>
          <w:tcPr>
            <w:tcW w:w="311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bCs/>
                <w:color w:val="000000"/>
                <w:sz w:val="20"/>
                <w:szCs w:val="20"/>
              </w:rPr>
            </w:pPr>
            <w:r>
              <w:rPr>
                <w:bCs/>
                <w:color w:val="000000"/>
                <w:sz w:val="20"/>
                <w:szCs w:val="20"/>
              </w:rPr>
              <w:t>6</w:t>
            </w:r>
          </w:p>
        </w:tc>
      </w:tr>
      <w:tr>
        <w:trPr>
          <w:trHeight w:val="68" w:hRule="atLeast"/>
        </w:trPr>
        <w:tc>
          <w:tcPr>
            <w:tcW w:w="3166"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с.Ташевка</w:t>
            </w:r>
          </w:p>
        </w:tc>
        <w:tc>
          <w:tcPr>
            <w:tcW w:w="288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bCs/>
                <w:color w:val="000000"/>
                <w:sz w:val="20"/>
                <w:szCs w:val="20"/>
              </w:rPr>
            </w:pPr>
            <w:r>
              <w:rPr>
                <w:bCs/>
                <w:color w:val="000000"/>
                <w:sz w:val="20"/>
                <w:szCs w:val="20"/>
              </w:rPr>
              <w:t>3</w:t>
            </w:r>
          </w:p>
        </w:tc>
        <w:tc>
          <w:tcPr>
            <w:tcW w:w="311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bCs/>
                <w:color w:val="000000"/>
                <w:sz w:val="20"/>
                <w:szCs w:val="20"/>
              </w:rPr>
            </w:pPr>
            <w:r>
              <w:rPr>
                <w:bCs/>
                <w:color w:val="000000"/>
                <w:sz w:val="20"/>
                <w:szCs w:val="20"/>
              </w:rPr>
              <w:t>6</w:t>
            </w:r>
          </w:p>
        </w:tc>
      </w:tr>
      <w:tr>
        <w:trPr>
          <w:trHeight w:val="68" w:hRule="atLeast"/>
        </w:trPr>
        <w:tc>
          <w:tcPr>
            <w:tcW w:w="3166"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д.Ватан</w:t>
            </w:r>
          </w:p>
        </w:tc>
        <w:tc>
          <w:tcPr>
            <w:tcW w:w="288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bCs/>
                <w:color w:val="000000"/>
                <w:sz w:val="20"/>
                <w:szCs w:val="20"/>
              </w:rPr>
            </w:pPr>
            <w:r>
              <w:rPr>
                <w:bCs/>
                <w:color w:val="000000"/>
                <w:sz w:val="20"/>
                <w:szCs w:val="20"/>
              </w:rPr>
              <w:t>3</w:t>
            </w:r>
          </w:p>
        </w:tc>
        <w:tc>
          <w:tcPr>
            <w:tcW w:w="311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bCs/>
                <w:color w:val="000000"/>
                <w:sz w:val="20"/>
                <w:szCs w:val="20"/>
              </w:rPr>
            </w:pPr>
            <w:r>
              <w:rPr>
                <w:bCs/>
                <w:color w:val="000000"/>
                <w:sz w:val="20"/>
                <w:szCs w:val="20"/>
              </w:rPr>
              <w:t>3</w:t>
            </w:r>
          </w:p>
        </w:tc>
      </w:tr>
      <w:tr>
        <w:trPr>
          <w:trHeight w:val="68" w:hRule="atLeast"/>
        </w:trPr>
        <w:tc>
          <w:tcPr>
            <w:tcW w:w="3166"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д.Гребени</w:t>
            </w:r>
          </w:p>
        </w:tc>
        <w:tc>
          <w:tcPr>
            <w:tcW w:w="288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bCs/>
                <w:color w:val="000000"/>
                <w:sz w:val="20"/>
                <w:szCs w:val="20"/>
              </w:rPr>
            </w:pPr>
            <w:r>
              <w:rPr>
                <w:bCs/>
                <w:color w:val="000000"/>
                <w:sz w:val="20"/>
                <w:szCs w:val="20"/>
              </w:rPr>
              <w:t>3</w:t>
            </w:r>
          </w:p>
        </w:tc>
        <w:tc>
          <w:tcPr>
            <w:tcW w:w="311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bCs/>
                <w:color w:val="000000"/>
                <w:sz w:val="20"/>
                <w:szCs w:val="20"/>
              </w:rPr>
            </w:pPr>
            <w:r>
              <w:rPr>
                <w:bCs/>
                <w:color w:val="000000"/>
                <w:sz w:val="20"/>
                <w:szCs w:val="20"/>
              </w:rPr>
              <w:t>3</w:t>
            </w:r>
          </w:p>
        </w:tc>
      </w:tr>
      <w:tr>
        <w:trPr/>
        <w:tc>
          <w:tcPr>
            <w:tcW w:w="31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Всего по сельскому поселению</w:t>
            </w:r>
          </w:p>
        </w:tc>
        <w:tc>
          <w:tcPr>
            <w:tcW w:w="288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bCs/>
                <w:color w:val="000000"/>
                <w:sz w:val="20"/>
                <w:szCs w:val="20"/>
              </w:rPr>
            </w:pPr>
            <w:r>
              <w:rPr>
                <w:bCs/>
                <w:color w:val="000000"/>
                <w:sz w:val="20"/>
                <w:szCs w:val="20"/>
              </w:rPr>
              <w:t>15</w:t>
            </w:r>
          </w:p>
        </w:tc>
        <w:tc>
          <w:tcPr>
            <w:tcW w:w="311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bCs/>
                <w:color w:val="000000"/>
                <w:sz w:val="20"/>
                <w:szCs w:val="20"/>
              </w:rPr>
            </w:pPr>
            <w:r>
              <w:rPr>
                <w:bCs/>
                <w:color w:val="000000"/>
                <w:sz w:val="20"/>
                <w:szCs w:val="20"/>
              </w:rPr>
              <w:t>24</w:t>
            </w:r>
          </w:p>
        </w:tc>
      </w:tr>
    </w:tbl>
    <w:p>
      <w:pPr>
        <w:pStyle w:val="Normal"/>
        <w:ind w:firstLine="851"/>
        <w:jc w:val="both"/>
        <w:rPr>
          <w:color w:val="FF0066"/>
        </w:rPr>
      </w:pPr>
      <w:r>
        <w:rPr>
          <w:color w:val="FF0066"/>
        </w:rPr>
      </w:r>
    </w:p>
    <w:p>
      <w:pPr>
        <w:pStyle w:val="Normal"/>
        <w:jc w:val="both"/>
        <w:rPr/>
      </w:pPr>
      <w:r>
        <w:rPr>
          <w:color w:val="000000"/>
          <w:szCs w:val="28"/>
          <w:lang w:eastAsia="en-US"/>
        </w:rPr>
        <w:t xml:space="preserve">Таким образом, на первую очередь и на расчетный срок на территории Вахитовского сельского поселения количество контейнеров для ТКО должно составлять 15 шт. и 24 шт. соответственно, при условии, что 50% контейнеров рекомендуется использовать для отходов ТКО, подлежащих сортировке (вторсырье). </w:t>
      </w:r>
      <w:r>
        <w:rPr>
          <w:color w:val="000000"/>
          <w:szCs w:val="28"/>
        </w:rPr>
        <w:t xml:space="preserve">Опасные ТКО (осветительные устройства, электрические лампы, содержащие ртуть, батареи и аккумуляторы (за исключением автомобильных), ртутные градусники, утратившие потребительские свойства) должны складироваться в специально предназначенные контейнеры (оранжевого цвета) в антивандальном исполнении, исключающие их повреждение и причинение вреда окружающей среде. </w:t>
      </w:r>
    </w:p>
    <w:p>
      <w:pPr>
        <w:pStyle w:val="Normal"/>
        <w:jc w:val="both"/>
        <w:rPr/>
      </w:pPr>
      <w:r>
        <w:rPr>
          <w:color w:val="000000"/>
          <w:szCs w:val="28"/>
          <w:lang w:eastAsia="en-US"/>
        </w:rPr>
        <w:t>Места размещения контейнерных площадок уточняются схемой санитарной очистки территории с учетом рекомендаций по сбору, временному хранению ТКО на жилых территориях (справочник «Санитарная очистка территории и уборка населенных мест» (Москва, 1990г.)).</w:t>
      </w:r>
    </w:p>
    <w:p>
      <w:pPr>
        <w:pStyle w:val="Normal"/>
        <w:jc w:val="both"/>
        <w:rPr/>
      </w:pPr>
      <w:r>
        <w:rPr>
          <w:color w:val="000000"/>
          <w:szCs w:val="28"/>
        </w:rPr>
        <w:t>Схемой территориального планирования Республики Татарстан в Вахитовском сельском поселении не предусмотрено мероприятий по санитарной очистке территорий.</w:t>
      </w:r>
    </w:p>
    <w:p>
      <w:pPr>
        <w:pStyle w:val="Normal"/>
        <w:jc w:val="both"/>
        <w:rPr/>
      </w:pPr>
      <w:r>
        <w:rPr>
          <w:color w:val="000000"/>
          <w:szCs w:val="28"/>
        </w:rPr>
        <w:t>В целях улучшения санитарно-гигиенических условий жизни населения и экологического благополучия территории сельского поселения генеральным планом предусматриваются следующие мероприятия:</w:t>
      </w:r>
    </w:p>
    <w:p>
      <w:pPr>
        <w:pStyle w:val="Normal"/>
        <w:numPr>
          <w:ilvl w:val="1"/>
          <w:numId w:val="15"/>
        </w:numPr>
        <w:tabs>
          <w:tab w:val="clear" w:pos="709"/>
          <w:tab w:val="left" w:pos="1134" w:leader="none"/>
        </w:tabs>
        <w:ind w:left="0" w:firstLine="709"/>
        <w:jc w:val="both"/>
        <w:rPr/>
      </w:pPr>
      <w:r>
        <w:rPr>
          <w:color w:val="000000"/>
          <w:szCs w:val="28"/>
          <w:lang w:eastAsia="en-US"/>
        </w:rPr>
        <w:t>планово-регулярная санитарная очистка территории сельского поселения;</w:t>
      </w:r>
    </w:p>
    <w:p>
      <w:pPr>
        <w:pStyle w:val="Normal"/>
        <w:numPr>
          <w:ilvl w:val="1"/>
          <w:numId w:val="15"/>
        </w:numPr>
        <w:tabs>
          <w:tab w:val="clear" w:pos="709"/>
          <w:tab w:val="left" w:pos="1134" w:leader="none"/>
        </w:tabs>
        <w:ind w:left="0" w:firstLine="709"/>
        <w:jc w:val="both"/>
        <w:rPr>
          <w:color w:val="000000"/>
          <w:szCs w:val="28"/>
          <w:lang w:eastAsia="en-US"/>
        </w:rPr>
      </w:pPr>
      <w:r>
        <w:rPr>
          <w:color w:val="000000"/>
          <w:szCs w:val="28"/>
          <w:lang w:eastAsia="en-US"/>
        </w:rPr>
        <w:t>организация раздельного (дуального) сбора ТКО;</w:t>
      </w:r>
    </w:p>
    <w:p>
      <w:pPr>
        <w:pStyle w:val="Normal"/>
        <w:numPr>
          <w:ilvl w:val="1"/>
          <w:numId w:val="15"/>
        </w:numPr>
        <w:tabs>
          <w:tab w:val="clear" w:pos="709"/>
          <w:tab w:val="left" w:pos="1134" w:leader="none"/>
        </w:tabs>
        <w:ind w:left="0" w:firstLine="709"/>
        <w:jc w:val="both"/>
        <w:rPr>
          <w:color w:val="000000"/>
          <w:szCs w:val="28"/>
          <w:lang w:eastAsia="en-US"/>
        </w:rPr>
      </w:pPr>
      <w:r>
        <w:rPr>
          <w:color w:val="000000"/>
          <w:szCs w:val="28"/>
          <w:lang w:eastAsia="en-US"/>
        </w:rPr>
        <w:t>организация специальных площадок с твердым покрытием с установкой водонепроницаемых контейнеров для сбора ТКО;</w:t>
      </w:r>
    </w:p>
    <w:p>
      <w:pPr>
        <w:pStyle w:val="Normal"/>
        <w:numPr>
          <w:ilvl w:val="1"/>
          <w:numId w:val="15"/>
        </w:numPr>
        <w:tabs>
          <w:tab w:val="clear" w:pos="709"/>
          <w:tab w:val="left" w:pos="1134" w:leader="none"/>
        </w:tabs>
        <w:ind w:left="0" w:firstLine="709"/>
        <w:jc w:val="both"/>
        <w:rPr/>
      </w:pPr>
      <w:r>
        <w:rPr>
          <w:color w:val="000000"/>
          <w:szCs w:val="28"/>
          <w:lang w:eastAsia="en-US"/>
        </w:rPr>
        <w:t xml:space="preserve">организация специальных площадок с твердым покрытием и ограждением, </w:t>
      </w:r>
      <w:r>
        <w:rPr>
          <w:color w:val="000000"/>
          <w:szCs w:val="22"/>
          <w:lang w:eastAsia="en-US"/>
        </w:rPr>
        <w:t>препятствующим развалу отходов</w:t>
      </w:r>
      <w:r>
        <w:rPr>
          <w:color w:val="000000"/>
          <w:szCs w:val="28"/>
          <w:lang w:eastAsia="en-US"/>
        </w:rPr>
        <w:t xml:space="preserve"> для сбора и хранения крупногабаритных отходов;</w:t>
      </w:r>
    </w:p>
    <w:p>
      <w:pPr>
        <w:pStyle w:val="Normal"/>
        <w:numPr>
          <w:ilvl w:val="1"/>
          <w:numId w:val="15"/>
        </w:numPr>
        <w:tabs>
          <w:tab w:val="clear" w:pos="709"/>
          <w:tab w:val="left" w:pos="1134" w:leader="none"/>
        </w:tabs>
        <w:ind w:left="0" w:firstLine="709"/>
        <w:jc w:val="both"/>
        <w:rPr>
          <w:color w:val="000000"/>
          <w:szCs w:val="28"/>
          <w:lang w:eastAsia="en-US"/>
        </w:rPr>
      </w:pPr>
      <w:r>
        <w:rPr>
          <w:color w:val="000000"/>
          <w:szCs w:val="28"/>
          <w:lang w:eastAsia="en-US"/>
        </w:rPr>
        <w:t>организация приемного пункта по принятию энергосберегающих ламп, используемых в бытовых условиях, и их вывоз к местам утилизации отходов с высоким классом токсичности;</w:t>
      </w:r>
    </w:p>
    <w:p>
      <w:pPr>
        <w:pStyle w:val="Normal"/>
        <w:numPr>
          <w:ilvl w:val="1"/>
          <w:numId w:val="15"/>
        </w:numPr>
        <w:tabs>
          <w:tab w:val="clear" w:pos="709"/>
          <w:tab w:val="left" w:pos="1134" w:leader="none"/>
        </w:tabs>
        <w:ind w:left="0" w:firstLine="709"/>
        <w:jc w:val="both"/>
        <w:rPr/>
      </w:pPr>
      <w:r>
        <w:rPr>
          <w:color w:val="000000"/>
          <w:szCs w:val="28"/>
          <w:lang w:eastAsia="en-US"/>
        </w:rPr>
        <w:t>организация приемного пункта по принятию стеклотары, стеклобоя, макулатуры, металлических банок, металлолома, пластика и пластиковых бутылок, хлопчатобумажной ветоши, автомобильных шин;</w:t>
      </w:r>
    </w:p>
    <w:p>
      <w:pPr>
        <w:pStyle w:val="Normal"/>
        <w:numPr>
          <w:ilvl w:val="1"/>
          <w:numId w:val="15"/>
        </w:numPr>
        <w:tabs>
          <w:tab w:val="clear" w:pos="709"/>
          <w:tab w:val="left" w:pos="1134" w:leader="none"/>
        </w:tabs>
        <w:ind w:left="0" w:firstLine="709"/>
        <w:jc w:val="both"/>
        <w:rPr/>
      </w:pPr>
      <w:r>
        <w:rPr>
          <w:color w:val="000000"/>
          <w:szCs w:val="28"/>
          <w:lang w:eastAsia="en-US"/>
        </w:rPr>
        <w:t xml:space="preserve">организация специальных площадок для складирования снега </w:t>
      </w:r>
      <w:r>
        <w:rPr>
          <w:color w:val="000000"/>
          <w:szCs w:val="28"/>
        </w:rPr>
        <w:t>в соответствии с современными требованиями санитарно-эпидемиологического и природоохранного законодательства;</w:t>
      </w:r>
    </w:p>
    <w:p>
      <w:pPr>
        <w:pStyle w:val="Normal"/>
        <w:numPr>
          <w:ilvl w:val="1"/>
          <w:numId w:val="15"/>
        </w:numPr>
        <w:tabs>
          <w:tab w:val="clear" w:pos="709"/>
          <w:tab w:val="left" w:pos="1134" w:leader="none"/>
        </w:tabs>
        <w:ind w:left="0" w:firstLine="709"/>
        <w:jc w:val="both"/>
        <w:rPr/>
      </w:pPr>
      <w:r>
        <w:rPr>
          <w:color w:val="000000"/>
          <w:szCs w:val="28"/>
          <w:lang w:eastAsia="en-US"/>
        </w:rPr>
        <w:t>обустройство временных мест накопления навоза (помета) в соответствии с требованиями природоохранного и санитарно-эпидемиологического законодательства;</w:t>
      </w:r>
    </w:p>
    <w:p>
      <w:pPr>
        <w:pStyle w:val="Normal"/>
        <w:numPr>
          <w:ilvl w:val="1"/>
          <w:numId w:val="15"/>
        </w:numPr>
        <w:tabs>
          <w:tab w:val="clear" w:pos="709"/>
          <w:tab w:val="left" w:pos="1134" w:leader="none"/>
        </w:tabs>
        <w:ind w:left="0" w:firstLine="709"/>
        <w:jc w:val="both"/>
        <w:rPr/>
      </w:pPr>
      <w:r>
        <w:rPr>
          <w:color w:val="000000"/>
          <w:szCs w:val="28"/>
          <w:lang w:eastAsia="en-US"/>
        </w:rPr>
        <w:t>удаление уличного смета на полигон ТКО для использования в качестве изолирующего слоя.</w:t>
      </w:r>
    </w:p>
    <w:p>
      <w:pPr>
        <w:pStyle w:val="Normal"/>
        <w:jc w:val="both"/>
        <w:rPr>
          <w:color w:val="FF0066"/>
          <w:szCs w:val="28"/>
          <w:lang w:eastAsia="en-US"/>
        </w:rPr>
      </w:pPr>
      <w:r>
        <w:rPr>
          <w:color w:val="FF0066"/>
          <w:szCs w:val="28"/>
          <w:lang w:eastAsia="en-US"/>
        </w:rPr>
      </w:r>
    </w:p>
    <w:p>
      <w:pPr>
        <w:pStyle w:val="Normal"/>
        <w:jc w:val="both"/>
        <w:rPr>
          <w:color w:val="FF0066"/>
        </w:rPr>
      </w:pPr>
      <w:r>
        <w:rPr>
          <w:color w:val="FF0066"/>
        </w:rPr>
      </w:r>
    </w:p>
    <w:p>
      <w:pPr>
        <w:pStyle w:val="Normal"/>
        <w:ind w:left="426" w:hanging="0"/>
        <w:jc w:val="both"/>
        <w:rPr>
          <w:b/>
          <w:color w:val="000000"/>
          <w:szCs w:val="28"/>
        </w:rPr>
      </w:pPr>
      <w:r>
        <w:rPr>
          <w:b/>
          <w:color w:val="000000"/>
          <w:szCs w:val="28"/>
        </w:rPr>
        <w:t>Теплоснабжение</w:t>
      </w:r>
    </w:p>
    <w:p>
      <w:pPr>
        <w:pStyle w:val="Normal"/>
        <w:jc w:val="both"/>
        <w:rPr>
          <w:color w:val="000000"/>
          <w:szCs w:val="28"/>
          <w:u w:val="single"/>
        </w:rPr>
      </w:pPr>
      <w:r>
        <w:rPr>
          <w:color w:val="000000"/>
          <w:szCs w:val="28"/>
          <w:u w:val="single"/>
        </w:rPr>
        <w:t>Проектное решение</w:t>
      </w:r>
    </w:p>
    <w:p>
      <w:pPr>
        <w:pStyle w:val="Normal"/>
        <w:jc w:val="both"/>
        <w:rPr>
          <w:color w:val="000000"/>
          <w:szCs w:val="28"/>
        </w:rPr>
      </w:pPr>
      <w:r>
        <w:rPr>
          <w:color w:val="000000"/>
          <w:szCs w:val="28"/>
        </w:rPr>
        <w:t xml:space="preserve">Для всех источников тепла, в том числе для отопления индивидуальной застройки основным видом топлива предусматривается природный газ. </w:t>
      </w:r>
    </w:p>
    <w:p>
      <w:pPr>
        <w:pStyle w:val="Normal"/>
        <w:jc w:val="both"/>
        <w:rPr>
          <w:color w:val="000000"/>
          <w:szCs w:val="28"/>
        </w:rPr>
      </w:pPr>
      <w:r>
        <w:rPr>
          <w:color w:val="000000"/>
          <w:szCs w:val="28"/>
        </w:rPr>
        <w:t>Для теплоснабжения общественно-коммунальной и административно-деловой застройки предлагается строительство блочно-модульных котельных (БМК) в следующих населенных пунктах (табл. 4.12.9).</w:t>
      </w:r>
    </w:p>
    <w:p>
      <w:pPr>
        <w:pStyle w:val="Normal"/>
        <w:jc w:val="both"/>
        <w:rPr>
          <w:color w:val="000000"/>
          <w:szCs w:val="28"/>
        </w:rPr>
      </w:pPr>
      <w:r>
        <w:rPr>
          <w:color w:val="000000"/>
          <w:szCs w:val="28"/>
        </w:rPr>
      </w:r>
    </w:p>
    <w:p>
      <w:pPr>
        <w:pStyle w:val="Normal"/>
        <w:jc w:val="both"/>
        <w:rPr/>
      </w:pPr>
      <w:r>
        <w:rPr/>
        <w:t>Таблица 4.12.9</w:t>
      </w:r>
    </w:p>
    <w:tbl>
      <w:tblPr>
        <w:tblW w:w="5000" w:type="pct"/>
        <w:jc w:val="left"/>
        <w:tblInd w:w="-5" w:type="dxa"/>
        <w:tblLayout w:type="fixed"/>
        <w:tblCellMar>
          <w:top w:w="0" w:type="dxa"/>
          <w:left w:w="108" w:type="dxa"/>
          <w:bottom w:w="0" w:type="dxa"/>
          <w:right w:w="108" w:type="dxa"/>
        </w:tblCellMar>
      </w:tblPr>
      <w:tblGrid>
        <w:gridCol w:w="3020"/>
        <w:gridCol w:w="4577"/>
        <w:gridCol w:w="1111"/>
        <w:gridCol w:w="1213"/>
      </w:tblGrid>
      <w:tr>
        <w:trPr>
          <w:tblHeader w:val="true"/>
          <w:trHeight w:val="675" w:hRule="atLeast"/>
        </w:trPr>
        <w:tc>
          <w:tcPr>
            <w:tcW w:w="302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Местоположение</w:t>
            </w:r>
          </w:p>
        </w:tc>
        <w:tc>
          <w:tcPr>
            <w:tcW w:w="457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Наименование объекта</w:t>
            </w:r>
          </w:p>
        </w:tc>
        <w:tc>
          <w:tcPr>
            <w:tcW w:w="111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Первая очередь</w:t>
            </w:r>
          </w:p>
        </w:tc>
        <w:tc>
          <w:tcPr>
            <w:tcW w:w="121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Расчетный срок</w:t>
            </w:r>
          </w:p>
        </w:tc>
      </w:tr>
      <w:tr>
        <w:trPr>
          <w:trHeight w:val="329" w:hRule="atLeast"/>
        </w:trPr>
        <w:tc>
          <w:tcPr>
            <w:tcW w:w="3020" w:type="dxa"/>
            <w:tcBorders>
              <w:top w:val="single" w:sz="4" w:space="0" w:color="000000"/>
              <w:left w:val="single" w:sz="4" w:space="0" w:color="000000"/>
              <w:bottom w:val="single" w:sz="4" w:space="0" w:color="000000"/>
              <w:right w:val="single" w:sz="4" w:space="0" w:color="000000"/>
            </w:tcBorders>
          </w:tcPr>
          <w:p>
            <w:pPr>
              <w:pStyle w:val="Style75"/>
              <w:jc w:val="both"/>
              <w:rPr>
                <w:color w:val="000000"/>
                <w:sz w:val="20"/>
                <w:szCs w:val="20"/>
              </w:rPr>
            </w:pPr>
            <w:r>
              <w:rPr>
                <w:color w:val="000000"/>
                <w:sz w:val="20"/>
                <w:szCs w:val="20"/>
              </w:rPr>
              <w:t>п.Бакча-Сарай</w:t>
            </w:r>
          </w:p>
        </w:tc>
        <w:tc>
          <w:tcPr>
            <w:tcW w:w="457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pPr>
            <w:r>
              <w:rPr>
                <w:color w:val="000000"/>
                <w:sz w:val="20"/>
                <w:szCs w:val="20"/>
              </w:rPr>
              <w:t xml:space="preserve">БМК для общественного центра </w:t>
            </w:r>
          </w:p>
        </w:tc>
        <w:tc>
          <w:tcPr>
            <w:tcW w:w="111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w:t>
            </w:r>
          </w:p>
        </w:tc>
        <w:tc>
          <w:tcPr>
            <w:tcW w:w="121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w:t>
            </w:r>
          </w:p>
        </w:tc>
      </w:tr>
    </w:tbl>
    <w:p>
      <w:pPr>
        <w:pStyle w:val="Normal"/>
        <w:jc w:val="both"/>
        <w:rPr>
          <w:color w:val="FF0066"/>
          <w:szCs w:val="28"/>
        </w:rPr>
      </w:pPr>
      <w:r>
        <w:rPr>
          <w:color w:val="FF0066"/>
          <w:szCs w:val="28"/>
        </w:rPr>
      </w:r>
    </w:p>
    <w:p>
      <w:pPr>
        <w:pStyle w:val="Normal"/>
        <w:jc w:val="both"/>
        <w:rPr/>
      </w:pPr>
      <w:r>
        <w:rPr>
          <w:color w:val="000000"/>
          <w:szCs w:val="28"/>
        </w:rPr>
        <w:t>Таким образом, на территории Вахитовского сельского поселения для отопления административно-деловой и общественной застройки предлагается строительство одной блочно-модульной котельной (БМК).</w:t>
      </w:r>
    </w:p>
    <w:p>
      <w:pPr>
        <w:pStyle w:val="Normal"/>
        <w:jc w:val="both"/>
        <w:rPr>
          <w:color w:val="000000"/>
          <w:szCs w:val="28"/>
        </w:rPr>
      </w:pPr>
      <w:r>
        <w:rPr>
          <w:color w:val="000000"/>
          <w:szCs w:val="28"/>
        </w:rPr>
        <w:t>На следующих стадиях проектирования следует рассмотреть возможность подключения проектируемых объектов, располагающихся на небольших расстояниях друг от друга, к одной котельной.</w:t>
      </w:r>
    </w:p>
    <w:p>
      <w:pPr>
        <w:pStyle w:val="Normal"/>
        <w:jc w:val="both"/>
        <w:rPr>
          <w:color w:val="000000"/>
          <w:szCs w:val="28"/>
        </w:rPr>
      </w:pPr>
      <w:r>
        <w:rPr>
          <w:color w:val="000000"/>
          <w:szCs w:val="28"/>
        </w:rPr>
        <w:t>Теплоснабжение усадебной застройки предлагается осуществить от одноконтурных или двухконтурных теплогенераторов (бытовых газовых котлов).</w:t>
      </w:r>
    </w:p>
    <w:p>
      <w:pPr>
        <w:pStyle w:val="Normal"/>
        <w:jc w:val="both"/>
        <w:rPr>
          <w:color w:val="000000"/>
          <w:szCs w:val="28"/>
        </w:rPr>
      </w:pPr>
      <w:r>
        <w:rPr>
          <w:color w:val="000000"/>
          <w:szCs w:val="28"/>
        </w:rPr>
        <w:t>Проектом предлагаются организационные мероприятия, направленные на отказ от использования устаревших и неэффективных технологий и переход на принципы наилучших доступных технологий и внедрение современных инновационных технологий.</w:t>
      </w:r>
    </w:p>
    <w:p>
      <w:pPr>
        <w:pStyle w:val="Normal"/>
        <w:jc w:val="both"/>
        <w:rPr>
          <w:color w:val="FF0066"/>
          <w:szCs w:val="28"/>
        </w:rPr>
      </w:pPr>
      <w:r>
        <w:rPr>
          <w:color w:val="FF0066"/>
          <w:szCs w:val="28"/>
        </w:rPr>
      </w:r>
    </w:p>
    <w:p>
      <w:pPr>
        <w:pStyle w:val="Normal"/>
        <w:ind w:left="426" w:hanging="0"/>
        <w:jc w:val="both"/>
        <w:rPr>
          <w:b/>
          <w:color w:val="000000"/>
          <w:szCs w:val="28"/>
        </w:rPr>
      </w:pPr>
      <w:r>
        <w:rPr>
          <w:b/>
          <w:color w:val="000000"/>
          <w:szCs w:val="28"/>
        </w:rPr>
        <w:t>Газоснабжение</w:t>
      </w:r>
    </w:p>
    <w:p>
      <w:pPr>
        <w:pStyle w:val="Normal"/>
        <w:jc w:val="both"/>
        <w:rPr>
          <w:color w:val="000000"/>
          <w:szCs w:val="28"/>
          <w:u w:val="single"/>
        </w:rPr>
      </w:pPr>
      <w:r>
        <w:rPr>
          <w:color w:val="000000"/>
          <w:szCs w:val="28"/>
          <w:u w:val="single"/>
        </w:rPr>
        <w:t>Расчетные расходы газа</w:t>
      </w:r>
    </w:p>
    <w:p>
      <w:pPr>
        <w:pStyle w:val="Normal"/>
        <w:jc w:val="both"/>
        <w:rPr>
          <w:color w:val="000000"/>
          <w:szCs w:val="28"/>
        </w:rPr>
      </w:pPr>
      <w:r>
        <w:rPr>
          <w:color w:val="000000"/>
          <w:szCs w:val="28"/>
        </w:rPr>
        <w:t>В соответствии с планировочными решениями необходимо предусмотреть газоснабжение населения – (хозяйственно-бытовые и коммунальные нужды).</w:t>
      </w:r>
    </w:p>
    <w:p>
      <w:pPr>
        <w:pStyle w:val="Normal"/>
        <w:jc w:val="both"/>
        <w:rPr/>
      </w:pPr>
      <w:r>
        <w:rPr>
          <w:color w:val="000000"/>
          <w:szCs w:val="28"/>
        </w:rPr>
        <w:t>Расходы газа на хозяйственно-бытовые и коммунально-бытовые нужды населения определены по укрупненным показателям потребления газа в соответствии СП 42-101-2003</w:t>
      </w:r>
      <w:r>
        <w:rPr/>
        <w:t xml:space="preserve"> «</w:t>
      </w:r>
      <w:r>
        <w:rPr>
          <w:color w:val="000000"/>
          <w:szCs w:val="28"/>
        </w:rPr>
        <w:t>Общие положения по проектированию и строительству газораспределительных систем из металлических и полиэтиленовых труб» п.3.12 в зависимости от степени благоустройства при теплоте сгорания газа 34 МДж/м</w:t>
      </w:r>
      <w:r>
        <w:rPr>
          <w:color w:val="000000"/>
          <w:szCs w:val="28"/>
          <w:vertAlign w:val="superscript"/>
        </w:rPr>
        <w:t>3</w:t>
      </w:r>
      <w:r>
        <w:rPr>
          <w:color w:val="000000"/>
          <w:szCs w:val="28"/>
        </w:rPr>
        <w:t xml:space="preserve"> (8000 ккал/м</w:t>
      </w:r>
      <w:r>
        <w:rPr>
          <w:color w:val="000000"/>
          <w:szCs w:val="28"/>
          <w:vertAlign w:val="superscript"/>
        </w:rPr>
        <w:t>3</w:t>
      </w:r>
      <w:r>
        <w:rPr>
          <w:color w:val="000000"/>
          <w:szCs w:val="28"/>
        </w:rPr>
        <w:t>):</w:t>
      </w:r>
    </w:p>
    <w:p>
      <w:pPr>
        <w:pStyle w:val="Normal"/>
        <w:jc w:val="both"/>
        <w:rPr/>
      </w:pPr>
      <w:r>
        <w:rPr>
          <w:color w:val="000000"/>
          <w:szCs w:val="28"/>
        </w:rPr>
        <w:t>- при горячем водоснабжении от газовых водонагревателей – 300 м</w:t>
      </w:r>
      <w:r>
        <w:rPr>
          <w:color w:val="000000"/>
          <w:szCs w:val="28"/>
          <w:vertAlign w:val="superscript"/>
        </w:rPr>
        <w:t>3</w:t>
      </w:r>
      <w:r>
        <w:rPr>
          <w:color w:val="000000"/>
          <w:szCs w:val="28"/>
        </w:rPr>
        <w:t>/год;</w:t>
      </w:r>
    </w:p>
    <w:p>
      <w:pPr>
        <w:pStyle w:val="Normal"/>
        <w:jc w:val="both"/>
        <w:rPr/>
      </w:pPr>
      <w:r>
        <w:rPr>
          <w:color w:val="000000"/>
          <w:szCs w:val="28"/>
        </w:rPr>
        <w:t>- при отсутствии всяких видов горячего водоснабжения - 180 м</w:t>
      </w:r>
      <w:r>
        <w:rPr>
          <w:color w:val="000000"/>
          <w:szCs w:val="28"/>
          <w:vertAlign w:val="superscript"/>
        </w:rPr>
        <w:t>3</w:t>
      </w:r>
      <w:r>
        <w:rPr>
          <w:color w:val="000000"/>
          <w:szCs w:val="28"/>
        </w:rPr>
        <w:t>/год (220 в сельской местности).</w:t>
      </w:r>
    </w:p>
    <w:p>
      <w:pPr>
        <w:pStyle w:val="Normal"/>
        <w:jc w:val="both"/>
        <w:rPr/>
      </w:pPr>
      <w:r>
        <w:rPr>
          <w:color w:val="000000"/>
          <w:szCs w:val="28"/>
        </w:rPr>
        <w:t>Максимальный расчетный часовой расход газа м</w:t>
      </w:r>
      <w:r>
        <w:rPr>
          <w:color w:val="000000"/>
          <w:szCs w:val="28"/>
          <w:vertAlign w:val="superscript"/>
        </w:rPr>
        <w:t>3</w:t>
      </w:r>
      <w:r>
        <w:rPr>
          <w:color w:val="000000"/>
          <w:szCs w:val="28"/>
        </w:rPr>
        <w:t>/ч, при 0°С и давлении газа 0,1 МПа (760 мм.рт.ст.) на хозяйственно-бытовые и производственные нужды следует определять, как долю годового расхода по формуле:</w:t>
      </w:r>
    </w:p>
    <w:p>
      <w:pPr>
        <w:pStyle w:val="Normal"/>
        <w:jc w:val="both"/>
        <w:rPr/>
      </w:pPr>
      <w:r>
        <w:rPr>
          <w:color w:val="000000"/>
          <w:szCs w:val="28"/>
        </w:rPr>
        <w:t>В</w:t>
      </w:r>
      <w:r>
        <w:rPr>
          <w:color w:val="000000"/>
          <w:szCs w:val="28"/>
          <w:vertAlign w:val="subscript"/>
        </w:rPr>
        <w:t>hmax</w:t>
      </w:r>
      <w:r>
        <w:rPr>
          <w:color w:val="000000"/>
          <w:szCs w:val="28"/>
        </w:rPr>
        <w:t>= В</w:t>
      </w:r>
      <w:r>
        <w:rPr>
          <w:color w:val="000000"/>
          <w:szCs w:val="28"/>
          <w:vertAlign w:val="subscript"/>
        </w:rPr>
        <w:t>у</w:t>
      </w:r>
      <w:r>
        <w:rPr>
          <w:color w:val="000000"/>
          <w:szCs w:val="28"/>
        </w:rPr>
        <w:t>*К</w:t>
      </w:r>
      <w:r>
        <w:rPr>
          <w:color w:val="000000"/>
          <w:szCs w:val="28"/>
          <w:vertAlign w:val="subscript"/>
        </w:rPr>
        <w:t>hmax</w:t>
      </w:r>
      <w:r>
        <w:rPr>
          <w:color w:val="000000"/>
          <w:szCs w:val="28"/>
        </w:rPr>
        <w:t>;</w:t>
      </w:r>
    </w:p>
    <w:p>
      <w:pPr>
        <w:pStyle w:val="Normal"/>
        <w:jc w:val="both"/>
        <w:rPr/>
      </w:pPr>
      <w:r>
        <w:rPr>
          <w:color w:val="000000"/>
          <w:szCs w:val="28"/>
        </w:rPr>
        <w:t>где: К</w:t>
      </w:r>
      <w:r>
        <w:rPr>
          <w:color w:val="000000"/>
          <w:szCs w:val="28"/>
          <w:vertAlign w:val="subscript"/>
        </w:rPr>
        <w:t>hmax</w:t>
      </w:r>
      <w:r>
        <w:rPr>
          <w:color w:val="000000"/>
          <w:szCs w:val="28"/>
        </w:rPr>
        <w:t xml:space="preserve">- коэффициент часового максимума (табл.2,3,4 СП 42-101-2003 г); </w:t>
      </w:r>
    </w:p>
    <w:p>
      <w:pPr>
        <w:pStyle w:val="Normal"/>
        <w:jc w:val="both"/>
        <w:rPr/>
      </w:pPr>
      <w:r>
        <w:rPr>
          <w:color w:val="000000"/>
          <w:szCs w:val="28"/>
        </w:rPr>
        <w:t>B</w:t>
      </w:r>
      <w:r>
        <w:rPr>
          <w:color w:val="000000"/>
          <w:szCs w:val="28"/>
          <w:vertAlign w:val="subscript"/>
        </w:rPr>
        <w:t xml:space="preserve">у </w:t>
      </w:r>
      <w:r>
        <w:rPr>
          <w:color w:val="000000"/>
          <w:szCs w:val="28"/>
        </w:rPr>
        <w:t>-годовой расход газа, м</w:t>
      </w:r>
      <w:r>
        <w:rPr>
          <w:color w:val="000000"/>
          <w:szCs w:val="28"/>
          <w:vertAlign w:val="superscript"/>
        </w:rPr>
        <w:t>3</w:t>
      </w:r>
      <w:r>
        <w:rPr>
          <w:color w:val="000000"/>
          <w:szCs w:val="28"/>
        </w:rPr>
        <w:t xml:space="preserve">/год. </w:t>
      </w:r>
    </w:p>
    <w:p>
      <w:pPr>
        <w:pStyle w:val="Normal"/>
        <w:jc w:val="both"/>
        <w:rPr>
          <w:color w:val="000000"/>
          <w:szCs w:val="28"/>
        </w:rPr>
      </w:pPr>
      <w:r>
        <w:rPr>
          <w:color w:val="000000"/>
          <w:szCs w:val="28"/>
        </w:rPr>
        <w:t>Расход газа на нужды предприятий бытового обслуживания непроизводственного характера приняты в размере 5% суммарного расхода газа на жилые дома.</w:t>
      </w:r>
    </w:p>
    <w:p>
      <w:pPr>
        <w:pStyle w:val="Normal"/>
        <w:jc w:val="both"/>
        <w:rPr/>
      </w:pPr>
      <w:r>
        <w:rPr>
          <w:color w:val="000000"/>
          <w:szCs w:val="28"/>
        </w:rPr>
        <w:t>Потребность в газе на коммунально-бытовые нужды населения на первую очередь (2032 г.) и на расчетный срок (2047 г.) представлены в таблице 4.12.10.</w:t>
      </w:r>
    </w:p>
    <w:p>
      <w:pPr>
        <w:pStyle w:val="Normal"/>
        <w:ind w:hanging="0"/>
        <w:jc w:val="both"/>
        <w:rPr>
          <w:color w:val="000000"/>
          <w:szCs w:val="28"/>
        </w:rPr>
      </w:pPr>
      <w:r>
        <w:rPr>
          <w:color w:val="000000"/>
          <w:szCs w:val="28"/>
        </w:rPr>
      </w:r>
    </w:p>
    <w:p>
      <w:pPr>
        <w:pStyle w:val="Normal"/>
        <w:jc w:val="both"/>
        <w:rPr>
          <w:color w:val="000000"/>
          <w:szCs w:val="28"/>
        </w:rPr>
      </w:pPr>
      <w:r>
        <w:rPr>
          <w:color w:val="000000"/>
          <w:szCs w:val="28"/>
        </w:rPr>
        <w:t>Таблица 4.12.10</w:t>
      </w:r>
    </w:p>
    <w:p>
      <w:pPr>
        <w:pStyle w:val="Normal"/>
        <w:ind w:hanging="0"/>
        <w:jc w:val="both"/>
        <w:rPr>
          <w:color w:val="000000"/>
          <w:szCs w:val="28"/>
        </w:rPr>
      </w:pPr>
      <w:r>
        <w:rPr>
          <w:color w:val="000000"/>
          <w:szCs w:val="28"/>
        </w:rPr>
        <w:t xml:space="preserve">Потребность в газе на коммунально-бытовые нужды населения </w:t>
      </w:r>
    </w:p>
    <w:p>
      <w:pPr>
        <w:pStyle w:val="Normal"/>
        <w:ind w:hanging="0"/>
        <w:jc w:val="both"/>
        <w:rPr/>
      </w:pPr>
      <w:r>
        <w:rPr>
          <w:color w:val="000000"/>
          <w:szCs w:val="28"/>
        </w:rPr>
        <w:t>Вахитовского сельского поселения, тыс. нм</w:t>
      </w:r>
      <w:r>
        <w:rPr/>
        <w:t>3/год</w:t>
      </w:r>
    </w:p>
    <w:tbl>
      <w:tblPr>
        <w:tblW w:w="4850" w:type="pct"/>
        <w:jc w:val="center"/>
        <w:tblInd w:w="0" w:type="dxa"/>
        <w:tblLayout w:type="fixed"/>
        <w:tblCellMar>
          <w:top w:w="0" w:type="dxa"/>
          <w:left w:w="108" w:type="dxa"/>
          <w:bottom w:w="0" w:type="dxa"/>
          <w:right w:w="108" w:type="dxa"/>
        </w:tblCellMar>
      </w:tblPr>
      <w:tblGrid>
        <w:gridCol w:w="549"/>
        <w:gridCol w:w="2993"/>
        <w:gridCol w:w="2020"/>
        <w:gridCol w:w="2023"/>
        <w:gridCol w:w="2038"/>
      </w:tblGrid>
      <w:tr>
        <w:trPr/>
        <w:tc>
          <w:tcPr>
            <w:tcW w:w="54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bookmarkStart w:id="345" w:name="_Hlk150437873"/>
            <w:bookmarkEnd w:id="345"/>
            <w:r>
              <w:rPr>
                <w:color w:val="000000"/>
                <w:sz w:val="20"/>
                <w:szCs w:val="20"/>
              </w:rPr>
              <w:t xml:space="preserve">№ </w:t>
            </w:r>
            <w:r>
              <w:rPr>
                <w:color w:val="000000"/>
                <w:sz w:val="20"/>
                <w:szCs w:val="20"/>
              </w:rPr>
              <w:t>п/п</w:t>
            </w:r>
          </w:p>
        </w:tc>
        <w:tc>
          <w:tcPr>
            <w:tcW w:w="299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Наименование населенного пункта, входящего в состав поселения</w:t>
            </w:r>
          </w:p>
        </w:tc>
        <w:tc>
          <w:tcPr>
            <w:tcW w:w="6081" w:type="dxa"/>
            <w:gridSpan w:val="3"/>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Годовой расход газа</w:t>
            </w:r>
          </w:p>
        </w:tc>
      </w:tr>
      <w:tr>
        <w:trPr/>
        <w:tc>
          <w:tcPr>
            <w:tcW w:w="5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rPr>
            </w:pPr>
            <w:r>
              <w:rPr>
                <w:color w:val="000000"/>
                <w:sz w:val="20"/>
                <w:szCs w:val="20"/>
              </w:rPr>
            </w:r>
          </w:p>
        </w:tc>
        <w:tc>
          <w:tcPr>
            <w:tcW w:w="299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rPr>
            </w:pPr>
            <w:r>
              <w:rPr>
                <w:color w:val="000000"/>
                <w:sz w:val="20"/>
                <w:szCs w:val="20"/>
              </w:rPr>
            </w:r>
          </w:p>
        </w:tc>
        <w:tc>
          <w:tcPr>
            <w:tcW w:w="202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 xml:space="preserve">Существующее положение </w:t>
            </w:r>
          </w:p>
        </w:tc>
        <w:tc>
          <w:tcPr>
            <w:tcW w:w="202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I-я очередь</w:t>
            </w:r>
          </w:p>
          <w:p>
            <w:pPr>
              <w:pStyle w:val="Normal"/>
              <w:ind w:hanging="0"/>
              <w:jc w:val="both"/>
              <w:rPr/>
            </w:pPr>
            <w:r>
              <w:rPr>
                <w:color w:val="000000"/>
                <w:sz w:val="20"/>
                <w:szCs w:val="20"/>
              </w:rPr>
              <w:t>(2032 год)</w:t>
            </w:r>
          </w:p>
        </w:tc>
        <w:tc>
          <w:tcPr>
            <w:tcW w:w="203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pPr>
            <w:r>
              <w:rPr>
                <w:color w:val="000000"/>
                <w:sz w:val="20"/>
                <w:szCs w:val="20"/>
              </w:rPr>
              <w:t xml:space="preserve">Расчетный срок </w:t>
            </w:r>
          </w:p>
          <w:p>
            <w:pPr>
              <w:pStyle w:val="Normal"/>
              <w:ind w:hanging="0"/>
              <w:jc w:val="both"/>
              <w:rPr/>
            </w:pPr>
            <w:r>
              <w:rPr>
                <w:color w:val="000000"/>
                <w:sz w:val="20"/>
                <w:szCs w:val="20"/>
              </w:rPr>
              <w:t>(2047 год)</w:t>
            </w:r>
          </w:p>
        </w:tc>
      </w:tr>
      <w:tr>
        <w:trPr/>
        <w:tc>
          <w:tcPr>
            <w:tcW w:w="54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w:t>
            </w:r>
          </w:p>
        </w:tc>
        <w:tc>
          <w:tcPr>
            <w:tcW w:w="2993"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д.им. Мулланура Вахитова</w:t>
            </w:r>
          </w:p>
        </w:tc>
        <w:tc>
          <w:tcPr>
            <w:tcW w:w="2020"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44,66</w:t>
            </w:r>
          </w:p>
        </w:tc>
        <w:tc>
          <w:tcPr>
            <w:tcW w:w="2023"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50,82</w:t>
            </w:r>
          </w:p>
        </w:tc>
        <w:tc>
          <w:tcPr>
            <w:tcW w:w="2038"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63,36</w:t>
            </w:r>
          </w:p>
        </w:tc>
      </w:tr>
      <w:tr>
        <w:trPr/>
        <w:tc>
          <w:tcPr>
            <w:tcW w:w="54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w:t>
            </w:r>
          </w:p>
        </w:tc>
        <w:tc>
          <w:tcPr>
            <w:tcW w:w="2993"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п.Бакча-Сарай</w:t>
            </w:r>
          </w:p>
        </w:tc>
        <w:tc>
          <w:tcPr>
            <w:tcW w:w="2020"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35,42</w:t>
            </w:r>
          </w:p>
        </w:tc>
        <w:tc>
          <w:tcPr>
            <w:tcW w:w="2023"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51,26</w:t>
            </w:r>
          </w:p>
        </w:tc>
        <w:tc>
          <w:tcPr>
            <w:tcW w:w="2038"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56,32</w:t>
            </w:r>
          </w:p>
        </w:tc>
      </w:tr>
      <w:tr>
        <w:trPr/>
        <w:tc>
          <w:tcPr>
            <w:tcW w:w="54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3</w:t>
            </w:r>
          </w:p>
        </w:tc>
        <w:tc>
          <w:tcPr>
            <w:tcW w:w="2993"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с.Ташевка</w:t>
            </w:r>
          </w:p>
        </w:tc>
        <w:tc>
          <w:tcPr>
            <w:tcW w:w="2020"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9,68</w:t>
            </w:r>
          </w:p>
        </w:tc>
        <w:tc>
          <w:tcPr>
            <w:tcW w:w="2023"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47,52</w:t>
            </w:r>
          </w:p>
        </w:tc>
        <w:tc>
          <w:tcPr>
            <w:tcW w:w="2038"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56,76</w:t>
            </w:r>
          </w:p>
        </w:tc>
      </w:tr>
      <w:tr>
        <w:trPr/>
        <w:tc>
          <w:tcPr>
            <w:tcW w:w="54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4</w:t>
            </w:r>
          </w:p>
        </w:tc>
        <w:tc>
          <w:tcPr>
            <w:tcW w:w="2993"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д.Ватан</w:t>
            </w:r>
          </w:p>
        </w:tc>
        <w:tc>
          <w:tcPr>
            <w:tcW w:w="2020"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5,28</w:t>
            </w:r>
          </w:p>
        </w:tc>
        <w:tc>
          <w:tcPr>
            <w:tcW w:w="2023"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5,06</w:t>
            </w:r>
          </w:p>
        </w:tc>
        <w:tc>
          <w:tcPr>
            <w:tcW w:w="2038"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6,6</w:t>
            </w:r>
          </w:p>
        </w:tc>
      </w:tr>
      <w:tr>
        <w:trPr/>
        <w:tc>
          <w:tcPr>
            <w:tcW w:w="54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5</w:t>
            </w:r>
          </w:p>
        </w:tc>
        <w:tc>
          <w:tcPr>
            <w:tcW w:w="2993"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д.Гребени</w:t>
            </w:r>
          </w:p>
        </w:tc>
        <w:tc>
          <w:tcPr>
            <w:tcW w:w="2020"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0</w:t>
            </w:r>
          </w:p>
        </w:tc>
        <w:tc>
          <w:tcPr>
            <w:tcW w:w="2023"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12,98</w:t>
            </w:r>
          </w:p>
        </w:tc>
        <w:tc>
          <w:tcPr>
            <w:tcW w:w="2038"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53,46</w:t>
            </w:r>
          </w:p>
        </w:tc>
      </w:tr>
      <w:tr>
        <w:trPr/>
        <w:tc>
          <w:tcPr>
            <w:tcW w:w="3542"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bCs/>
                <w:color w:val="000000"/>
                <w:sz w:val="20"/>
                <w:szCs w:val="20"/>
              </w:rPr>
            </w:pPr>
            <w:r>
              <w:rPr>
                <w:bCs/>
                <w:color w:val="000000"/>
                <w:sz w:val="20"/>
                <w:szCs w:val="20"/>
              </w:rPr>
              <w:t>Всего по сельскому поселению:</w:t>
            </w:r>
          </w:p>
        </w:tc>
        <w:tc>
          <w:tcPr>
            <w:tcW w:w="2020"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95,04</w:t>
            </w:r>
          </w:p>
        </w:tc>
        <w:tc>
          <w:tcPr>
            <w:tcW w:w="2023"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167,6</w:t>
            </w:r>
          </w:p>
        </w:tc>
        <w:tc>
          <w:tcPr>
            <w:tcW w:w="2038"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236,5</w:t>
            </w:r>
          </w:p>
        </w:tc>
      </w:tr>
    </w:tbl>
    <w:p>
      <w:pPr>
        <w:pStyle w:val="Normal"/>
        <w:jc w:val="both"/>
        <w:rPr>
          <w:color w:val="FF0066"/>
          <w:szCs w:val="28"/>
        </w:rPr>
      </w:pPr>
      <w:r>
        <w:rPr>
          <w:color w:val="FF0066"/>
          <w:szCs w:val="28"/>
        </w:rPr>
      </w:r>
    </w:p>
    <w:p>
      <w:pPr>
        <w:pStyle w:val="Normal"/>
        <w:jc w:val="both"/>
        <w:rPr/>
      </w:pPr>
      <w:r>
        <w:rPr>
          <w:color w:val="000000"/>
          <w:szCs w:val="28"/>
        </w:rPr>
        <w:t>Потребность в газе существующих и проектируемых промышленных предприятий необходимо определить в соответствии с проектами предприятий.</w:t>
      </w:r>
    </w:p>
    <w:p>
      <w:pPr>
        <w:pStyle w:val="Normal"/>
        <w:jc w:val="both"/>
        <w:rPr>
          <w:color w:val="000000"/>
          <w:szCs w:val="28"/>
          <w:u w:val="single"/>
        </w:rPr>
      </w:pPr>
      <w:r>
        <w:rPr>
          <w:color w:val="000000"/>
          <w:szCs w:val="28"/>
          <w:u w:val="single"/>
        </w:rPr>
        <w:t>Проектное решение</w:t>
      </w:r>
    </w:p>
    <w:p>
      <w:pPr>
        <w:pStyle w:val="Normal"/>
        <w:jc w:val="both"/>
        <w:rPr>
          <w:color w:val="000000"/>
          <w:szCs w:val="28"/>
        </w:rPr>
      </w:pPr>
      <w:r>
        <w:rPr>
          <w:color w:val="000000"/>
          <w:szCs w:val="28"/>
        </w:rPr>
        <w:t>Проектом предусматривается максимальное использование существующей системы газопроводов, позволяющей стабильное газоснабжение всех газифицированных объектов.</w:t>
      </w:r>
    </w:p>
    <w:p>
      <w:pPr>
        <w:pStyle w:val="Normal"/>
        <w:jc w:val="both"/>
        <w:rPr>
          <w:color w:val="000000"/>
          <w:szCs w:val="28"/>
        </w:rPr>
      </w:pPr>
      <w:r>
        <w:rPr>
          <w:color w:val="000000"/>
          <w:szCs w:val="28"/>
        </w:rPr>
        <w:t xml:space="preserve">В соответствии с Постановлением Госгортехнадзора РФ от 18.03.2003 №9 «Об утверждении правил безопасности систем газораспределения и газопотребления» порядок диагностирования стальных и полиэтиленовых газопроводов, а также газового оборудования должен устанавливаться нормативными документами, утверждаемыми Госгортехнадзором России. </w:t>
      </w:r>
    </w:p>
    <w:p>
      <w:pPr>
        <w:pStyle w:val="Normal"/>
        <w:jc w:val="both"/>
        <w:rPr>
          <w:color w:val="000000"/>
          <w:szCs w:val="28"/>
        </w:rPr>
      </w:pPr>
      <w:r>
        <w:rPr>
          <w:color w:val="000000"/>
          <w:szCs w:val="28"/>
        </w:rPr>
        <w:t>Ввиду отсутствия данных по диагностированию о техническом состоянии газопроводов и установлении ресурса их дальнейшей эксплуатации, в технических решениях предусматривается максимальное сохранение и использование действующих газопроводов.</w:t>
      </w:r>
    </w:p>
    <w:p>
      <w:pPr>
        <w:pStyle w:val="Normal"/>
        <w:jc w:val="both"/>
        <w:rPr>
          <w:color w:val="000000"/>
          <w:szCs w:val="28"/>
        </w:rPr>
      </w:pPr>
      <w:r>
        <w:rPr>
          <w:color w:val="000000"/>
          <w:szCs w:val="28"/>
        </w:rPr>
        <w:t>Газоснабжение жилищно-коммунального сектора предусматривается от системы газопроводов низкого давления после ГРП или ШРП.</w:t>
      </w:r>
    </w:p>
    <w:p>
      <w:pPr>
        <w:pStyle w:val="Normal"/>
        <w:ind w:right="-51" w:firstLine="709"/>
        <w:jc w:val="both"/>
        <w:rPr>
          <w:color w:val="000000"/>
          <w:szCs w:val="28"/>
        </w:rPr>
      </w:pPr>
      <w:r>
        <w:rPr>
          <w:color w:val="000000"/>
          <w:szCs w:val="28"/>
        </w:rPr>
        <w:t>Прокладку газопроводов и месторасположение газорегуляторных пунктов уточнить на последующих стадиях проектирования с учетом гидравлического расчета, геологических и топогеодезических изысканий.</w:t>
      </w:r>
    </w:p>
    <w:p>
      <w:pPr>
        <w:pStyle w:val="Normal"/>
        <w:jc w:val="both"/>
        <w:rPr>
          <w:color w:val="000000"/>
          <w:szCs w:val="28"/>
        </w:rPr>
      </w:pPr>
      <w:r>
        <w:rPr>
          <w:color w:val="000000"/>
          <w:szCs w:val="28"/>
        </w:rPr>
        <w:t>Проектом предлагаются организационные мероприятия, направленные на отказ от использования устаревших и неэффективных технологий и переход на принципы наилучших доступных технологий и внедрение современных инновационных технологий.</w:t>
      </w:r>
    </w:p>
    <w:p>
      <w:pPr>
        <w:pStyle w:val="Normal"/>
        <w:jc w:val="both"/>
        <w:rPr>
          <w:color w:val="000000"/>
          <w:szCs w:val="28"/>
        </w:rPr>
      </w:pPr>
      <w:r>
        <w:rPr>
          <w:color w:val="000000"/>
          <w:szCs w:val="28"/>
        </w:rPr>
        <w:t>Мероприятия по развитию системы газоснабжения поселения представлены в таблице 4.12.11.</w:t>
      </w:r>
    </w:p>
    <w:p>
      <w:pPr>
        <w:sectPr>
          <w:footerReference w:type="default" r:id="rId150"/>
          <w:footerReference w:type="first" r:id="rId151"/>
          <w:footnotePr>
            <w:numFmt w:val="decimal"/>
          </w:footnotePr>
          <w:type w:val="nextPage"/>
          <w:pgSz w:w="11906" w:h="16838"/>
          <w:pgMar w:left="1134" w:right="851" w:gutter="0" w:header="0" w:top="851" w:footer="708" w:bottom="851"/>
          <w:pgNumType w:fmt="decimal"/>
          <w:formProt w:val="false"/>
          <w:textDirection w:val="lrTb"/>
          <w:docGrid w:type="default" w:linePitch="360" w:charSpace="0"/>
        </w:sectPr>
        <w:pStyle w:val="Normal"/>
        <w:ind w:hanging="0"/>
        <w:jc w:val="both"/>
        <w:rPr>
          <w:color w:val="000000"/>
          <w:szCs w:val="28"/>
        </w:rPr>
      </w:pPr>
      <w:r>
        <w:rPr>
          <w:color w:val="000000"/>
          <w:szCs w:val="28"/>
        </w:rPr>
      </w:r>
    </w:p>
    <w:p>
      <w:pPr>
        <w:pStyle w:val="Normal"/>
        <w:shd w:fill="FFFFFF" w:val="clear"/>
        <w:jc w:val="right"/>
        <w:rPr/>
      </w:pPr>
      <w:r>
        <w:rPr>
          <w:color w:val="000000"/>
          <w:szCs w:val="28"/>
        </w:rPr>
        <w:t xml:space="preserve">Таблица </w:t>
      </w:r>
      <w:r>
        <w:rPr>
          <w:rFonts w:eastAsia="Calibri"/>
          <w:color w:val="000000"/>
          <w:szCs w:val="28"/>
          <w:lang w:eastAsia="en-US"/>
        </w:rPr>
        <w:t>4.12</w:t>
      </w:r>
      <w:r>
        <w:rPr>
          <w:color w:val="000000"/>
          <w:szCs w:val="28"/>
        </w:rPr>
        <w:t>.11</w:t>
      </w:r>
    </w:p>
    <w:p>
      <w:pPr>
        <w:pStyle w:val="Normal"/>
        <w:shd w:fill="FFFFFF" w:val="clear"/>
        <w:ind w:hanging="0"/>
        <w:jc w:val="center"/>
        <w:rPr/>
      </w:pPr>
      <w:r>
        <w:rPr>
          <w:rFonts w:eastAsia="Calibri"/>
          <w:color w:val="000000"/>
          <w:szCs w:val="28"/>
        </w:rPr>
        <w:t xml:space="preserve">Перечень мероприятий </w:t>
      </w:r>
      <w:r>
        <w:rPr>
          <w:color w:val="000000"/>
          <w:szCs w:val="28"/>
        </w:rPr>
        <w:t>по газоснабжению</w:t>
      </w:r>
      <w:r>
        <w:rPr>
          <w:rFonts w:eastAsia="Calibri"/>
          <w:color w:val="000000"/>
          <w:szCs w:val="28"/>
        </w:rPr>
        <w:t xml:space="preserve"> населенных пунктов, входящих в состав </w:t>
      </w:r>
    </w:p>
    <w:p>
      <w:pPr>
        <w:pStyle w:val="Normal"/>
        <w:shd w:fill="FFFFFF" w:val="clear"/>
        <w:ind w:hanging="0"/>
        <w:jc w:val="center"/>
        <w:rPr/>
      </w:pPr>
      <w:r>
        <w:rPr>
          <w:rFonts w:eastAsia="Calibri"/>
          <w:color w:val="000000"/>
          <w:szCs w:val="28"/>
        </w:rPr>
        <w:t>Вахитовского сельского поселения Верхнеуслонског</w:t>
      </w:r>
      <w:r>
        <w:rPr/>
        <w:t>о муниципального района Республики Татарстан</w:t>
      </w:r>
    </w:p>
    <w:tbl>
      <w:tblPr>
        <w:tblW w:w="5000" w:type="pct"/>
        <w:jc w:val="left"/>
        <w:tblInd w:w="-113" w:type="dxa"/>
        <w:tblLayout w:type="fixed"/>
        <w:tblCellMar>
          <w:top w:w="0" w:type="dxa"/>
          <w:left w:w="108" w:type="dxa"/>
          <w:bottom w:w="0" w:type="dxa"/>
          <w:right w:w="108" w:type="dxa"/>
        </w:tblCellMar>
      </w:tblPr>
      <w:tblGrid>
        <w:gridCol w:w="447"/>
        <w:gridCol w:w="1512"/>
        <w:gridCol w:w="1602"/>
        <w:gridCol w:w="1285"/>
        <w:gridCol w:w="1000"/>
        <w:gridCol w:w="1009"/>
        <w:gridCol w:w="802"/>
        <w:gridCol w:w="1015"/>
        <w:gridCol w:w="1249"/>
      </w:tblGrid>
      <w:tr>
        <w:trPr>
          <w:tblHeader w:val="true"/>
          <w:cantSplit w:val="true"/>
        </w:trPr>
        <w:tc>
          <w:tcPr>
            <w:tcW w:w="44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hd w:fill="FFFFFF" w:val="clear"/>
              <w:ind w:hanging="0"/>
              <w:jc w:val="center"/>
              <w:rPr>
                <w:color w:val="000000"/>
                <w:sz w:val="20"/>
                <w:szCs w:val="20"/>
              </w:rPr>
            </w:pPr>
            <w:r>
              <w:rPr>
                <w:color w:val="000000"/>
                <w:sz w:val="20"/>
                <w:szCs w:val="20"/>
              </w:rPr>
              <w:t xml:space="preserve">№ </w:t>
            </w:r>
            <w:r>
              <w:rPr>
                <w:color w:val="000000"/>
                <w:sz w:val="20"/>
                <w:szCs w:val="20"/>
              </w:rPr>
              <w:t>п/п</w:t>
            </w:r>
          </w:p>
        </w:tc>
        <w:tc>
          <w:tcPr>
            <w:tcW w:w="151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hd w:fill="FFFFFF" w:val="clear"/>
              <w:ind w:hanging="0"/>
              <w:jc w:val="center"/>
              <w:rPr>
                <w:color w:val="000000"/>
                <w:sz w:val="20"/>
                <w:szCs w:val="20"/>
              </w:rPr>
            </w:pPr>
            <w:r>
              <w:rPr>
                <w:color w:val="000000"/>
                <w:sz w:val="20"/>
                <w:szCs w:val="20"/>
              </w:rPr>
              <w:t>Местоположение</w:t>
            </w:r>
          </w:p>
        </w:tc>
        <w:tc>
          <w:tcPr>
            <w:tcW w:w="16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hd w:fill="FFFFFF" w:val="clear"/>
              <w:ind w:hanging="0"/>
              <w:jc w:val="center"/>
              <w:rPr>
                <w:color w:val="000000"/>
                <w:sz w:val="20"/>
                <w:szCs w:val="20"/>
              </w:rPr>
            </w:pPr>
            <w:r>
              <w:rPr>
                <w:color w:val="000000"/>
                <w:sz w:val="20"/>
                <w:szCs w:val="20"/>
              </w:rPr>
              <w:t>Наименование объекта</w:t>
            </w:r>
          </w:p>
        </w:tc>
        <w:tc>
          <w:tcPr>
            <w:tcW w:w="128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hd w:fill="FFFFFF" w:val="clear"/>
              <w:ind w:hanging="0"/>
              <w:jc w:val="center"/>
              <w:rPr>
                <w:color w:val="000000"/>
                <w:sz w:val="20"/>
                <w:szCs w:val="20"/>
              </w:rPr>
            </w:pPr>
            <w:r>
              <w:rPr>
                <w:color w:val="000000"/>
                <w:sz w:val="20"/>
                <w:szCs w:val="20"/>
              </w:rPr>
              <w:t>Вид мероприятия</w:t>
            </w:r>
          </w:p>
        </w:tc>
        <w:tc>
          <w:tcPr>
            <w:tcW w:w="100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hd w:fill="FFFFFF" w:val="clear"/>
              <w:ind w:hanging="0"/>
              <w:jc w:val="center"/>
              <w:rPr>
                <w:color w:val="000000"/>
                <w:sz w:val="20"/>
                <w:szCs w:val="20"/>
              </w:rPr>
            </w:pPr>
            <w:r>
              <w:rPr>
                <w:color w:val="000000"/>
                <w:sz w:val="20"/>
                <w:szCs w:val="20"/>
              </w:rPr>
              <w:t>Ед. измерения</w:t>
            </w:r>
          </w:p>
        </w:tc>
        <w:tc>
          <w:tcPr>
            <w:tcW w:w="100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hd w:fill="FFFFFF" w:val="clear"/>
              <w:ind w:hanging="0"/>
              <w:jc w:val="center"/>
              <w:rPr>
                <w:color w:val="000000"/>
                <w:sz w:val="20"/>
                <w:szCs w:val="20"/>
              </w:rPr>
            </w:pPr>
            <w:r>
              <w:rPr>
                <w:color w:val="000000"/>
                <w:sz w:val="20"/>
                <w:szCs w:val="20"/>
              </w:rPr>
              <w:t>Мощность</w:t>
            </w:r>
          </w:p>
        </w:tc>
        <w:tc>
          <w:tcPr>
            <w:tcW w:w="1817" w:type="dxa"/>
            <w:gridSpan w:val="2"/>
            <w:tcBorders>
              <w:top w:val="single" w:sz="4" w:space="0" w:color="000000"/>
              <w:left w:val="single" w:sz="4" w:space="0" w:color="000000"/>
              <w:bottom w:val="single" w:sz="4" w:space="0" w:color="000000"/>
              <w:right w:val="single" w:sz="4" w:space="0" w:color="000000"/>
            </w:tcBorders>
            <w:vAlign w:val="center"/>
          </w:tcPr>
          <w:p>
            <w:pPr>
              <w:pStyle w:val="Normal"/>
              <w:shd w:fill="FFFFFF" w:val="clear"/>
              <w:ind w:hanging="0"/>
              <w:jc w:val="center"/>
              <w:rPr>
                <w:color w:val="000000"/>
                <w:sz w:val="20"/>
                <w:szCs w:val="20"/>
              </w:rPr>
            </w:pPr>
            <w:r>
              <w:rPr>
                <w:color w:val="000000"/>
                <w:sz w:val="20"/>
                <w:szCs w:val="20"/>
              </w:rPr>
              <w:t>Сроки реализации</w:t>
            </w:r>
          </w:p>
        </w:tc>
        <w:tc>
          <w:tcPr>
            <w:tcW w:w="124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hd w:fill="FFFFFF" w:val="clear"/>
              <w:ind w:hanging="0"/>
              <w:jc w:val="center"/>
              <w:rPr>
                <w:color w:val="000000"/>
                <w:sz w:val="20"/>
                <w:szCs w:val="20"/>
              </w:rPr>
            </w:pPr>
            <w:r>
              <w:rPr>
                <w:color w:val="000000"/>
                <w:sz w:val="20"/>
                <w:szCs w:val="20"/>
              </w:rPr>
              <w:t>Источник мероприятия</w:t>
            </w:r>
          </w:p>
        </w:tc>
      </w:tr>
      <w:tr>
        <w:trPr>
          <w:tblHeader w:val="true"/>
          <w:cantSplit w:val="true"/>
        </w:trPr>
        <w:tc>
          <w:tcPr>
            <w:tcW w:w="44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hd w:fill="FFFFFF" w:val="clear"/>
              <w:snapToGrid w:val="false"/>
              <w:ind w:hanging="0"/>
              <w:jc w:val="left"/>
              <w:rPr>
                <w:color w:val="000000"/>
                <w:sz w:val="20"/>
                <w:szCs w:val="20"/>
              </w:rPr>
            </w:pPr>
            <w:r>
              <w:rPr>
                <w:color w:val="000000"/>
                <w:sz w:val="20"/>
                <w:szCs w:val="20"/>
              </w:rPr>
            </w:r>
          </w:p>
        </w:tc>
        <w:tc>
          <w:tcPr>
            <w:tcW w:w="151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hd w:fill="FFFFFF" w:val="clear"/>
              <w:snapToGrid w:val="false"/>
              <w:ind w:hanging="0"/>
              <w:jc w:val="left"/>
              <w:rPr>
                <w:color w:val="000000"/>
                <w:sz w:val="20"/>
                <w:szCs w:val="20"/>
              </w:rPr>
            </w:pPr>
            <w:r>
              <w:rPr>
                <w:color w:val="000000"/>
                <w:sz w:val="20"/>
                <w:szCs w:val="20"/>
              </w:rPr>
            </w:r>
          </w:p>
        </w:tc>
        <w:tc>
          <w:tcPr>
            <w:tcW w:w="16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hd w:fill="FFFFFF" w:val="clear"/>
              <w:snapToGrid w:val="false"/>
              <w:ind w:hanging="0"/>
              <w:jc w:val="left"/>
              <w:rPr>
                <w:color w:val="000000"/>
                <w:sz w:val="20"/>
                <w:szCs w:val="20"/>
              </w:rPr>
            </w:pPr>
            <w:r>
              <w:rPr>
                <w:color w:val="000000"/>
                <w:sz w:val="20"/>
                <w:szCs w:val="20"/>
              </w:rPr>
            </w:r>
          </w:p>
        </w:tc>
        <w:tc>
          <w:tcPr>
            <w:tcW w:w="128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hd w:fill="FFFFFF" w:val="clear"/>
              <w:snapToGrid w:val="false"/>
              <w:ind w:hanging="0"/>
              <w:jc w:val="left"/>
              <w:rPr>
                <w:color w:val="000000"/>
                <w:sz w:val="20"/>
                <w:szCs w:val="20"/>
              </w:rPr>
            </w:pPr>
            <w:r>
              <w:rPr>
                <w:color w:val="000000"/>
                <w:sz w:val="20"/>
                <w:szCs w:val="20"/>
              </w:rPr>
            </w:r>
          </w:p>
        </w:tc>
        <w:tc>
          <w:tcPr>
            <w:tcW w:w="100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hd w:fill="FFFFFF" w:val="clear"/>
              <w:snapToGrid w:val="false"/>
              <w:ind w:hanging="0"/>
              <w:jc w:val="left"/>
              <w:rPr>
                <w:color w:val="000000"/>
                <w:sz w:val="20"/>
                <w:szCs w:val="20"/>
              </w:rPr>
            </w:pPr>
            <w:r>
              <w:rPr>
                <w:color w:val="000000"/>
                <w:sz w:val="20"/>
                <w:szCs w:val="20"/>
              </w:rPr>
            </w:r>
          </w:p>
        </w:tc>
        <w:tc>
          <w:tcPr>
            <w:tcW w:w="10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hd w:fill="FFFFFF" w:val="clear"/>
              <w:snapToGrid w:val="false"/>
              <w:ind w:hanging="0"/>
              <w:jc w:val="left"/>
              <w:rPr>
                <w:color w:val="000000"/>
                <w:sz w:val="20"/>
                <w:szCs w:val="20"/>
              </w:rPr>
            </w:pPr>
            <w:r>
              <w:rPr>
                <w:color w:val="000000"/>
                <w:sz w:val="20"/>
                <w:szCs w:val="20"/>
              </w:rPr>
            </w:r>
          </w:p>
        </w:tc>
        <w:tc>
          <w:tcPr>
            <w:tcW w:w="802" w:type="dxa"/>
            <w:tcBorders>
              <w:top w:val="single" w:sz="4" w:space="0" w:color="000000"/>
              <w:left w:val="single" w:sz="4" w:space="0" w:color="000000"/>
              <w:bottom w:val="single" w:sz="4" w:space="0" w:color="000000"/>
              <w:right w:val="single" w:sz="4" w:space="0" w:color="000000"/>
            </w:tcBorders>
            <w:vAlign w:val="center"/>
          </w:tcPr>
          <w:p>
            <w:pPr>
              <w:pStyle w:val="Normal"/>
              <w:shd w:fill="FFFFFF" w:val="clear"/>
              <w:ind w:hanging="0"/>
              <w:jc w:val="center"/>
              <w:rPr>
                <w:color w:val="000000"/>
                <w:sz w:val="20"/>
                <w:szCs w:val="20"/>
              </w:rPr>
            </w:pPr>
            <w:r>
              <w:rPr>
                <w:color w:val="000000"/>
                <w:sz w:val="20"/>
                <w:szCs w:val="20"/>
              </w:rPr>
              <w:t xml:space="preserve">Первая очередь </w:t>
            </w:r>
          </w:p>
        </w:tc>
        <w:tc>
          <w:tcPr>
            <w:tcW w:w="1015" w:type="dxa"/>
            <w:tcBorders>
              <w:top w:val="single" w:sz="4" w:space="0" w:color="000000"/>
              <w:left w:val="single" w:sz="4" w:space="0" w:color="000000"/>
              <w:bottom w:val="single" w:sz="4" w:space="0" w:color="000000"/>
              <w:right w:val="single" w:sz="4" w:space="0" w:color="000000"/>
            </w:tcBorders>
            <w:vAlign w:val="center"/>
          </w:tcPr>
          <w:p>
            <w:pPr>
              <w:pStyle w:val="Normal"/>
              <w:shd w:fill="FFFFFF" w:val="clear"/>
              <w:ind w:hanging="0"/>
              <w:jc w:val="center"/>
              <w:rPr>
                <w:color w:val="000000"/>
                <w:sz w:val="20"/>
                <w:szCs w:val="20"/>
              </w:rPr>
            </w:pPr>
            <w:r>
              <w:rPr>
                <w:color w:val="000000"/>
                <w:sz w:val="20"/>
                <w:szCs w:val="20"/>
              </w:rPr>
              <w:t>Расчетный срок</w:t>
            </w:r>
          </w:p>
        </w:tc>
        <w:tc>
          <w:tcPr>
            <w:tcW w:w="124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hd w:fill="FFFFFF" w:val="clear"/>
              <w:snapToGrid w:val="false"/>
              <w:ind w:hanging="0"/>
              <w:jc w:val="left"/>
              <w:rPr>
                <w:color w:val="000000"/>
                <w:sz w:val="20"/>
                <w:szCs w:val="20"/>
              </w:rPr>
            </w:pPr>
            <w:r>
              <w:rPr>
                <w:color w:val="000000"/>
                <w:sz w:val="20"/>
                <w:szCs w:val="20"/>
              </w:rPr>
            </w:r>
          </w:p>
        </w:tc>
      </w:tr>
      <w:tr>
        <w:trPr>
          <w:tblHeader w:val="true"/>
          <w:cantSplit w:val="true"/>
        </w:trPr>
        <w:tc>
          <w:tcPr>
            <w:tcW w:w="9921" w:type="dxa"/>
            <w:gridSpan w:val="9"/>
            <w:tcBorders>
              <w:top w:val="single" w:sz="4" w:space="0" w:color="000000"/>
              <w:left w:val="single" w:sz="4" w:space="0" w:color="000000"/>
              <w:bottom w:val="single" w:sz="4" w:space="0" w:color="000000"/>
              <w:right w:val="single" w:sz="4" w:space="0" w:color="000000"/>
            </w:tcBorders>
            <w:vAlign w:val="center"/>
          </w:tcPr>
          <w:p>
            <w:pPr>
              <w:pStyle w:val="Normal"/>
              <w:shd w:fill="FFFFFF" w:val="clear"/>
              <w:ind w:hanging="0"/>
              <w:jc w:val="center"/>
              <w:rPr>
                <w:caps/>
                <w:color w:val="000000"/>
                <w:sz w:val="20"/>
                <w:szCs w:val="20"/>
              </w:rPr>
            </w:pPr>
            <w:r>
              <w:rPr>
                <w:caps/>
                <w:color w:val="000000"/>
                <w:sz w:val="20"/>
                <w:szCs w:val="20"/>
              </w:rPr>
              <w:t>МЕРОПРИЯТИЯ Местного (районного) значения</w:t>
            </w:r>
          </w:p>
        </w:tc>
      </w:tr>
      <w:tr>
        <w:trPr>
          <w:trHeight w:val="70" w:hRule="atLeast"/>
          <w:cantSplit w:val="true"/>
        </w:trPr>
        <w:tc>
          <w:tcPr>
            <w:tcW w:w="447" w:type="dxa"/>
            <w:tcBorders>
              <w:top w:val="single" w:sz="4" w:space="0" w:color="000000"/>
              <w:left w:val="single" w:sz="4" w:space="0" w:color="000000"/>
              <w:bottom w:val="single" w:sz="4" w:space="0" w:color="000000"/>
              <w:right w:val="single" w:sz="4" w:space="0" w:color="000000"/>
            </w:tcBorders>
            <w:vAlign w:val="center"/>
          </w:tcPr>
          <w:p>
            <w:pPr>
              <w:pStyle w:val="Normal"/>
              <w:shd w:fill="FFFFFF" w:val="clear"/>
              <w:ind w:hanging="0"/>
              <w:jc w:val="center"/>
              <w:rPr>
                <w:color w:val="000000"/>
                <w:sz w:val="20"/>
                <w:szCs w:val="20"/>
              </w:rPr>
            </w:pPr>
            <w:r>
              <w:rPr>
                <w:color w:val="000000"/>
                <w:sz w:val="20"/>
                <w:szCs w:val="20"/>
              </w:rPr>
              <w:t>1</w:t>
            </w:r>
          </w:p>
        </w:tc>
        <w:tc>
          <w:tcPr>
            <w:tcW w:w="151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center"/>
              <w:rPr>
                <w:color w:val="000000"/>
                <w:sz w:val="20"/>
                <w:szCs w:val="20"/>
              </w:rPr>
            </w:pPr>
            <w:r>
              <w:rPr>
                <w:color w:val="000000"/>
                <w:sz w:val="20"/>
                <w:szCs w:val="20"/>
              </w:rPr>
              <w:t>д.им. Мулланура Вахитова</w:t>
            </w:r>
          </w:p>
          <w:p>
            <w:pPr>
              <w:pStyle w:val="Normal"/>
              <w:ind w:hanging="0"/>
              <w:jc w:val="center"/>
              <w:rPr>
                <w:color w:val="000000"/>
                <w:sz w:val="20"/>
                <w:szCs w:val="20"/>
              </w:rPr>
            </w:pPr>
            <w:r>
              <w:rPr>
                <w:color w:val="000000"/>
                <w:sz w:val="20"/>
                <w:szCs w:val="20"/>
              </w:rPr>
              <w:t>п.Бакча-Сарай</w:t>
            </w:r>
          </w:p>
          <w:p>
            <w:pPr>
              <w:pStyle w:val="Normal"/>
              <w:ind w:hanging="0"/>
              <w:jc w:val="center"/>
              <w:rPr>
                <w:color w:val="000000"/>
                <w:sz w:val="20"/>
                <w:szCs w:val="20"/>
              </w:rPr>
            </w:pPr>
            <w:r>
              <w:rPr>
                <w:color w:val="000000"/>
                <w:sz w:val="20"/>
                <w:szCs w:val="20"/>
              </w:rPr>
              <w:t>с.Ташевка</w:t>
            </w:r>
          </w:p>
          <w:p>
            <w:pPr>
              <w:pStyle w:val="Normal"/>
              <w:ind w:hanging="0"/>
              <w:jc w:val="center"/>
              <w:rPr>
                <w:color w:val="000000"/>
                <w:sz w:val="20"/>
                <w:szCs w:val="20"/>
              </w:rPr>
            </w:pPr>
            <w:r>
              <w:rPr>
                <w:color w:val="000000"/>
                <w:sz w:val="20"/>
                <w:szCs w:val="20"/>
              </w:rPr>
              <w:t>д.Ватан</w:t>
            </w:r>
          </w:p>
          <w:p>
            <w:pPr>
              <w:pStyle w:val="Normal"/>
              <w:ind w:hanging="0"/>
              <w:jc w:val="center"/>
              <w:rPr>
                <w:color w:val="000000"/>
                <w:sz w:val="20"/>
                <w:szCs w:val="20"/>
              </w:rPr>
            </w:pPr>
            <w:r>
              <w:rPr>
                <w:color w:val="000000"/>
                <w:sz w:val="20"/>
                <w:szCs w:val="20"/>
              </w:rPr>
              <w:t>д.Гребени</w:t>
            </w:r>
          </w:p>
        </w:tc>
        <w:tc>
          <w:tcPr>
            <w:tcW w:w="1602" w:type="dxa"/>
            <w:tcBorders>
              <w:top w:val="single" w:sz="4" w:space="0" w:color="000000"/>
              <w:left w:val="single" w:sz="4" w:space="0" w:color="000000"/>
              <w:bottom w:val="single" w:sz="4" w:space="0" w:color="000000"/>
              <w:right w:val="single" w:sz="4" w:space="0" w:color="000000"/>
            </w:tcBorders>
            <w:vAlign w:val="center"/>
          </w:tcPr>
          <w:p>
            <w:pPr>
              <w:pStyle w:val="Normal"/>
              <w:shd w:fill="FFFFFF" w:val="clear"/>
              <w:ind w:hanging="0"/>
              <w:jc w:val="center"/>
              <w:rPr>
                <w:color w:val="000000"/>
                <w:sz w:val="20"/>
                <w:szCs w:val="20"/>
              </w:rPr>
            </w:pPr>
            <w:r>
              <w:rPr>
                <w:color w:val="000000"/>
                <w:sz w:val="20"/>
                <w:szCs w:val="20"/>
              </w:rPr>
              <w:t>Сети газоснабжения низкого давления</w:t>
            </w:r>
          </w:p>
        </w:tc>
        <w:tc>
          <w:tcPr>
            <w:tcW w:w="1285" w:type="dxa"/>
            <w:tcBorders>
              <w:top w:val="single" w:sz="4" w:space="0" w:color="000000"/>
              <w:left w:val="single" w:sz="4" w:space="0" w:color="000000"/>
              <w:bottom w:val="single" w:sz="4" w:space="0" w:color="000000"/>
              <w:right w:val="single" w:sz="4" w:space="0" w:color="000000"/>
            </w:tcBorders>
            <w:vAlign w:val="center"/>
          </w:tcPr>
          <w:p>
            <w:pPr>
              <w:pStyle w:val="Normal"/>
              <w:shd w:fill="FFFFFF" w:val="clear"/>
              <w:ind w:hanging="0"/>
              <w:jc w:val="center"/>
              <w:rPr>
                <w:color w:val="000000"/>
                <w:sz w:val="20"/>
                <w:szCs w:val="20"/>
              </w:rPr>
            </w:pPr>
            <w:r>
              <w:rPr>
                <w:color w:val="000000"/>
                <w:sz w:val="20"/>
                <w:szCs w:val="20"/>
              </w:rPr>
              <w:t>Новое строительство</w:t>
            </w:r>
          </w:p>
        </w:tc>
        <w:tc>
          <w:tcPr>
            <w:tcW w:w="1000" w:type="dxa"/>
            <w:tcBorders>
              <w:top w:val="single" w:sz="4" w:space="0" w:color="000000"/>
              <w:left w:val="single" w:sz="4" w:space="0" w:color="000000"/>
              <w:bottom w:val="single" w:sz="4" w:space="0" w:color="000000"/>
              <w:right w:val="single" w:sz="4" w:space="0" w:color="000000"/>
            </w:tcBorders>
            <w:vAlign w:val="center"/>
          </w:tcPr>
          <w:p>
            <w:pPr>
              <w:pStyle w:val="Normal"/>
              <w:shd w:fill="FFFFFF" w:val="clear"/>
              <w:ind w:hanging="0"/>
              <w:jc w:val="center"/>
              <w:rPr>
                <w:color w:val="000000"/>
                <w:sz w:val="20"/>
                <w:szCs w:val="20"/>
              </w:rPr>
            </w:pPr>
            <w:r>
              <w:rPr>
                <w:color w:val="000000"/>
                <w:sz w:val="20"/>
                <w:szCs w:val="20"/>
              </w:rPr>
              <w:t>км</w:t>
            </w:r>
          </w:p>
        </w:tc>
        <w:tc>
          <w:tcPr>
            <w:tcW w:w="1009" w:type="dxa"/>
            <w:tcBorders>
              <w:top w:val="single" w:sz="4" w:space="0" w:color="000000"/>
              <w:left w:val="single" w:sz="4" w:space="0" w:color="000000"/>
              <w:bottom w:val="single" w:sz="4" w:space="0" w:color="000000"/>
              <w:right w:val="single" w:sz="4" w:space="0" w:color="000000"/>
            </w:tcBorders>
            <w:vAlign w:val="center"/>
          </w:tcPr>
          <w:p>
            <w:pPr>
              <w:pStyle w:val="Normal"/>
              <w:shd w:fill="FFFFFF" w:val="clear"/>
              <w:ind w:hanging="0"/>
              <w:jc w:val="center"/>
              <w:rPr>
                <w:color w:val="000000"/>
                <w:sz w:val="20"/>
                <w:szCs w:val="20"/>
              </w:rPr>
            </w:pPr>
            <w:r>
              <w:rPr>
                <w:color w:val="000000"/>
                <w:sz w:val="20"/>
                <w:szCs w:val="20"/>
              </w:rPr>
              <w:t>-</w:t>
            </w:r>
          </w:p>
        </w:tc>
        <w:tc>
          <w:tcPr>
            <w:tcW w:w="802" w:type="dxa"/>
            <w:tcBorders>
              <w:top w:val="single" w:sz="4" w:space="0" w:color="000000"/>
              <w:left w:val="single" w:sz="4" w:space="0" w:color="000000"/>
              <w:bottom w:val="single" w:sz="4" w:space="0" w:color="000000"/>
              <w:right w:val="single" w:sz="4" w:space="0" w:color="000000"/>
            </w:tcBorders>
            <w:vAlign w:val="center"/>
          </w:tcPr>
          <w:p>
            <w:pPr>
              <w:pStyle w:val="Normal"/>
              <w:shd w:fill="FFFFFF" w:val="clear"/>
              <w:ind w:hanging="0"/>
              <w:jc w:val="center"/>
              <w:rPr>
                <w:b/>
                <w:color w:val="000000"/>
                <w:sz w:val="20"/>
                <w:szCs w:val="20"/>
              </w:rPr>
            </w:pPr>
            <w:r>
              <w:rPr>
                <w:b/>
                <w:color w:val="000000"/>
                <w:sz w:val="20"/>
                <w:szCs w:val="20"/>
              </w:rPr>
              <w:t>+</w:t>
            </w:r>
          </w:p>
        </w:tc>
        <w:tc>
          <w:tcPr>
            <w:tcW w:w="1015" w:type="dxa"/>
            <w:tcBorders>
              <w:top w:val="single" w:sz="4" w:space="0" w:color="000000"/>
              <w:left w:val="single" w:sz="4" w:space="0" w:color="000000"/>
              <w:bottom w:val="single" w:sz="4" w:space="0" w:color="000000"/>
              <w:right w:val="single" w:sz="4" w:space="0" w:color="000000"/>
            </w:tcBorders>
            <w:vAlign w:val="center"/>
          </w:tcPr>
          <w:p>
            <w:pPr>
              <w:pStyle w:val="Normal"/>
              <w:shd w:fill="FFFFFF" w:val="clear"/>
              <w:ind w:hanging="0"/>
              <w:jc w:val="center"/>
              <w:rPr>
                <w:b/>
                <w:color w:val="000000"/>
                <w:sz w:val="20"/>
                <w:szCs w:val="20"/>
              </w:rPr>
            </w:pPr>
            <w:r>
              <w:rPr>
                <w:b/>
                <w:color w:val="000000"/>
                <w:sz w:val="20"/>
                <w:szCs w:val="20"/>
              </w:rPr>
              <w:t>-</w:t>
            </w:r>
          </w:p>
        </w:tc>
        <w:tc>
          <w:tcPr>
            <w:tcW w:w="1249" w:type="dxa"/>
            <w:tcBorders>
              <w:top w:val="single" w:sz="4" w:space="0" w:color="000000"/>
              <w:left w:val="single" w:sz="4" w:space="0" w:color="000000"/>
              <w:bottom w:val="single" w:sz="4" w:space="0" w:color="000000"/>
              <w:right w:val="single" w:sz="4" w:space="0" w:color="000000"/>
            </w:tcBorders>
            <w:vAlign w:val="center"/>
          </w:tcPr>
          <w:p>
            <w:pPr>
              <w:pStyle w:val="Normal"/>
              <w:shd w:fill="FFFFFF" w:val="clear"/>
              <w:ind w:hanging="0"/>
              <w:jc w:val="center"/>
              <w:rPr/>
            </w:pPr>
            <w:r>
              <w:rPr>
                <w:color w:val="000000"/>
                <w:sz w:val="20"/>
                <w:szCs w:val="20"/>
              </w:rPr>
              <w:t>Генеральный план Вахитовского СП</w:t>
            </w:r>
          </w:p>
        </w:tc>
      </w:tr>
      <w:tr>
        <w:trPr>
          <w:trHeight w:val="70" w:hRule="atLeast"/>
          <w:cantSplit w:val="true"/>
        </w:trPr>
        <w:tc>
          <w:tcPr>
            <w:tcW w:w="447" w:type="dxa"/>
            <w:tcBorders>
              <w:top w:val="single" w:sz="4" w:space="0" w:color="000000"/>
              <w:left w:val="single" w:sz="4" w:space="0" w:color="000000"/>
              <w:bottom w:val="single" w:sz="4" w:space="0" w:color="000000"/>
              <w:right w:val="single" w:sz="4" w:space="0" w:color="000000"/>
            </w:tcBorders>
            <w:vAlign w:val="center"/>
          </w:tcPr>
          <w:p>
            <w:pPr>
              <w:pStyle w:val="Normal"/>
              <w:shd w:fill="FFFFFF" w:val="clear"/>
              <w:ind w:hanging="0"/>
              <w:jc w:val="center"/>
              <w:rPr>
                <w:color w:val="000000"/>
                <w:sz w:val="20"/>
                <w:szCs w:val="20"/>
              </w:rPr>
            </w:pPr>
            <w:r>
              <w:rPr>
                <w:color w:val="000000"/>
                <w:sz w:val="20"/>
                <w:szCs w:val="20"/>
              </w:rPr>
              <w:t>2</w:t>
            </w:r>
          </w:p>
        </w:tc>
        <w:tc>
          <w:tcPr>
            <w:tcW w:w="1512" w:type="dxa"/>
            <w:tcBorders>
              <w:top w:val="single" w:sz="4" w:space="0" w:color="000000"/>
              <w:left w:val="single" w:sz="4" w:space="0" w:color="000000"/>
              <w:bottom w:val="single" w:sz="4" w:space="0" w:color="000000"/>
              <w:right w:val="single" w:sz="4" w:space="0" w:color="000000"/>
            </w:tcBorders>
            <w:vAlign w:val="center"/>
          </w:tcPr>
          <w:p>
            <w:pPr>
              <w:pStyle w:val="Normal"/>
              <w:numPr>
                <w:ilvl w:val="0"/>
                <w:numId w:val="14"/>
              </w:numPr>
              <w:shd w:fill="FFFFFF" w:val="clear"/>
              <w:tabs>
                <w:tab w:val="clear" w:pos="709"/>
                <w:tab w:val="left" w:pos="351" w:leader="none"/>
              </w:tabs>
              <w:jc w:val="center"/>
              <w:rPr/>
            </w:pPr>
            <w:r>
              <w:rPr>
                <w:color w:val="000000"/>
                <w:sz w:val="20"/>
                <w:szCs w:val="20"/>
              </w:rPr>
              <w:t>с.Ташевка</w:t>
            </w:r>
          </w:p>
        </w:tc>
        <w:tc>
          <w:tcPr>
            <w:tcW w:w="1602" w:type="dxa"/>
            <w:tcBorders>
              <w:top w:val="single" w:sz="4" w:space="0" w:color="000000"/>
              <w:left w:val="single" w:sz="4" w:space="0" w:color="000000"/>
              <w:bottom w:val="single" w:sz="4" w:space="0" w:color="000000"/>
              <w:right w:val="single" w:sz="4" w:space="0" w:color="000000"/>
            </w:tcBorders>
            <w:vAlign w:val="center"/>
          </w:tcPr>
          <w:p>
            <w:pPr>
              <w:pStyle w:val="Normal"/>
              <w:shd w:fill="FFFFFF" w:val="clear"/>
              <w:ind w:hanging="0"/>
              <w:jc w:val="center"/>
              <w:rPr>
                <w:color w:val="000000"/>
                <w:sz w:val="20"/>
                <w:szCs w:val="20"/>
              </w:rPr>
            </w:pPr>
            <w:r>
              <w:rPr>
                <w:color w:val="000000"/>
                <w:sz w:val="20"/>
                <w:szCs w:val="20"/>
              </w:rPr>
              <w:t>Газорегуляторный пункт (ГРП)</w:t>
            </w:r>
          </w:p>
        </w:tc>
        <w:tc>
          <w:tcPr>
            <w:tcW w:w="1285" w:type="dxa"/>
            <w:tcBorders>
              <w:top w:val="single" w:sz="4" w:space="0" w:color="000000"/>
              <w:left w:val="single" w:sz="4" w:space="0" w:color="000000"/>
              <w:bottom w:val="single" w:sz="4" w:space="0" w:color="000000"/>
              <w:right w:val="single" w:sz="4" w:space="0" w:color="000000"/>
            </w:tcBorders>
            <w:vAlign w:val="center"/>
          </w:tcPr>
          <w:p>
            <w:pPr>
              <w:pStyle w:val="Normal"/>
              <w:shd w:fill="FFFFFF" w:val="clear"/>
              <w:ind w:hanging="0"/>
              <w:jc w:val="center"/>
              <w:rPr>
                <w:color w:val="000000"/>
                <w:sz w:val="20"/>
                <w:szCs w:val="20"/>
              </w:rPr>
            </w:pPr>
            <w:r>
              <w:rPr>
                <w:color w:val="000000"/>
                <w:sz w:val="20"/>
                <w:szCs w:val="20"/>
              </w:rPr>
              <w:t>Новое строительство</w:t>
            </w:r>
          </w:p>
        </w:tc>
        <w:tc>
          <w:tcPr>
            <w:tcW w:w="1000" w:type="dxa"/>
            <w:tcBorders>
              <w:top w:val="single" w:sz="4" w:space="0" w:color="000000"/>
              <w:left w:val="single" w:sz="4" w:space="0" w:color="000000"/>
              <w:bottom w:val="single" w:sz="4" w:space="0" w:color="000000"/>
              <w:right w:val="single" w:sz="4" w:space="0" w:color="000000"/>
            </w:tcBorders>
            <w:vAlign w:val="center"/>
          </w:tcPr>
          <w:p>
            <w:pPr>
              <w:pStyle w:val="Normal"/>
              <w:shd w:fill="FFFFFF" w:val="clear"/>
              <w:ind w:hanging="0"/>
              <w:jc w:val="center"/>
              <w:rPr>
                <w:color w:val="000000"/>
                <w:sz w:val="20"/>
                <w:szCs w:val="20"/>
              </w:rPr>
            </w:pPr>
            <w:r>
              <w:rPr>
                <w:color w:val="000000"/>
                <w:sz w:val="20"/>
                <w:szCs w:val="20"/>
              </w:rPr>
              <w:t>объект</w:t>
            </w:r>
          </w:p>
        </w:tc>
        <w:tc>
          <w:tcPr>
            <w:tcW w:w="1009" w:type="dxa"/>
            <w:tcBorders>
              <w:top w:val="single" w:sz="4" w:space="0" w:color="000000"/>
              <w:left w:val="single" w:sz="4" w:space="0" w:color="000000"/>
              <w:bottom w:val="single" w:sz="4" w:space="0" w:color="000000"/>
              <w:right w:val="single" w:sz="4" w:space="0" w:color="000000"/>
            </w:tcBorders>
            <w:vAlign w:val="center"/>
          </w:tcPr>
          <w:p>
            <w:pPr>
              <w:pStyle w:val="Normal"/>
              <w:shd w:fill="FFFFFF" w:val="clear"/>
              <w:ind w:hanging="0"/>
              <w:jc w:val="center"/>
              <w:rPr>
                <w:color w:val="000000"/>
                <w:sz w:val="20"/>
                <w:szCs w:val="20"/>
              </w:rPr>
            </w:pPr>
            <w:r>
              <w:rPr>
                <w:color w:val="000000"/>
                <w:sz w:val="20"/>
                <w:szCs w:val="20"/>
              </w:rPr>
              <w:t>1</w:t>
            </w:r>
          </w:p>
        </w:tc>
        <w:tc>
          <w:tcPr>
            <w:tcW w:w="802" w:type="dxa"/>
            <w:tcBorders>
              <w:top w:val="single" w:sz="4" w:space="0" w:color="000000"/>
              <w:left w:val="single" w:sz="4" w:space="0" w:color="000000"/>
              <w:bottom w:val="single" w:sz="4" w:space="0" w:color="000000"/>
              <w:right w:val="single" w:sz="4" w:space="0" w:color="000000"/>
            </w:tcBorders>
            <w:vAlign w:val="center"/>
          </w:tcPr>
          <w:p>
            <w:pPr>
              <w:pStyle w:val="Normal"/>
              <w:shd w:fill="FFFFFF" w:val="clear"/>
              <w:ind w:hanging="0"/>
              <w:jc w:val="center"/>
              <w:rPr>
                <w:b/>
                <w:color w:val="000000"/>
                <w:sz w:val="20"/>
                <w:szCs w:val="20"/>
              </w:rPr>
            </w:pPr>
            <w:r>
              <w:rPr>
                <w:b/>
                <w:color w:val="000000"/>
                <w:sz w:val="20"/>
                <w:szCs w:val="20"/>
              </w:rPr>
              <w:t>+</w:t>
            </w:r>
          </w:p>
        </w:tc>
        <w:tc>
          <w:tcPr>
            <w:tcW w:w="1015" w:type="dxa"/>
            <w:tcBorders>
              <w:top w:val="single" w:sz="4" w:space="0" w:color="000000"/>
              <w:left w:val="single" w:sz="4" w:space="0" w:color="000000"/>
              <w:bottom w:val="single" w:sz="4" w:space="0" w:color="000000"/>
              <w:right w:val="single" w:sz="4" w:space="0" w:color="000000"/>
            </w:tcBorders>
            <w:vAlign w:val="center"/>
          </w:tcPr>
          <w:p>
            <w:pPr>
              <w:pStyle w:val="Normal"/>
              <w:shd w:fill="FFFFFF" w:val="clear"/>
              <w:ind w:hanging="0"/>
              <w:jc w:val="center"/>
              <w:rPr>
                <w:b/>
                <w:color w:val="000000"/>
                <w:sz w:val="20"/>
                <w:szCs w:val="20"/>
              </w:rPr>
            </w:pPr>
            <w:r>
              <w:rPr>
                <w:b/>
                <w:color w:val="000000"/>
                <w:sz w:val="20"/>
                <w:szCs w:val="20"/>
              </w:rPr>
              <w:t>-</w:t>
            </w:r>
          </w:p>
        </w:tc>
        <w:tc>
          <w:tcPr>
            <w:tcW w:w="1249" w:type="dxa"/>
            <w:tcBorders>
              <w:top w:val="single" w:sz="4" w:space="0" w:color="000000"/>
              <w:left w:val="single" w:sz="4" w:space="0" w:color="000000"/>
              <w:bottom w:val="single" w:sz="4" w:space="0" w:color="000000"/>
              <w:right w:val="single" w:sz="4" w:space="0" w:color="000000"/>
            </w:tcBorders>
            <w:vAlign w:val="center"/>
          </w:tcPr>
          <w:p>
            <w:pPr>
              <w:pStyle w:val="Normal"/>
              <w:shd w:fill="FFFFFF" w:val="clear"/>
              <w:ind w:hanging="0"/>
              <w:jc w:val="center"/>
              <w:rPr/>
            </w:pPr>
            <w:r>
              <w:rPr>
                <w:color w:val="000000"/>
                <w:sz w:val="20"/>
                <w:szCs w:val="20"/>
              </w:rPr>
              <w:t>Генеральный план Вахитовского СП</w:t>
            </w:r>
          </w:p>
        </w:tc>
      </w:tr>
    </w:tbl>
    <w:p>
      <w:pPr>
        <w:pStyle w:val="Normal"/>
        <w:rPr>
          <w:color w:val="000000"/>
          <w:szCs w:val="28"/>
        </w:rPr>
      </w:pPr>
      <w:r>
        <w:rPr>
          <w:color w:val="000000"/>
          <w:szCs w:val="28"/>
        </w:rPr>
      </w:r>
    </w:p>
    <w:p>
      <w:pPr>
        <w:pStyle w:val="Normal"/>
        <w:rPr>
          <w:color w:val="FF0066"/>
          <w:szCs w:val="28"/>
        </w:rPr>
      </w:pPr>
      <w:r>
        <w:rPr>
          <w:color w:val="FF0066"/>
          <w:szCs w:val="28"/>
        </w:rPr>
      </w:r>
    </w:p>
    <w:p>
      <w:pPr>
        <w:pStyle w:val="Normal"/>
        <w:ind w:left="426" w:hanging="0"/>
        <w:jc w:val="center"/>
        <w:rPr>
          <w:b/>
          <w:color w:val="000000"/>
          <w:szCs w:val="28"/>
        </w:rPr>
      </w:pPr>
      <w:r>
        <w:rPr>
          <w:b/>
          <w:color w:val="000000"/>
          <w:szCs w:val="28"/>
        </w:rPr>
        <w:t>Электроснабжение</w:t>
      </w:r>
    </w:p>
    <w:p>
      <w:pPr>
        <w:pStyle w:val="Normal"/>
        <w:jc w:val="both"/>
        <w:rPr>
          <w:color w:val="000000"/>
          <w:szCs w:val="28"/>
          <w:u w:val="single"/>
        </w:rPr>
      </w:pPr>
      <w:r>
        <w:rPr>
          <w:color w:val="000000"/>
          <w:szCs w:val="28"/>
          <w:u w:val="single"/>
        </w:rPr>
        <w:t>Расчет электрических нагрузок</w:t>
      </w:r>
    </w:p>
    <w:p>
      <w:pPr>
        <w:pStyle w:val="Normal"/>
        <w:jc w:val="both"/>
        <w:rPr/>
      </w:pPr>
      <w:r>
        <w:rPr>
          <w:color w:val="000000"/>
          <w:szCs w:val="28"/>
        </w:rPr>
        <w:t>Электрические нагрузки по генеральному плану Вахитовского сельского поселения определены в два срока:</w:t>
      </w:r>
    </w:p>
    <w:p>
      <w:pPr>
        <w:pStyle w:val="Normal"/>
        <w:jc w:val="both"/>
        <w:rPr/>
      </w:pPr>
      <w:r>
        <w:rPr>
          <w:color w:val="000000"/>
          <w:szCs w:val="28"/>
        </w:rPr>
        <w:t>- первая очередь – 2032 г.;</w:t>
      </w:r>
    </w:p>
    <w:p>
      <w:pPr>
        <w:pStyle w:val="Normal"/>
        <w:jc w:val="both"/>
        <w:rPr/>
      </w:pPr>
      <w:r>
        <w:rPr>
          <w:color w:val="000000"/>
          <w:szCs w:val="28"/>
        </w:rPr>
        <w:t>- расчетный срок – 2047 г.</w:t>
      </w:r>
    </w:p>
    <w:p>
      <w:pPr>
        <w:pStyle w:val="Normal"/>
        <w:jc w:val="both"/>
        <w:rPr>
          <w:color w:val="000000"/>
          <w:szCs w:val="28"/>
        </w:rPr>
      </w:pPr>
      <w:r>
        <w:rPr>
          <w:color w:val="000000"/>
          <w:szCs w:val="28"/>
        </w:rPr>
        <w:t>Расчет электрических нагрузок хозяйственно-бытовых и коммунальных нужд произведен по укрупненным нормам электропотребления на одного жителя согласно РД 34.20.185-94 (изм. 1999) “Инструкция по проектированию городских электрических сетей”.</w:t>
      </w:r>
    </w:p>
    <w:p>
      <w:pPr>
        <w:pStyle w:val="Normal"/>
        <w:jc w:val="both"/>
        <w:rPr/>
      </w:pPr>
      <w:r>
        <w:rPr>
          <w:color w:val="000000"/>
          <w:szCs w:val="28"/>
        </w:rPr>
        <w:t xml:space="preserve">Годовое электропотребление коммунально-бытового сектора рассчитано согласно Республиканским нормативам градостроительного проектирования Республики Татарстан (утв. Постановлением Кабинета Министров №1071 от 27.12.2013г.) (с изменениями и дополнениями), таблица 29 «Объекты местного значения муниципальных образований по областям». </w:t>
      </w:r>
    </w:p>
    <w:p>
      <w:pPr>
        <w:pStyle w:val="Normal"/>
        <w:jc w:val="both"/>
        <w:rPr>
          <w:color w:val="000000"/>
          <w:szCs w:val="28"/>
        </w:rPr>
      </w:pPr>
      <w:r>
        <w:rPr>
          <w:color w:val="000000"/>
          <w:szCs w:val="28"/>
        </w:rPr>
        <w:t xml:space="preserve">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объектами транспортного обслуживания, наружным освещением. Эти данные не учитывают применения в жилых зданиях кондиционирования, электроотопления и электроводонагрева. </w:t>
      </w:r>
    </w:p>
    <w:p>
      <w:pPr>
        <w:pStyle w:val="Normal"/>
        <w:jc w:val="both"/>
        <w:rPr>
          <w:color w:val="000000"/>
          <w:szCs w:val="28"/>
        </w:rPr>
      </w:pPr>
      <w:r>
        <w:rPr>
          <w:color w:val="000000"/>
          <w:szCs w:val="28"/>
        </w:rPr>
        <w:t>Расчетная мощность коммунально-бытового сектора рассчитана согласно РД 34.20.185-94, табл.2.4.3. "Укрупненные показатели удельной расчетной коммунально-бытовой нагрузки» (категория городов "малый", с плитами на природном газе). Приведенные в таблице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(гаражей и открытых площадок для хранения автомобилей), наружного освещения. Также в таблице учтены различные мелкопромышленные потребители питающиеся, как правило, по поселковым распределительным сетям.</w:t>
      </w:r>
    </w:p>
    <w:p>
      <w:pPr>
        <w:pStyle w:val="Normal"/>
        <w:jc w:val="both"/>
        <w:rPr>
          <w:color w:val="000000"/>
          <w:szCs w:val="28"/>
        </w:rPr>
      </w:pPr>
      <w:r>
        <w:rPr>
          <w:color w:val="000000"/>
          <w:szCs w:val="28"/>
        </w:rPr>
        <w:t>Расчет электрических нагрузок предприятий необходимо произвести по проектам электроснабжения данных предприятий или соответствующих аналогов.</w:t>
      </w:r>
    </w:p>
    <w:p>
      <w:pPr>
        <w:pStyle w:val="Normal"/>
        <w:jc w:val="both"/>
        <w:rPr>
          <w:color w:val="000000"/>
          <w:szCs w:val="28"/>
        </w:rPr>
      </w:pPr>
      <w:r>
        <w:rPr>
          <w:color w:val="000000"/>
          <w:szCs w:val="28"/>
        </w:rPr>
      </w:r>
    </w:p>
    <w:p>
      <w:pPr>
        <w:pStyle w:val="Normal"/>
        <w:jc w:val="both"/>
        <w:rPr>
          <w:color w:val="000000"/>
          <w:szCs w:val="28"/>
        </w:rPr>
      </w:pPr>
      <w:r>
        <w:rPr>
          <w:color w:val="000000"/>
          <w:szCs w:val="28"/>
        </w:rPr>
      </w:r>
    </w:p>
    <w:p>
      <w:pPr>
        <w:pStyle w:val="Normal"/>
        <w:jc w:val="both"/>
        <w:rPr>
          <w:color w:val="000000"/>
          <w:szCs w:val="28"/>
        </w:rPr>
      </w:pPr>
      <w:r>
        <w:rPr>
          <w:color w:val="000000"/>
          <w:szCs w:val="28"/>
        </w:rPr>
      </w:r>
    </w:p>
    <w:p>
      <w:pPr>
        <w:pStyle w:val="Normal"/>
        <w:jc w:val="both"/>
        <w:rPr>
          <w:color w:val="000000"/>
          <w:szCs w:val="28"/>
        </w:rPr>
      </w:pPr>
      <w:r>
        <w:rPr>
          <w:color w:val="000000"/>
          <w:szCs w:val="28"/>
        </w:rPr>
      </w:r>
    </w:p>
    <w:p>
      <w:pPr>
        <w:pStyle w:val="Normal"/>
        <w:jc w:val="both"/>
        <w:rPr>
          <w:color w:val="000000"/>
          <w:szCs w:val="28"/>
        </w:rPr>
      </w:pPr>
      <w:r>
        <w:rPr>
          <w:color w:val="000000"/>
          <w:szCs w:val="28"/>
        </w:rPr>
        <w:t>Таблица 4.12.11</w:t>
      </w:r>
    </w:p>
    <w:p>
      <w:pPr>
        <w:pStyle w:val="Normal"/>
        <w:jc w:val="both"/>
        <w:rPr/>
      </w:pPr>
      <w:r>
        <w:rPr>
          <w:color w:val="000000"/>
          <w:szCs w:val="28"/>
        </w:rPr>
        <w:t>Годовое электропотребление мощности коммунально-бытового сектора и мелкопромышленных предприятий, расположенных на территории Вахитовского</w:t>
      </w:r>
      <w:r>
        <w:rPr/>
        <w:t xml:space="preserve"> сельского поселения, тыс. кВт.ч/год</w:t>
      </w:r>
    </w:p>
    <w:tbl>
      <w:tblPr>
        <w:tblW w:w="4250" w:type="pct"/>
        <w:jc w:val="center"/>
        <w:tblInd w:w="0" w:type="dxa"/>
        <w:tblLayout w:type="fixed"/>
        <w:tblCellMar>
          <w:top w:w="0" w:type="dxa"/>
          <w:left w:w="108" w:type="dxa"/>
          <w:bottom w:w="0" w:type="dxa"/>
          <w:right w:w="108" w:type="dxa"/>
        </w:tblCellMar>
      </w:tblPr>
      <w:tblGrid>
        <w:gridCol w:w="697"/>
        <w:gridCol w:w="2171"/>
        <w:gridCol w:w="1708"/>
        <w:gridCol w:w="1986"/>
        <w:gridCol w:w="1870"/>
      </w:tblGrid>
      <w:tr>
        <w:trPr>
          <w:tblHeader w:val="true"/>
        </w:trPr>
        <w:tc>
          <w:tcPr>
            <w:tcW w:w="69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 xml:space="preserve">№ </w:t>
            </w:r>
            <w:r>
              <w:rPr>
                <w:color w:val="000000"/>
                <w:sz w:val="20"/>
                <w:szCs w:val="20"/>
              </w:rPr>
              <w:t>п/п</w:t>
            </w:r>
          </w:p>
        </w:tc>
        <w:tc>
          <w:tcPr>
            <w:tcW w:w="217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Наименование населенного пункта, входящего в состав поселения</w:t>
            </w:r>
          </w:p>
        </w:tc>
        <w:tc>
          <w:tcPr>
            <w:tcW w:w="5564" w:type="dxa"/>
            <w:gridSpan w:val="3"/>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Годовое электропотребление, тыс. кВт.ч/год</w:t>
            </w:r>
          </w:p>
        </w:tc>
      </w:tr>
      <w:tr>
        <w:trPr>
          <w:tblHeader w:val="true"/>
        </w:trPr>
        <w:tc>
          <w:tcPr>
            <w:tcW w:w="69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rPr>
            </w:pPr>
            <w:r>
              <w:rPr>
                <w:color w:val="000000"/>
                <w:sz w:val="20"/>
                <w:szCs w:val="20"/>
              </w:rPr>
            </w:r>
          </w:p>
        </w:tc>
        <w:tc>
          <w:tcPr>
            <w:tcW w:w="217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rPr>
            </w:pPr>
            <w:r>
              <w:rPr>
                <w:color w:val="000000"/>
                <w:sz w:val="20"/>
                <w:szCs w:val="20"/>
              </w:rPr>
            </w:r>
          </w:p>
        </w:tc>
        <w:tc>
          <w:tcPr>
            <w:tcW w:w="170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Исходный год</w:t>
            </w:r>
          </w:p>
        </w:tc>
        <w:tc>
          <w:tcPr>
            <w:tcW w:w="198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pPr>
            <w:r>
              <w:rPr>
                <w:color w:val="000000"/>
                <w:sz w:val="20"/>
                <w:szCs w:val="20"/>
              </w:rPr>
              <w:t>Первая очередь 2032г.</w:t>
            </w:r>
          </w:p>
        </w:tc>
        <w:tc>
          <w:tcPr>
            <w:tcW w:w="187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pPr>
            <w:r>
              <w:rPr>
                <w:color w:val="000000"/>
                <w:sz w:val="20"/>
                <w:szCs w:val="20"/>
              </w:rPr>
              <w:t>Расчетный срок 2047г.</w:t>
            </w:r>
          </w:p>
        </w:tc>
      </w:tr>
      <w:tr>
        <w:trPr/>
        <w:tc>
          <w:tcPr>
            <w:tcW w:w="69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w:t>
            </w:r>
          </w:p>
        </w:tc>
        <w:tc>
          <w:tcPr>
            <w:tcW w:w="2171"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д.им. Мулланура Вахитова</w:t>
            </w:r>
          </w:p>
        </w:tc>
        <w:tc>
          <w:tcPr>
            <w:tcW w:w="170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192,85</w:t>
            </w:r>
          </w:p>
        </w:tc>
        <w:tc>
          <w:tcPr>
            <w:tcW w:w="198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219,45</w:t>
            </w:r>
          </w:p>
        </w:tc>
        <w:tc>
          <w:tcPr>
            <w:tcW w:w="187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273,6</w:t>
            </w:r>
          </w:p>
        </w:tc>
      </w:tr>
      <w:tr>
        <w:trPr/>
        <w:tc>
          <w:tcPr>
            <w:tcW w:w="69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w:t>
            </w:r>
          </w:p>
        </w:tc>
        <w:tc>
          <w:tcPr>
            <w:tcW w:w="2171"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п.Бакча-Сарай</w:t>
            </w:r>
          </w:p>
        </w:tc>
        <w:tc>
          <w:tcPr>
            <w:tcW w:w="170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152,95</w:t>
            </w:r>
          </w:p>
        </w:tc>
        <w:tc>
          <w:tcPr>
            <w:tcW w:w="198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221,35</w:t>
            </w:r>
          </w:p>
        </w:tc>
        <w:tc>
          <w:tcPr>
            <w:tcW w:w="187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243,2</w:t>
            </w:r>
          </w:p>
        </w:tc>
      </w:tr>
      <w:tr>
        <w:trPr/>
        <w:tc>
          <w:tcPr>
            <w:tcW w:w="69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3</w:t>
            </w:r>
          </w:p>
        </w:tc>
        <w:tc>
          <w:tcPr>
            <w:tcW w:w="2171"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с.Ташевка</w:t>
            </w:r>
          </w:p>
        </w:tc>
        <w:tc>
          <w:tcPr>
            <w:tcW w:w="170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41,8</w:t>
            </w:r>
          </w:p>
        </w:tc>
        <w:tc>
          <w:tcPr>
            <w:tcW w:w="198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205,2</w:t>
            </w:r>
          </w:p>
        </w:tc>
        <w:tc>
          <w:tcPr>
            <w:tcW w:w="187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245,1</w:t>
            </w:r>
          </w:p>
        </w:tc>
      </w:tr>
      <w:tr>
        <w:trPr/>
        <w:tc>
          <w:tcPr>
            <w:tcW w:w="69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4</w:t>
            </w:r>
          </w:p>
        </w:tc>
        <w:tc>
          <w:tcPr>
            <w:tcW w:w="2171"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д.Ватан</w:t>
            </w:r>
          </w:p>
        </w:tc>
        <w:tc>
          <w:tcPr>
            <w:tcW w:w="170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22,8</w:t>
            </w:r>
          </w:p>
        </w:tc>
        <w:tc>
          <w:tcPr>
            <w:tcW w:w="198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21,85</w:t>
            </w:r>
          </w:p>
        </w:tc>
        <w:tc>
          <w:tcPr>
            <w:tcW w:w="187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28,5</w:t>
            </w:r>
          </w:p>
        </w:tc>
      </w:tr>
      <w:tr>
        <w:trPr/>
        <w:tc>
          <w:tcPr>
            <w:tcW w:w="69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5</w:t>
            </w:r>
          </w:p>
        </w:tc>
        <w:tc>
          <w:tcPr>
            <w:tcW w:w="2171"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д.Гребени</w:t>
            </w:r>
          </w:p>
        </w:tc>
        <w:tc>
          <w:tcPr>
            <w:tcW w:w="170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0</w:t>
            </w:r>
          </w:p>
        </w:tc>
        <w:tc>
          <w:tcPr>
            <w:tcW w:w="198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56,05</w:t>
            </w:r>
          </w:p>
        </w:tc>
        <w:tc>
          <w:tcPr>
            <w:tcW w:w="187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230,85</w:t>
            </w:r>
          </w:p>
        </w:tc>
      </w:tr>
      <w:tr>
        <w:trPr>
          <w:trHeight w:val="217" w:hRule="atLeast"/>
        </w:trPr>
        <w:tc>
          <w:tcPr>
            <w:tcW w:w="2868"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bCs/>
                <w:color w:val="000000"/>
                <w:sz w:val="20"/>
                <w:szCs w:val="20"/>
              </w:rPr>
            </w:pPr>
            <w:r>
              <w:rPr>
                <w:bCs/>
                <w:color w:val="000000"/>
                <w:sz w:val="20"/>
                <w:szCs w:val="20"/>
              </w:rPr>
              <w:t>Всего по поселению:</w:t>
            </w:r>
          </w:p>
        </w:tc>
        <w:tc>
          <w:tcPr>
            <w:tcW w:w="170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410,4</w:t>
            </w:r>
          </w:p>
        </w:tc>
        <w:tc>
          <w:tcPr>
            <w:tcW w:w="1986" w:type="dxa"/>
            <w:tcBorders>
              <w:top w:val="single" w:sz="4" w:space="0" w:color="000000"/>
              <w:left w:val="single" w:sz="4" w:space="0" w:color="000000"/>
              <w:bottom w:val="single" w:sz="4" w:space="0" w:color="000000"/>
              <w:right w:val="single" w:sz="4" w:space="0" w:color="000000"/>
            </w:tcBorders>
            <w:vAlign w:val="center"/>
          </w:tcPr>
          <w:p>
            <w:pPr>
              <w:pStyle w:val="Normal"/>
              <w:jc w:val="both"/>
              <w:rPr>
                <w:color w:val="000000"/>
                <w:sz w:val="20"/>
                <w:szCs w:val="20"/>
              </w:rPr>
            </w:pPr>
            <w:r>
              <w:rPr>
                <w:color w:val="000000"/>
                <w:sz w:val="20"/>
                <w:szCs w:val="20"/>
              </w:rPr>
              <w:t>723,9</w:t>
            </w:r>
          </w:p>
        </w:tc>
        <w:tc>
          <w:tcPr>
            <w:tcW w:w="1870" w:type="dxa"/>
            <w:tcBorders>
              <w:top w:val="single" w:sz="4" w:space="0" w:color="000000"/>
              <w:left w:val="single" w:sz="4" w:space="0" w:color="000000"/>
              <w:bottom w:val="single" w:sz="4" w:space="0" w:color="000000"/>
              <w:right w:val="single" w:sz="4" w:space="0" w:color="000000"/>
            </w:tcBorders>
            <w:vAlign w:val="center"/>
          </w:tcPr>
          <w:p>
            <w:pPr>
              <w:pStyle w:val="Normal"/>
              <w:jc w:val="both"/>
              <w:rPr>
                <w:color w:val="000000"/>
                <w:sz w:val="20"/>
                <w:szCs w:val="20"/>
              </w:rPr>
            </w:pPr>
            <w:r>
              <w:rPr>
                <w:color w:val="000000"/>
                <w:sz w:val="20"/>
                <w:szCs w:val="20"/>
              </w:rPr>
              <w:t>1021</w:t>
            </w:r>
          </w:p>
        </w:tc>
      </w:tr>
    </w:tbl>
    <w:p>
      <w:pPr>
        <w:pStyle w:val="Normal"/>
        <w:jc w:val="both"/>
        <w:rPr>
          <w:color w:val="FF0066"/>
          <w:szCs w:val="28"/>
        </w:rPr>
      </w:pPr>
      <w:r>
        <w:rPr>
          <w:color w:val="FF0066"/>
          <w:szCs w:val="28"/>
        </w:rPr>
      </w:r>
    </w:p>
    <w:p>
      <w:pPr>
        <w:pStyle w:val="Normal"/>
        <w:jc w:val="both"/>
        <w:rPr>
          <w:color w:val="000000"/>
          <w:szCs w:val="28"/>
        </w:rPr>
      </w:pPr>
      <w:r>
        <w:rPr>
          <w:color w:val="000000"/>
          <w:szCs w:val="28"/>
        </w:rPr>
        <w:t>Таблица 4.12.12</w:t>
      </w:r>
    </w:p>
    <w:p>
      <w:pPr>
        <w:pStyle w:val="Normal"/>
        <w:jc w:val="both"/>
        <w:rPr/>
      </w:pPr>
      <w:r>
        <w:rPr>
          <w:color w:val="000000"/>
          <w:szCs w:val="28"/>
        </w:rPr>
        <w:t>Расчетная мощность коммунально-бытового сектора и мелкопромышленных предприятий, расположенных на территории Вахитовского</w:t>
      </w:r>
      <w:r>
        <w:rPr/>
        <w:t xml:space="preserve"> сельского поселения, кВт</w:t>
      </w:r>
    </w:p>
    <w:tbl>
      <w:tblPr>
        <w:tblW w:w="4250" w:type="pct"/>
        <w:jc w:val="center"/>
        <w:tblInd w:w="0" w:type="dxa"/>
        <w:tblLayout w:type="fixed"/>
        <w:tblCellMar>
          <w:top w:w="0" w:type="dxa"/>
          <w:left w:w="108" w:type="dxa"/>
          <w:bottom w:w="0" w:type="dxa"/>
          <w:right w:w="108" w:type="dxa"/>
        </w:tblCellMar>
      </w:tblPr>
      <w:tblGrid>
        <w:gridCol w:w="697"/>
        <w:gridCol w:w="2171"/>
        <w:gridCol w:w="1708"/>
        <w:gridCol w:w="1986"/>
        <w:gridCol w:w="1870"/>
      </w:tblGrid>
      <w:tr>
        <w:trPr>
          <w:tblHeader w:val="true"/>
        </w:trPr>
        <w:tc>
          <w:tcPr>
            <w:tcW w:w="69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 xml:space="preserve">№ </w:t>
            </w:r>
            <w:r>
              <w:rPr>
                <w:color w:val="000000"/>
                <w:sz w:val="20"/>
                <w:szCs w:val="20"/>
              </w:rPr>
              <w:t>п/п</w:t>
            </w:r>
          </w:p>
        </w:tc>
        <w:tc>
          <w:tcPr>
            <w:tcW w:w="217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Наименование населенного пункта, входящего в состав поселения</w:t>
            </w:r>
          </w:p>
        </w:tc>
        <w:tc>
          <w:tcPr>
            <w:tcW w:w="5564" w:type="dxa"/>
            <w:gridSpan w:val="3"/>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Расчетная мощность, кВт</w:t>
            </w:r>
          </w:p>
        </w:tc>
      </w:tr>
      <w:tr>
        <w:trPr>
          <w:tblHeader w:val="true"/>
        </w:trPr>
        <w:tc>
          <w:tcPr>
            <w:tcW w:w="69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rPr>
            </w:pPr>
            <w:r>
              <w:rPr>
                <w:color w:val="000000"/>
                <w:sz w:val="20"/>
                <w:szCs w:val="20"/>
              </w:rPr>
            </w:r>
          </w:p>
        </w:tc>
        <w:tc>
          <w:tcPr>
            <w:tcW w:w="217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rPr>
            </w:pPr>
            <w:r>
              <w:rPr>
                <w:color w:val="000000"/>
                <w:sz w:val="20"/>
                <w:szCs w:val="20"/>
              </w:rPr>
            </w:r>
          </w:p>
        </w:tc>
        <w:tc>
          <w:tcPr>
            <w:tcW w:w="170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Исходный год</w:t>
            </w:r>
          </w:p>
        </w:tc>
        <w:tc>
          <w:tcPr>
            <w:tcW w:w="198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pPr>
            <w:r>
              <w:rPr>
                <w:color w:val="000000"/>
                <w:sz w:val="20"/>
                <w:szCs w:val="20"/>
              </w:rPr>
              <w:t>Первая очередь 2032г.</w:t>
            </w:r>
          </w:p>
        </w:tc>
        <w:tc>
          <w:tcPr>
            <w:tcW w:w="187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pPr>
            <w:r>
              <w:rPr>
                <w:color w:val="000000"/>
                <w:sz w:val="20"/>
                <w:szCs w:val="20"/>
              </w:rPr>
              <w:t>Расчетный срок 2047г.</w:t>
            </w:r>
          </w:p>
        </w:tc>
      </w:tr>
      <w:tr>
        <w:trPr/>
        <w:tc>
          <w:tcPr>
            <w:tcW w:w="69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w:t>
            </w:r>
          </w:p>
        </w:tc>
        <w:tc>
          <w:tcPr>
            <w:tcW w:w="2171"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д.им. Мулланура Вахитова</w:t>
            </w:r>
          </w:p>
        </w:tc>
        <w:tc>
          <w:tcPr>
            <w:tcW w:w="1708" w:type="dxa"/>
            <w:tcBorders>
              <w:top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148,74</w:t>
            </w:r>
          </w:p>
        </w:tc>
        <w:tc>
          <w:tcPr>
            <w:tcW w:w="198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393,93</w:t>
            </w:r>
          </w:p>
        </w:tc>
        <w:tc>
          <w:tcPr>
            <w:tcW w:w="187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614,59</w:t>
            </w:r>
          </w:p>
        </w:tc>
      </w:tr>
      <w:tr>
        <w:trPr/>
        <w:tc>
          <w:tcPr>
            <w:tcW w:w="69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w:t>
            </w:r>
          </w:p>
        </w:tc>
        <w:tc>
          <w:tcPr>
            <w:tcW w:w="2171"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п.Бакча-Сарай</w:t>
            </w:r>
          </w:p>
        </w:tc>
        <w:tc>
          <w:tcPr>
            <w:tcW w:w="1708" w:type="dxa"/>
            <w:tcBorders>
              <w:top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127,50</w:t>
            </w:r>
          </w:p>
        </w:tc>
        <w:tc>
          <w:tcPr>
            <w:tcW w:w="198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1137,65</w:t>
            </w:r>
          </w:p>
        </w:tc>
        <w:tc>
          <w:tcPr>
            <w:tcW w:w="187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1464,56</w:t>
            </w:r>
          </w:p>
        </w:tc>
      </w:tr>
      <w:tr>
        <w:trPr/>
        <w:tc>
          <w:tcPr>
            <w:tcW w:w="69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3</w:t>
            </w:r>
          </w:p>
        </w:tc>
        <w:tc>
          <w:tcPr>
            <w:tcW w:w="2171"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с.Ташевка</w:t>
            </w:r>
          </w:p>
        </w:tc>
        <w:tc>
          <w:tcPr>
            <w:tcW w:w="1708" w:type="dxa"/>
            <w:tcBorders>
              <w:top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93,17</w:t>
            </w:r>
          </w:p>
        </w:tc>
        <w:tc>
          <w:tcPr>
            <w:tcW w:w="198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943,14</w:t>
            </w:r>
          </w:p>
        </w:tc>
        <w:tc>
          <w:tcPr>
            <w:tcW w:w="187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1469,46</w:t>
            </w:r>
          </w:p>
        </w:tc>
      </w:tr>
      <w:tr>
        <w:trPr/>
        <w:tc>
          <w:tcPr>
            <w:tcW w:w="69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4</w:t>
            </w:r>
          </w:p>
        </w:tc>
        <w:tc>
          <w:tcPr>
            <w:tcW w:w="2171"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д.Ватан</w:t>
            </w:r>
          </w:p>
        </w:tc>
        <w:tc>
          <w:tcPr>
            <w:tcW w:w="1708" w:type="dxa"/>
            <w:tcBorders>
              <w:top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29,42</w:t>
            </w:r>
          </w:p>
        </w:tc>
        <w:tc>
          <w:tcPr>
            <w:tcW w:w="198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192,88</w:t>
            </w:r>
          </w:p>
        </w:tc>
        <w:tc>
          <w:tcPr>
            <w:tcW w:w="187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385,75</w:t>
            </w:r>
          </w:p>
        </w:tc>
      </w:tr>
      <w:tr>
        <w:trPr/>
        <w:tc>
          <w:tcPr>
            <w:tcW w:w="69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5</w:t>
            </w:r>
          </w:p>
        </w:tc>
        <w:tc>
          <w:tcPr>
            <w:tcW w:w="2171"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д.Гребени</w:t>
            </w:r>
          </w:p>
        </w:tc>
        <w:tc>
          <w:tcPr>
            <w:tcW w:w="1708" w:type="dxa"/>
            <w:tcBorders>
              <w:top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0</w:t>
            </w:r>
          </w:p>
        </w:tc>
        <w:tc>
          <w:tcPr>
            <w:tcW w:w="198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733,91</w:t>
            </w:r>
          </w:p>
        </w:tc>
        <w:tc>
          <w:tcPr>
            <w:tcW w:w="187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1451,48</w:t>
            </w:r>
          </w:p>
        </w:tc>
      </w:tr>
      <w:tr>
        <w:trPr/>
        <w:tc>
          <w:tcPr>
            <w:tcW w:w="2868"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bCs/>
                <w:color w:val="000000"/>
                <w:sz w:val="20"/>
                <w:szCs w:val="20"/>
              </w:rPr>
            </w:pPr>
            <w:r>
              <w:rPr>
                <w:bCs/>
                <w:color w:val="000000"/>
                <w:sz w:val="20"/>
                <w:szCs w:val="20"/>
              </w:rPr>
              <w:t>Всего по поселению:</w:t>
            </w:r>
          </w:p>
        </w:tc>
        <w:tc>
          <w:tcPr>
            <w:tcW w:w="1708" w:type="dxa"/>
            <w:tcBorders>
              <w:top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413,5</w:t>
            </w:r>
          </w:p>
        </w:tc>
        <w:tc>
          <w:tcPr>
            <w:tcW w:w="198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3401,5</w:t>
            </w:r>
          </w:p>
        </w:tc>
        <w:tc>
          <w:tcPr>
            <w:tcW w:w="187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5385,8</w:t>
            </w:r>
          </w:p>
        </w:tc>
      </w:tr>
    </w:tbl>
    <w:p>
      <w:pPr>
        <w:pStyle w:val="Normal"/>
        <w:ind w:hanging="0"/>
        <w:jc w:val="both"/>
        <w:rPr>
          <w:color w:val="FF0066"/>
          <w:szCs w:val="28"/>
        </w:rPr>
      </w:pPr>
      <w:r>
        <w:rPr>
          <w:color w:val="FF0066"/>
          <w:szCs w:val="28"/>
        </w:rPr>
      </w:r>
    </w:p>
    <w:p>
      <w:pPr>
        <w:pStyle w:val="Normal"/>
        <w:jc w:val="both"/>
        <w:rPr>
          <w:color w:val="000000"/>
          <w:szCs w:val="28"/>
        </w:rPr>
      </w:pPr>
      <w:r>
        <w:rPr>
          <w:color w:val="000000"/>
          <w:szCs w:val="28"/>
        </w:rPr>
        <w:t>Таблица 4.12.13</w:t>
      </w:r>
    </w:p>
    <w:p>
      <w:pPr>
        <w:pStyle w:val="Normal"/>
        <w:jc w:val="both"/>
        <w:rPr/>
      </w:pPr>
      <w:r>
        <w:rPr>
          <w:color w:val="000000"/>
          <w:szCs w:val="28"/>
        </w:rPr>
        <w:t>Трансформаторная мощность коммунально-бытового сектора и мелкопромышленных предприятий, расположенных на территории Вахитовского</w:t>
      </w:r>
      <w:r>
        <w:rPr/>
        <w:t xml:space="preserve"> сельского поселения, кВА</w:t>
      </w:r>
    </w:p>
    <w:tbl>
      <w:tblPr>
        <w:tblW w:w="4150" w:type="pct"/>
        <w:jc w:val="center"/>
        <w:tblInd w:w="0" w:type="dxa"/>
        <w:tblLayout w:type="fixed"/>
        <w:tblCellMar>
          <w:top w:w="0" w:type="dxa"/>
          <w:left w:w="108" w:type="dxa"/>
          <w:bottom w:w="0" w:type="dxa"/>
          <w:right w:w="108" w:type="dxa"/>
        </w:tblCellMar>
      </w:tblPr>
      <w:tblGrid>
        <w:gridCol w:w="548"/>
        <w:gridCol w:w="2159"/>
        <w:gridCol w:w="1696"/>
        <w:gridCol w:w="1973"/>
        <w:gridCol w:w="1858"/>
      </w:tblGrid>
      <w:tr>
        <w:trPr>
          <w:tblHeader w:val="true"/>
        </w:trPr>
        <w:tc>
          <w:tcPr>
            <w:tcW w:w="54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 xml:space="preserve">№ </w:t>
            </w:r>
            <w:r>
              <w:rPr>
                <w:color w:val="000000"/>
                <w:sz w:val="20"/>
                <w:szCs w:val="20"/>
              </w:rPr>
              <w:t>п/п</w:t>
            </w:r>
          </w:p>
        </w:tc>
        <w:tc>
          <w:tcPr>
            <w:tcW w:w="215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Наименование населенного пункта, входящего в состав поселения</w:t>
            </w:r>
          </w:p>
        </w:tc>
        <w:tc>
          <w:tcPr>
            <w:tcW w:w="5527" w:type="dxa"/>
            <w:gridSpan w:val="3"/>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pPr>
            <w:r>
              <w:rPr>
                <w:color w:val="000000"/>
                <w:sz w:val="20"/>
                <w:szCs w:val="20"/>
              </w:rPr>
              <w:t>Расчетная мощность</w:t>
            </w:r>
          </w:p>
        </w:tc>
      </w:tr>
      <w:tr>
        <w:trPr>
          <w:tblHeader w:val="true"/>
          <w:trHeight w:val="658" w:hRule="atLeast"/>
        </w:trPr>
        <w:tc>
          <w:tcPr>
            <w:tcW w:w="5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rPr>
            </w:pPr>
            <w:r>
              <w:rPr>
                <w:color w:val="000000"/>
                <w:sz w:val="20"/>
                <w:szCs w:val="20"/>
              </w:rPr>
            </w:r>
          </w:p>
        </w:tc>
        <w:tc>
          <w:tcPr>
            <w:tcW w:w="21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rPr>
            </w:pPr>
            <w:r>
              <w:rPr>
                <w:color w:val="000000"/>
                <w:sz w:val="20"/>
                <w:szCs w:val="20"/>
              </w:rPr>
            </w:r>
          </w:p>
        </w:tc>
        <w:tc>
          <w:tcPr>
            <w:tcW w:w="169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Существующее положение на начало года</w:t>
            </w:r>
          </w:p>
        </w:tc>
        <w:tc>
          <w:tcPr>
            <w:tcW w:w="197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pPr>
            <w:r>
              <w:rPr>
                <w:color w:val="000000"/>
                <w:sz w:val="20"/>
                <w:szCs w:val="20"/>
              </w:rPr>
              <w:t>Первая очередь 2032г.</w:t>
            </w:r>
          </w:p>
        </w:tc>
        <w:tc>
          <w:tcPr>
            <w:tcW w:w="185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pPr>
            <w:r>
              <w:rPr>
                <w:color w:val="000000"/>
                <w:sz w:val="20"/>
                <w:szCs w:val="20"/>
              </w:rPr>
              <w:t>Расчетный срок 2047г.</w:t>
            </w:r>
          </w:p>
        </w:tc>
      </w:tr>
      <w:tr>
        <w:trPr>
          <w:trHeight w:val="85"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w:t>
            </w:r>
          </w:p>
        </w:tc>
        <w:tc>
          <w:tcPr>
            <w:tcW w:w="2159"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д.им. Мулланура Вахитова</w:t>
            </w:r>
          </w:p>
        </w:tc>
        <w:tc>
          <w:tcPr>
            <w:tcW w:w="1696" w:type="dxa"/>
            <w:tcBorders>
              <w:top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158,24</w:t>
            </w:r>
          </w:p>
        </w:tc>
        <w:tc>
          <w:tcPr>
            <w:tcW w:w="197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419,07</w:t>
            </w:r>
          </w:p>
        </w:tc>
        <w:tc>
          <w:tcPr>
            <w:tcW w:w="185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653,82</w:t>
            </w:r>
          </w:p>
        </w:tc>
      </w:tr>
      <w:tr>
        <w:trPr>
          <w:trHeight w:val="85"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w:t>
            </w:r>
          </w:p>
        </w:tc>
        <w:tc>
          <w:tcPr>
            <w:tcW w:w="2159"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п.Бакча-Сарай</w:t>
            </w:r>
          </w:p>
        </w:tc>
        <w:tc>
          <w:tcPr>
            <w:tcW w:w="1696" w:type="dxa"/>
            <w:tcBorders>
              <w:top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135,63</w:t>
            </w:r>
          </w:p>
        </w:tc>
        <w:tc>
          <w:tcPr>
            <w:tcW w:w="197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1210,26</w:t>
            </w:r>
          </w:p>
        </w:tc>
        <w:tc>
          <w:tcPr>
            <w:tcW w:w="185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1558,04</w:t>
            </w:r>
          </w:p>
        </w:tc>
      </w:tr>
      <w:tr>
        <w:trPr>
          <w:trHeight w:val="85"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3</w:t>
            </w:r>
          </w:p>
        </w:tc>
        <w:tc>
          <w:tcPr>
            <w:tcW w:w="2159"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с.Ташевка</w:t>
            </w:r>
          </w:p>
        </w:tc>
        <w:tc>
          <w:tcPr>
            <w:tcW w:w="1696" w:type="dxa"/>
            <w:tcBorders>
              <w:top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99,12</w:t>
            </w:r>
          </w:p>
        </w:tc>
        <w:tc>
          <w:tcPr>
            <w:tcW w:w="197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1003,34</w:t>
            </w:r>
          </w:p>
        </w:tc>
        <w:tc>
          <w:tcPr>
            <w:tcW w:w="185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1563,26</w:t>
            </w:r>
          </w:p>
        </w:tc>
      </w:tr>
      <w:tr>
        <w:trPr>
          <w:trHeight w:val="85"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4</w:t>
            </w:r>
          </w:p>
        </w:tc>
        <w:tc>
          <w:tcPr>
            <w:tcW w:w="2159"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д.Ватан</w:t>
            </w:r>
          </w:p>
        </w:tc>
        <w:tc>
          <w:tcPr>
            <w:tcW w:w="1696" w:type="dxa"/>
            <w:tcBorders>
              <w:top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31,30</w:t>
            </w:r>
          </w:p>
        </w:tc>
        <w:tc>
          <w:tcPr>
            <w:tcW w:w="197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205,19</w:t>
            </w:r>
          </w:p>
        </w:tc>
        <w:tc>
          <w:tcPr>
            <w:tcW w:w="185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410,38</w:t>
            </w:r>
          </w:p>
        </w:tc>
      </w:tr>
      <w:tr>
        <w:trPr>
          <w:trHeight w:val="85" w:hRule="atLeast"/>
        </w:trPr>
        <w:tc>
          <w:tcPr>
            <w:tcW w:w="54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5</w:t>
            </w:r>
          </w:p>
        </w:tc>
        <w:tc>
          <w:tcPr>
            <w:tcW w:w="2159"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д.Гребени</w:t>
            </w:r>
          </w:p>
        </w:tc>
        <w:tc>
          <w:tcPr>
            <w:tcW w:w="1696" w:type="dxa"/>
            <w:tcBorders>
              <w:top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0</w:t>
            </w:r>
          </w:p>
        </w:tc>
        <w:tc>
          <w:tcPr>
            <w:tcW w:w="197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780,76</w:t>
            </w:r>
          </w:p>
        </w:tc>
        <w:tc>
          <w:tcPr>
            <w:tcW w:w="185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1544,13</w:t>
            </w:r>
          </w:p>
        </w:tc>
      </w:tr>
      <w:tr>
        <w:trPr>
          <w:trHeight w:val="85" w:hRule="atLeast"/>
        </w:trPr>
        <w:tc>
          <w:tcPr>
            <w:tcW w:w="2707"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bCs/>
                <w:color w:val="000000"/>
                <w:sz w:val="20"/>
                <w:szCs w:val="20"/>
              </w:rPr>
            </w:pPr>
            <w:r>
              <w:rPr>
                <w:bCs/>
                <w:color w:val="000000"/>
                <w:sz w:val="20"/>
                <w:szCs w:val="20"/>
              </w:rPr>
              <w:t>Всего по поселению:</w:t>
            </w:r>
          </w:p>
        </w:tc>
        <w:tc>
          <w:tcPr>
            <w:tcW w:w="1696" w:type="dxa"/>
            <w:tcBorders>
              <w:top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439,9378</w:t>
            </w:r>
          </w:p>
        </w:tc>
        <w:tc>
          <w:tcPr>
            <w:tcW w:w="197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3618,6</w:t>
            </w:r>
          </w:p>
        </w:tc>
        <w:tc>
          <w:tcPr>
            <w:tcW w:w="185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5729,62</w:t>
            </w:r>
          </w:p>
        </w:tc>
      </w:tr>
    </w:tbl>
    <w:p>
      <w:pPr>
        <w:pStyle w:val="Normal"/>
        <w:jc w:val="both"/>
        <w:rPr>
          <w:color w:val="FF0066"/>
          <w:szCs w:val="28"/>
        </w:rPr>
      </w:pPr>
      <w:r>
        <w:rPr>
          <w:color w:val="FF0066"/>
          <w:szCs w:val="28"/>
        </w:rPr>
      </w:r>
    </w:p>
    <w:p>
      <w:pPr>
        <w:pStyle w:val="Normal"/>
        <w:jc w:val="both"/>
        <w:rPr/>
      </w:pPr>
      <w:r>
        <w:rPr>
          <w:color w:val="000000"/>
          <w:szCs w:val="28"/>
        </w:rPr>
        <w:t>Показания электропотребления, мощности и трансформаторной мощности коммунально-бытового сектора по срокам (I очередь и расчетный срок), а также прирост электропотребления на расчетный срок, с учетом увеличения населения приведены в таблице 4.12.14.</w:t>
      </w:r>
    </w:p>
    <w:p>
      <w:pPr>
        <w:pStyle w:val="Normal"/>
        <w:tabs>
          <w:tab w:val="clear" w:pos="709"/>
          <w:tab w:val="left" w:pos="2281" w:leader="none"/>
        </w:tabs>
        <w:jc w:val="both"/>
        <w:rPr>
          <w:color w:val="000000"/>
          <w:szCs w:val="28"/>
        </w:rPr>
      </w:pPr>
      <w:r>
        <w:rPr>
          <w:color w:val="000000"/>
          <w:szCs w:val="28"/>
        </w:rPr>
        <w:tab/>
      </w:r>
    </w:p>
    <w:p>
      <w:pPr>
        <w:pStyle w:val="Normal"/>
        <w:jc w:val="both"/>
        <w:rPr>
          <w:color w:val="000000"/>
          <w:szCs w:val="28"/>
        </w:rPr>
      </w:pPr>
      <w:r>
        <w:rPr>
          <w:color w:val="000000"/>
          <w:szCs w:val="28"/>
        </w:rPr>
      </w:r>
    </w:p>
    <w:p>
      <w:pPr>
        <w:pStyle w:val="Normal"/>
        <w:jc w:val="both"/>
        <w:rPr>
          <w:color w:val="000000"/>
          <w:szCs w:val="28"/>
        </w:rPr>
      </w:pPr>
      <w:r>
        <w:rPr>
          <w:color w:val="000000"/>
          <w:szCs w:val="28"/>
        </w:rPr>
      </w:r>
    </w:p>
    <w:p>
      <w:pPr>
        <w:pStyle w:val="Normal"/>
        <w:jc w:val="both"/>
        <w:rPr>
          <w:color w:val="000000"/>
          <w:szCs w:val="28"/>
        </w:rPr>
      </w:pPr>
      <w:r>
        <w:rPr>
          <w:color w:val="000000"/>
          <w:szCs w:val="28"/>
        </w:rPr>
      </w:r>
    </w:p>
    <w:p>
      <w:pPr>
        <w:pStyle w:val="Normal"/>
        <w:jc w:val="both"/>
        <w:rPr>
          <w:color w:val="000000"/>
          <w:szCs w:val="28"/>
        </w:rPr>
      </w:pPr>
      <w:r>
        <w:rPr>
          <w:color w:val="000000"/>
          <w:szCs w:val="28"/>
        </w:rPr>
      </w:r>
    </w:p>
    <w:p>
      <w:pPr>
        <w:pStyle w:val="Normal"/>
        <w:jc w:val="both"/>
        <w:rPr/>
      </w:pPr>
      <w:r>
        <w:rPr>
          <w:color w:val="000000"/>
          <w:szCs w:val="28"/>
        </w:rPr>
        <w:t>Таблица 4.12.14</w:t>
      </w:r>
    </w:p>
    <w:p>
      <w:pPr>
        <w:pStyle w:val="Normal"/>
        <w:jc w:val="both"/>
        <w:rPr/>
      </w:pPr>
      <w:r>
        <w:rPr>
          <w:color w:val="000000"/>
          <w:szCs w:val="28"/>
        </w:rPr>
        <w:t>Показания электропотребления, мощности и трансформаторной мощности коммунально-бытового сектора Вахитовского</w:t>
      </w:r>
      <w:r>
        <w:rPr/>
        <w:t xml:space="preserve"> сельского поселения</w:t>
      </w:r>
    </w:p>
    <w:tbl>
      <w:tblPr>
        <w:tblW w:w="5000" w:type="pct"/>
        <w:jc w:val="center"/>
        <w:tblInd w:w="0" w:type="dxa"/>
        <w:tblLayout w:type="fixed"/>
        <w:tblCellMar>
          <w:top w:w="0" w:type="dxa"/>
          <w:left w:w="108" w:type="dxa"/>
          <w:bottom w:w="0" w:type="dxa"/>
          <w:right w:w="108" w:type="dxa"/>
        </w:tblCellMar>
      </w:tblPr>
      <w:tblGrid>
        <w:gridCol w:w="506"/>
        <w:gridCol w:w="2250"/>
        <w:gridCol w:w="1578"/>
        <w:gridCol w:w="1333"/>
        <w:gridCol w:w="1248"/>
        <w:gridCol w:w="1385"/>
        <w:gridCol w:w="1621"/>
      </w:tblGrid>
      <w:tr>
        <w:trPr>
          <w:tblHeader w:val="true"/>
        </w:trPr>
        <w:tc>
          <w:tcPr>
            <w:tcW w:w="50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 xml:space="preserve">№ </w:t>
            </w:r>
            <w:r>
              <w:rPr>
                <w:color w:val="000000"/>
                <w:sz w:val="20"/>
                <w:szCs w:val="20"/>
              </w:rPr>
              <w:t>п/п</w:t>
            </w:r>
          </w:p>
        </w:tc>
        <w:tc>
          <w:tcPr>
            <w:tcW w:w="225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Показатель</w:t>
            </w:r>
          </w:p>
        </w:tc>
        <w:tc>
          <w:tcPr>
            <w:tcW w:w="157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Единица измерения</w:t>
            </w:r>
          </w:p>
        </w:tc>
        <w:tc>
          <w:tcPr>
            <w:tcW w:w="133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Исходный</w:t>
            </w:r>
          </w:p>
          <w:p>
            <w:pPr>
              <w:pStyle w:val="Normal"/>
              <w:ind w:hanging="0"/>
              <w:jc w:val="both"/>
              <w:rPr>
                <w:color w:val="000000"/>
                <w:sz w:val="20"/>
                <w:szCs w:val="20"/>
              </w:rPr>
            </w:pPr>
            <w:r>
              <w:rPr>
                <w:color w:val="000000"/>
                <w:sz w:val="20"/>
                <w:szCs w:val="20"/>
              </w:rPr>
              <w:t>год</w:t>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pPr>
            <w:r>
              <w:rPr>
                <w:color w:val="000000"/>
                <w:sz w:val="20"/>
                <w:szCs w:val="20"/>
              </w:rPr>
              <w:t>Первая очередь 2032г.</w:t>
            </w:r>
          </w:p>
        </w:tc>
        <w:tc>
          <w:tcPr>
            <w:tcW w:w="138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pPr>
            <w:r>
              <w:rPr>
                <w:color w:val="000000"/>
                <w:sz w:val="20"/>
                <w:szCs w:val="20"/>
              </w:rPr>
              <w:t>Расчетный срок 2047 г.</w:t>
            </w:r>
          </w:p>
        </w:tc>
        <w:tc>
          <w:tcPr>
            <w:tcW w:w="162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pPr>
            <w:r>
              <w:rPr>
                <w:color w:val="000000"/>
                <w:sz w:val="20"/>
                <w:szCs w:val="20"/>
              </w:rPr>
              <w:t>Прирост на 2047г. относит. исходного года</w:t>
            </w:r>
          </w:p>
        </w:tc>
      </w:tr>
      <w:tr>
        <w:trPr/>
        <w:tc>
          <w:tcPr>
            <w:tcW w:w="50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w:t>
            </w:r>
          </w:p>
        </w:tc>
        <w:tc>
          <w:tcPr>
            <w:tcW w:w="225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Годовое электропотребление</w:t>
            </w:r>
          </w:p>
        </w:tc>
        <w:tc>
          <w:tcPr>
            <w:tcW w:w="157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тыс.кВт*час/год</w:t>
            </w:r>
          </w:p>
        </w:tc>
        <w:tc>
          <w:tcPr>
            <w:tcW w:w="1333"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bCs/>
                <w:color w:val="000000"/>
                <w:sz w:val="20"/>
                <w:szCs w:val="20"/>
              </w:rPr>
            </w:pPr>
            <w:r>
              <w:rPr>
                <w:bCs/>
                <w:color w:val="000000"/>
                <w:sz w:val="20"/>
                <w:szCs w:val="20"/>
              </w:rPr>
              <w:t>410,4</w:t>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bCs/>
                <w:color w:val="000000"/>
                <w:sz w:val="20"/>
                <w:szCs w:val="20"/>
              </w:rPr>
            </w:pPr>
            <w:r>
              <w:rPr>
                <w:bCs/>
                <w:color w:val="000000"/>
                <w:sz w:val="20"/>
                <w:szCs w:val="20"/>
              </w:rPr>
              <w:t>723,9</w:t>
            </w:r>
          </w:p>
        </w:tc>
        <w:tc>
          <w:tcPr>
            <w:tcW w:w="138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bCs/>
                <w:color w:val="000000"/>
                <w:sz w:val="20"/>
                <w:szCs w:val="20"/>
              </w:rPr>
            </w:pPr>
            <w:r>
              <w:rPr>
                <w:bCs/>
                <w:color w:val="000000"/>
                <w:sz w:val="20"/>
                <w:szCs w:val="20"/>
              </w:rPr>
              <w:t>1021</w:t>
            </w:r>
          </w:p>
        </w:tc>
        <w:tc>
          <w:tcPr>
            <w:tcW w:w="162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610,85</w:t>
            </w:r>
          </w:p>
        </w:tc>
      </w:tr>
      <w:tr>
        <w:trPr/>
        <w:tc>
          <w:tcPr>
            <w:tcW w:w="50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w:t>
            </w:r>
          </w:p>
        </w:tc>
        <w:tc>
          <w:tcPr>
            <w:tcW w:w="225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Расчетная мощность</w:t>
            </w:r>
          </w:p>
        </w:tc>
        <w:tc>
          <w:tcPr>
            <w:tcW w:w="157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кВт</w:t>
            </w:r>
          </w:p>
        </w:tc>
        <w:tc>
          <w:tcPr>
            <w:tcW w:w="1333" w:type="dxa"/>
            <w:tcBorders>
              <w:top w:val="single" w:sz="4" w:space="0" w:color="000000"/>
              <w:bottom w:val="single" w:sz="4" w:space="0" w:color="000000"/>
              <w:right w:val="single" w:sz="4" w:space="0" w:color="000000"/>
            </w:tcBorders>
            <w:vAlign w:val="center"/>
          </w:tcPr>
          <w:p>
            <w:pPr>
              <w:pStyle w:val="Normal"/>
              <w:ind w:hanging="0"/>
              <w:jc w:val="both"/>
              <w:rPr>
                <w:bCs/>
                <w:color w:val="000000"/>
                <w:sz w:val="20"/>
                <w:szCs w:val="20"/>
              </w:rPr>
            </w:pPr>
            <w:r>
              <w:rPr>
                <w:bCs/>
                <w:color w:val="000000"/>
                <w:sz w:val="20"/>
                <w:szCs w:val="20"/>
              </w:rPr>
              <w:t>413,5</w:t>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bCs/>
                <w:color w:val="000000"/>
                <w:sz w:val="20"/>
                <w:szCs w:val="20"/>
              </w:rPr>
            </w:pPr>
            <w:r>
              <w:rPr>
                <w:bCs/>
                <w:color w:val="000000"/>
                <w:sz w:val="20"/>
                <w:szCs w:val="20"/>
              </w:rPr>
              <w:t>3401,5</w:t>
            </w:r>
          </w:p>
        </w:tc>
        <w:tc>
          <w:tcPr>
            <w:tcW w:w="138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bCs/>
                <w:color w:val="000000"/>
                <w:sz w:val="20"/>
                <w:szCs w:val="20"/>
              </w:rPr>
            </w:pPr>
            <w:r>
              <w:rPr>
                <w:bCs/>
                <w:color w:val="000000"/>
                <w:sz w:val="20"/>
                <w:szCs w:val="20"/>
              </w:rPr>
              <w:t>5385,8</w:t>
            </w:r>
          </w:p>
        </w:tc>
        <w:tc>
          <w:tcPr>
            <w:tcW w:w="162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4972,31</w:t>
            </w:r>
          </w:p>
        </w:tc>
      </w:tr>
      <w:tr>
        <w:trPr/>
        <w:tc>
          <w:tcPr>
            <w:tcW w:w="50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3</w:t>
            </w:r>
          </w:p>
        </w:tc>
        <w:tc>
          <w:tcPr>
            <w:tcW w:w="225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Трансформаторная мощность</w:t>
            </w:r>
          </w:p>
        </w:tc>
        <w:tc>
          <w:tcPr>
            <w:tcW w:w="157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кВА</w:t>
            </w:r>
          </w:p>
        </w:tc>
        <w:tc>
          <w:tcPr>
            <w:tcW w:w="1333" w:type="dxa"/>
            <w:tcBorders>
              <w:top w:val="single" w:sz="4" w:space="0" w:color="000000"/>
              <w:bottom w:val="single" w:sz="4" w:space="0" w:color="000000"/>
              <w:right w:val="single" w:sz="4" w:space="0" w:color="000000"/>
            </w:tcBorders>
            <w:vAlign w:val="center"/>
          </w:tcPr>
          <w:p>
            <w:pPr>
              <w:pStyle w:val="Normal"/>
              <w:ind w:hanging="0"/>
              <w:jc w:val="both"/>
              <w:rPr>
                <w:bCs/>
                <w:color w:val="000000"/>
                <w:sz w:val="20"/>
                <w:szCs w:val="20"/>
              </w:rPr>
            </w:pPr>
            <w:r>
              <w:rPr>
                <w:bCs/>
                <w:color w:val="000000"/>
                <w:sz w:val="20"/>
                <w:szCs w:val="20"/>
              </w:rPr>
              <w:t>439,9</w:t>
            </w:r>
          </w:p>
        </w:tc>
        <w:tc>
          <w:tcPr>
            <w:tcW w:w="124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bCs/>
                <w:color w:val="000000"/>
                <w:sz w:val="20"/>
                <w:szCs w:val="20"/>
              </w:rPr>
            </w:pPr>
            <w:r>
              <w:rPr>
                <w:bCs/>
                <w:color w:val="000000"/>
                <w:sz w:val="20"/>
                <w:szCs w:val="20"/>
              </w:rPr>
              <w:t>3618,6</w:t>
            </w:r>
          </w:p>
        </w:tc>
        <w:tc>
          <w:tcPr>
            <w:tcW w:w="138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bCs/>
                <w:color w:val="000000"/>
                <w:sz w:val="20"/>
                <w:szCs w:val="20"/>
              </w:rPr>
            </w:pPr>
            <w:r>
              <w:rPr>
                <w:bCs/>
                <w:color w:val="000000"/>
                <w:sz w:val="20"/>
                <w:szCs w:val="20"/>
              </w:rPr>
              <w:t>5729,6</w:t>
            </w:r>
          </w:p>
        </w:tc>
        <w:tc>
          <w:tcPr>
            <w:tcW w:w="1621"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5289,69</w:t>
            </w:r>
          </w:p>
        </w:tc>
      </w:tr>
    </w:tbl>
    <w:p>
      <w:pPr>
        <w:pStyle w:val="Normal"/>
        <w:jc w:val="both"/>
        <w:rPr>
          <w:color w:val="FF0066"/>
          <w:szCs w:val="28"/>
          <w:u w:val="single"/>
        </w:rPr>
      </w:pPr>
      <w:r>
        <w:rPr>
          <w:color w:val="FF0066"/>
          <w:szCs w:val="28"/>
          <w:u w:val="single"/>
        </w:rPr>
      </w:r>
    </w:p>
    <w:p>
      <w:pPr>
        <w:pStyle w:val="Normal"/>
        <w:jc w:val="both"/>
        <w:rPr/>
      </w:pPr>
      <w:r>
        <w:rPr>
          <w:color w:val="000000"/>
          <w:szCs w:val="28"/>
        </w:rPr>
        <w:t xml:space="preserve">Опираясь на расчет, мы имеем увеличение годового электропотребления Вахитовского сельского поселения. </w:t>
      </w:r>
    </w:p>
    <w:p>
      <w:pPr>
        <w:pStyle w:val="Normal"/>
        <w:jc w:val="both"/>
        <w:rPr/>
      </w:pPr>
      <w:r>
        <w:rPr>
          <w:color w:val="000000"/>
          <w:szCs w:val="28"/>
        </w:rPr>
        <w:t>Так как на территории Вахитовского сельского поселения застраиваются новые территории, проектом предлагаются мероприятия, представленные в таблице 4.12.15.</w:t>
      </w:r>
    </w:p>
    <w:p>
      <w:pPr>
        <w:sectPr>
          <w:footerReference w:type="default" r:id="rId152"/>
          <w:footerReference w:type="first" r:id="rId153"/>
          <w:footnotePr>
            <w:numFmt w:val="decimal"/>
          </w:footnotePr>
          <w:type w:val="nextPage"/>
          <w:pgSz w:w="11906" w:h="16838"/>
          <w:pgMar w:left="1134" w:right="851" w:gutter="0" w:header="0" w:top="851" w:footer="708" w:bottom="851"/>
          <w:pgNumType w:fmt="decimal"/>
          <w:formProt w:val="false"/>
          <w:textDirection w:val="lrTb"/>
          <w:docGrid w:type="default" w:linePitch="360" w:charSpace="0"/>
        </w:sectPr>
        <w:pStyle w:val="Normal"/>
        <w:jc w:val="both"/>
        <w:rPr>
          <w:color w:val="FF0066"/>
          <w:szCs w:val="28"/>
        </w:rPr>
      </w:pPr>
      <w:r>
        <w:rPr>
          <w:color w:val="FF0066"/>
          <w:szCs w:val="28"/>
        </w:rPr>
      </w:r>
    </w:p>
    <w:p>
      <w:pPr>
        <w:pStyle w:val="Normal"/>
        <w:jc w:val="both"/>
        <w:rPr/>
      </w:pPr>
      <w:r>
        <w:rPr>
          <w:color w:val="000000"/>
          <w:szCs w:val="28"/>
        </w:rPr>
        <w:t xml:space="preserve">Таблица </w:t>
      </w:r>
      <w:r>
        <w:rPr>
          <w:rFonts w:eastAsia="Calibri"/>
          <w:color w:val="000000"/>
          <w:szCs w:val="28"/>
          <w:lang w:eastAsia="en-US"/>
        </w:rPr>
        <w:t>4.12</w:t>
      </w:r>
      <w:r>
        <w:rPr>
          <w:color w:val="000000"/>
          <w:szCs w:val="28"/>
        </w:rPr>
        <w:t>.15</w:t>
      </w:r>
    </w:p>
    <w:p>
      <w:pPr>
        <w:pStyle w:val="Normal"/>
        <w:ind w:hanging="0"/>
        <w:jc w:val="both"/>
        <w:rPr/>
      </w:pPr>
      <w:r>
        <w:rPr>
          <w:rFonts w:eastAsia="Calibri"/>
          <w:color w:val="000000"/>
          <w:szCs w:val="28"/>
        </w:rPr>
        <w:t xml:space="preserve">Перечень мероприятий </w:t>
      </w:r>
      <w:r>
        <w:rPr>
          <w:color w:val="000000"/>
          <w:szCs w:val="28"/>
        </w:rPr>
        <w:t>по электроснабжению</w:t>
      </w:r>
      <w:r>
        <w:rPr>
          <w:rFonts w:eastAsia="Calibri"/>
          <w:color w:val="000000"/>
          <w:szCs w:val="28"/>
        </w:rPr>
        <w:t xml:space="preserve"> населенных пунктов, входящих в состав </w:t>
      </w:r>
    </w:p>
    <w:p>
      <w:pPr>
        <w:pStyle w:val="Normal"/>
        <w:ind w:hanging="0"/>
        <w:jc w:val="both"/>
        <w:rPr/>
      </w:pPr>
      <w:r>
        <w:rPr>
          <w:rFonts w:eastAsia="Calibri"/>
          <w:color w:val="000000"/>
          <w:szCs w:val="28"/>
        </w:rPr>
        <w:t>Вахитовского сельского поселения Верхнеуслон</w:t>
      </w:r>
      <w:r>
        <w:rPr/>
        <w:t>ского муниципального района Республики Татарстан</w:t>
      </w:r>
    </w:p>
    <w:tbl>
      <w:tblPr>
        <w:tblW w:w="14843" w:type="dxa"/>
        <w:jc w:val="left"/>
        <w:tblInd w:w="-113" w:type="dxa"/>
        <w:tblLayout w:type="fixed"/>
        <w:tblCellMar>
          <w:top w:w="0" w:type="dxa"/>
          <w:left w:w="108" w:type="dxa"/>
          <w:bottom w:w="0" w:type="dxa"/>
          <w:right w:w="108" w:type="dxa"/>
        </w:tblCellMar>
      </w:tblPr>
      <w:tblGrid>
        <w:gridCol w:w="558"/>
        <w:gridCol w:w="2377"/>
        <w:gridCol w:w="2095"/>
        <w:gridCol w:w="2224"/>
        <w:gridCol w:w="1530"/>
        <w:gridCol w:w="1202"/>
        <w:gridCol w:w="1208"/>
        <w:gridCol w:w="1275"/>
        <w:gridCol w:w="2374"/>
      </w:tblGrid>
      <w:tr>
        <w:trPr>
          <w:tblHeader w:val="true"/>
          <w:trHeight w:val="158" w:hRule="atLeast"/>
        </w:trPr>
        <w:tc>
          <w:tcPr>
            <w:tcW w:w="55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 xml:space="preserve">№ </w:t>
            </w:r>
            <w:r>
              <w:rPr>
                <w:color w:val="000000"/>
                <w:sz w:val="20"/>
                <w:szCs w:val="20"/>
              </w:rPr>
              <w:t>п/п</w:t>
            </w:r>
          </w:p>
        </w:tc>
        <w:tc>
          <w:tcPr>
            <w:tcW w:w="237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ind w:hanging="0"/>
              <w:jc w:val="both"/>
              <w:rPr>
                <w:color w:val="000000"/>
                <w:sz w:val="20"/>
                <w:szCs w:val="20"/>
              </w:rPr>
            </w:pPr>
            <w:r>
              <w:rPr>
                <w:color w:val="000000"/>
                <w:sz w:val="20"/>
                <w:szCs w:val="20"/>
              </w:rPr>
              <w:t>Местоположение</w:t>
            </w:r>
          </w:p>
        </w:tc>
        <w:tc>
          <w:tcPr>
            <w:tcW w:w="209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Наименование объекта</w:t>
            </w:r>
          </w:p>
        </w:tc>
        <w:tc>
          <w:tcPr>
            <w:tcW w:w="222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Вид мероприятия</w:t>
            </w:r>
          </w:p>
        </w:tc>
        <w:tc>
          <w:tcPr>
            <w:tcW w:w="153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Ед. измерения</w:t>
            </w:r>
          </w:p>
        </w:tc>
        <w:tc>
          <w:tcPr>
            <w:tcW w:w="12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Мощность</w:t>
            </w:r>
          </w:p>
        </w:tc>
        <w:tc>
          <w:tcPr>
            <w:tcW w:w="2483"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Сроки реализации</w:t>
            </w:r>
          </w:p>
        </w:tc>
        <w:tc>
          <w:tcPr>
            <w:tcW w:w="2374"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Источник мероприятия</w:t>
            </w:r>
          </w:p>
        </w:tc>
      </w:tr>
      <w:tr>
        <w:trPr>
          <w:tblHeader w:val="true"/>
          <w:trHeight w:val="157" w:hRule="atLeast"/>
        </w:trPr>
        <w:tc>
          <w:tcPr>
            <w:tcW w:w="55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rFonts w:eastAsia="Calibri"/>
                <w:color w:val="FF0066"/>
                <w:szCs w:val="28"/>
              </w:rPr>
            </w:pPr>
            <w:r>
              <w:rPr>
                <w:rFonts w:eastAsia="Calibri"/>
                <w:color w:val="FF0066"/>
                <w:szCs w:val="28"/>
              </w:rPr>
            </w:r>
          </w:p>
        </w:tc>
        <w:tc>
          <w:tcPr>
            <w:tcW w:w="237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rFonts w:eastAsia="Calibri"/>
                <w:color w:val="FF0066"/>
                <w:szCs w:val="28"/>
              </w:rPr>
            </w:pPr>
            <w:r>
              <w:rPr>
                <w:rFonts w:eastAsia="Calibri"/>
                <w:color w:val="FF0066"/>
                <w:szCs w:val="28"/>
              </w:rPr>
            </w:r>
          </w:p>
        </w:tc>
        <w:tc>
          <w:tcPr>
            <w:tcW w:w="209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rFonts w:eastAsia="Calibri"/>
                <w:color w:val="FF0066"/>
                <w:szCs w:val="28"/>
              </w:rPr>
            </w:pPr>
            <w:r>
              <w:rPr>
                <w:rFonts w:eastAsia="Calibri"/>
                <w:color w:val="FF0066"/>
                <w:szCs w:val="28"/>
              </w:rPr>
            </w:r>
          </w:p>
        </w:tc>
        <w:tc>
          <w:tcPr>
            <w:tcW w:w="222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rFonts w:eastAsia="Calibri"/>
                <w:color w:val="FF0066"/>
                <w:szCs w:val="28"/>
              </w:rPr>
            </w:pPr>
            <w:r>
              <w:rPr>
                <w:rFonts w:eastAsia="Calibri"/>
                <w:color w:val="FF0066"/>
                <w:szCs w:val="28"/>
              </w:rPr>
            </w:r>
          </w:p>
        </w:tc>
        <w:tc>
          <w:tcPr>
            <w:tcW w:w="153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rFonts w:eastAsia="Calibri"/>
                <w:color w:val="FF0066"/>
                <w:szCs w:val="28"/>
              </w:rPr>
            </w:pPr>
            <w:r>
              <w:rPr>
                <w:rFonts w:eastAsia="Calibri"/>
                <w:color w:val="FF0066"/>
                <w:szCs w:val="28"/>
              </w:rPr>
            </w:r>
          </w:p>
        </w:tc>
        <w:tc>
          <w:tcPr>
            <w:tcW w:w="12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rFonts w:eastAsia="Calibri"/>
                <w:color w:val="000000"/>
                <w:szCs w:val="28"/>
              </w:rPr>
            </w:pPr>
            <w:r>
              <w:rPr>
                <w:rFonts w:eastAsia="Calibri"/>
                <w:color w:val="000000"/>
                <w:szCs w:val="28"/>
              </w:rPr>
            </w:r>
          </w:p>
        </w:tc>
        <w:tc>
          <w:tcPr>
            <w:tcW w:w="120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pPr>
            <w:r>
              <w:rPr>
                <w:color w:val="000000"/>
                <w:sz w:val="20"/>
                <w:szCs w:val="20"/>
              </w:rPr>
              <w:t>Первая очередь (до 2032 г.)</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Расчетный срок</w:t>
            </w:r>
          </w:p>
          <w:p>
            <w:pPr>
              <w:pStyle w:val="Normal"/>
              <w:ind w:hanging="0"/>
              <w:jc w:val="both"/>
              <w:rPr/>
            </w:pPr>
            <w:r>
              <w:rPr>
                <w:color w:val="000000"/>
                <w:sz w:val="20"/>
                <w:szCs w:val="20"/>
              </w:rPr>
              <w:t xml:space="preserve"> </w:t>
            </w:r>
            <w:r>
              <w:rPr>
                <w:color w:val="000000"/>
                <w:sz w:val="20"/>
                <w:szCs w:val="20"/>
              </w:rPr>
              <w:t>(2033-2047 гг.)</w:t>
            </w:r>
          </w:p>
        </w:tc>
        <w:tc>
          <w:tcPr>
            <w:tcW w:w="237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rFonts w:eastAsia="Calibri"/>
                <w:color w:val="FF0066"/>
                <w:szCs w:val="28"/>
              </w:rPr>
            </w:pPr>
            <w:r>
              <w:rPr>
                <w:rFonts w:eastAsia="Calibri"/>
                <w:color w:val="FF0066"/>
                <w:szCs w:val="28"/>
              </w:rPr>
            </w:r>
          </w:p>
        </w:tc>
      </w:tr>
      <w:tr>
        <w:trPr/>
        <w:tc>
          <w:tcPr>
            <w:tcW w:w="14843" w:type="dxa"/>
            <w:gridSpan w:val="9"/>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aps/>
                <w:color w:val="000000"/>
                <w:sz w:val="20"/>
                <w:szCs w:val="20"/>
              </w:rPr>
            </w:pPr>
            <w:r>
              <w:rPr>
                <w:caps/>
                <w:color w:val="000000"/>
                <w:sz w:val="20"/>
                <w:szCs w:val="20"/>
              </w:rPr>
              <w:t>МЕРОПРИЯТИЯ Местного (районного) значения</w:t>
            </w:r>
          </w:p>
        </w:tc>
      </w:tr>
      <w:tr>
        <w:trPr/>
        <w:tc>
          <w:tcPr>
            <w:tcW w:w="55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w:t>
            </w:r>
          </w:p>
        </w:tc>
        <w:tc>
          <w:tcPr>
            <w:tcW w:w="2377" w:type="dxa"/>
            <w:tcBorders>
              <w:top w:val="single" w:sz="4" w:space="0" w:color="000000"/>
              <w:left w:val="single" w:sz="4" w:space="0" w:color="000000"/>
              <w:bottom w:val="single" w:sz="4" w:space="0" w:color="000000"/>
              <w:right w:val="single" w:sz="4" w:space="0" w:color="000000"/>
            </w:tcBorders>
            <w:vAlign w:val="center"/>
          </w:tcPr>
          <w:p>
            <w:pPr>
              <w:pStyle w:val="Style75"/>
              <w:jc w:val="both"/>
              <w:rPr/>
            </w:pPr>
            <w:r>
              <w:rPr>
                <w:color w:val="000000"/>
                <w:sz w:val="20"/>
                <w:szCs w:val="20"/>
              </w:rPr>
              <w:t>с.Ташевка</w:t>
            </w:r>
          </w:p>
        </w:tc>
        <w:tc>
          <w:tcPr>
            <w:tcW w:w="209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ТП 10/0,4 кВ</w:t>
            </w:r>
          </w:p>
        </w:tc>
        <w:tc>
          <w:tcPr>
            <w:tcW w:w="222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Новое строительство</w:t>
            </w:r>
          </w:p>
        </w:tc>
        <w:tc>
          <w:tcPr>
            <w:tcW w:w="153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w:t>
            </w:r>
          </w:p>
        </w:tc>
        <w:tc>
          <w:tcPr>
            <w:tcW w:w="120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w:t>
            </w:r>
          </w:p>
        </w:tc>
        <w:tc>
          <w:tcPr>
            <w:tcW w:w="120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w:t>
            </w:r>
          </w:p>
        </w:tc>
        <w:tc>
          <w:tcPr>
            <w:tcW w:w="237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pPr>
            <w:r>
              <w:rPr>
                <w:color w:val="000000"/>
                <w:sz w:val="20"/>
                <w:szCs w:val="20"/>
              </w:rPr>
              <w:t>Генеральный план Вахитовского СП</w:t>
            </w:r>
          </w:p>
        </w:tc>
      </w:tr>
      <w:tr>
        <w:trPr/>
        <w:tc>
          <w:tcPr>
            <w:tcW w:w="55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w:t>
            </w:r>
          </w:p>
        </w:tc>
        <w:tc>
          <w:tcPr>
            <w:tcW w:w="2377"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Вахитовское СП</w:t>
            </w:r>
          </w:p>
        </w:tc>
        <w:tc>
          <w:tcPr>
            <w:tcW w:w="209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pPr>
            <w:r>
              <w:rPr>
                <w:color w:val="000000"/>
                <w:sz w:val="20"/>
                <w:szCs w:val="20"/>
              </w:rPr>
              <w:t>ВЛ 0,4 кВ</w:t>
            </w:r>
          </w:p>
        </w:tc>
        <w:tc>
          <w:tcPr>
            <w:tcW w:w="222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Новое строительство</w:t>
            </w:r>
          </w:p>
        </w:tc>
        <w:tc>
          <w:tcPr>
            <w:tcW w:w="153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км</w:t>
            </w:r>
          </w:p>
        </w:tc>
        <w:tc>
          <w:tcPr>
            <w:tcW w:w="120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w:t>
            </w:r>
          </w:p>
        </w:tc>
        <w:tc>
          <w:tcPr>
            <w:tcW w:w="120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w:t>
            </w:r>
          </w:p>
        </w:tc>
        <w:tc>
          <w:tcPr>
            <w:tcW w:w="237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pPr>
            <w:r>
              <w:rPr>
                <w:color w:val="000000"/>
                <w:sz w:val="20"/>
                <w:szCs w:val="20"/>
              </w:rPr>
              <w:t>Генеральный план Вахитовского СП</w:t>
            </w:r>
          </w:p>
        </w:tc>
      </w:tr>
      <w:tr>
        <w:trPr/>
        <w:tc>
          <w:tcPr>
            <w:tcW w:w="55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3</w:t>
            </w:r>
          </w:p>
        </w:tc>
        <w:tc>
          <w:tcPr>
            <w:tcW w:w="2377"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pPr>
            <w:r>
              <w:rPr>
                <w:color w:val="000000"/>
                <w:sz w:val="20"/>
                <w:szCs w:val="20"/>
              </w:rPr>
              <w:t>Вахитовское СП</w:t>
            </w:r>
          </w:p>
        </w:tc>
        <w:tc>
          <w:tcPr>
            <w:tcW w:w="209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Линии уличного освещения</w:t>
            </w:r>
          </w:p>
        </w:tc>
        <w:tc>
          <w:tcPr>
            <w:tcW w:w="222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Новое строительство, реконструкция</w:t>
            </w:r>
          </w:p>
        </w:tc>
        <w:tc>
          <w:tcPr>
            <w:tcW w:w="153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км</w:t>
            </w:r>
          </w:p>
        </w:tc>
        <w:tc>
          <w:tcPr>
            <w:tcW w:w="120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w:t>
            </w:r>
          </w:p>
        </w:tc>
        <w:tc>
          <w:tcPr>
            <w:tcW w:w="1208"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w:t>
            </w:r>
          </w:p>
        </w:tc>
        <w:tc>
          <w:tcPr>
            <w:tcW w:w="127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w:t>
            </w:r>
          </w:p>
        </w:tc>
        <w:tc>
          <w:tcPr>
            <w:tcW w:w="237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pPr>
            <w:r>
              <w:rPr>
                <w:color w:val="000000"/>
                <w:sz w:val="20"/>
                <w:szCs w:val="20"/>
              </w:rPr>
              <w:t>Генеральный план Вахитовского СП</w:t>
            </w:r>
          </w:p>
        </w:tc>
      </w:tr>
    </w:tbl>
    <w:p>
      <w:pPr>
        <w:sectPr>
          <w:footerReference w:type="default" r:id="rId154"/>
          <w:footerReference w:type="first" r:id="rId155"/>
          <w:footnotePr>
            <w:numFmt w:val="decimal"/>
          </w:footnotePr>
          <w:type w:val="nextPage"/>
          <w:pgSz w:orient="landscape" w:w="16838" w:h="11906"/>
          <w:pgMar w:left="1134" w:right="851" w:gutter="0" w:header="0" w:top="851" w:footer="709" w:bottom="851"/>
          <w:pgNumType w:fmt="decimal"/>
          <w:formProt w:val="false"/>
          <w:textDirection w:val="lrTb"/>
          <w:docGrid w:type="default" w:linePitch="360" w:charSpace="0"/>
        </w:sectPr>
      </w:pPr>
    </w:p>
    <w:p>
      <w:pPr>
        <w:pStyle w:val="Normal"/>
        <w:jc w:val="both"/>
        <w:rPr/>
      </w:pPr>
      <w:r>
        <w:rPr>
          <w:color w:val="000000"/>
          <w:szCs w:val="28"/>
        </w:rPr>
        <w:t>Объемы нового строительства объектов электросетевого хозяйства и характеристики планируемых к сооружению и реконструкции объектов, трассировки линий 10 и 0,4 кВ, будут определены исходя из прогнозируемой нагрузки и месторасположения, состояния и технических параметров существующей сети и подлежат уточнению на последующих стадиях проектировании. Согласно современным требованиям к электросетям рекомендуется:</w:t>
      </w:r>
    </w:p>
    <w:p>
      <w:pPr>
        <w:pStyle w:val="Normal"/>
        <w:numPr>
          <w:ilvl w:val="0"/>
          <w:numId w:val="60"/>
        </w:numPr>
        <w:tabs>
          <w:tab w:val="clear" w:pos="709"/>
          <w:tab w:val="left" w:pos="0" w:leader="none"/>
        </w:tabs>
        <w:autoSpaceDE w:val="false"/>
        <w:ind w:left="0" w:firstLine="709"/>
        <w:jc w:val="both"/>
        <w:rPr>
          <w:color w:val="000000"/>
          <w:szCs w:val="28"/>
        </w:rPr>
      </w:pPr>
      <w:r>
        <w:rPr>
          <w:color w:val="000000"/>
          <w:szCs w:val="28"/>
        </w:rPr>
        <w:t>Оснащение ВЛ быстродействующими ВЧ защитами;</w:t>
      </w:r>
    </w:p>
    <w:p>
      <w:pPr>
        <w:pStyle w:val="Normal"/>
        <w:numPr>
          <w:ilvl w:val="0"/>
          <w:numId w:val="16"/>
        </w:numPr>
        <w:tabs>
          <w:tab w:val="clear" w:pos="709"/>
          <w:tab w:val="left" w:pos="0" w:leader="none"/>
        </w:tabs>
        <w:autoSpaceDE w:val="false"/>
        <w:ind w:left="0" w:firstLine="709"/>
        <w:jc w:val="both"/>
        <w:rPr>
          <w:color w:val="000000"/>
          <w:szCs w:val="28"/>
        </w:rPr>
      </w:pPr>
      <w:r>
        <w:rPr>
          <w:color w:val="000000"/>
          <w:szCs w:val="28"/>
        </w:rPr>
        <w:t>Телемеханизация подстанций;</w:t>
      </w:r>
    </w:p>
    <w:p>
      <w:pPr>
        <w:pStyle w:val="Normal"/>
        <w:numPr>
          <w:ilvl w:val="0"/>
          <w:numId w:val="16"/>
        </w:numPr>
        <w:tabs>
          <w:tab w:val="clear" w:pos="709"/>
          <w:tab w:val="left" w:pos="0" w:leader="none"/>
        </w:tabs>
        <w:autoSpaceDE w:val="false"/>
        <w:ind w:left="0" w:firstLine="709"/>
        <w:jc w:val="both"/>
        <w:rPr/>
      </w:pPr>
      <w:r>
        <w:rPr>
          <w:color w:val="000000"/>
          <w:szCs w:val="28"/>
        </w:rPr>
        <w:t>Монтаж автоматизированных систем учёта электроэнергии в распределительной сети населенных пунктов. Приборами учета электрической энергии должны быть обеспечены все потребители. Одной из проблем объективного и эффективного учета электрической энергии является эксплуатация устаревших приборов учета с высокой степенью погрешности. Это условие существенно затрудняет внедрение автоматизированной системы коммерческого учета электроэнергии;</w:t>
      </w:r>
    </w:p>
    <w:p>
      <w:pPr>
        <w:pStyle w:val="Normal"/>
        <w:numPr>
          <w:ilvl w:val="0"/>
          <w:numId w:val="16"/>
        </w:numPr>
        <w:tabs>
          <w:tab w:val="clear" w:pos="709"/>
          <w:tab w:val="left" w:pos="0" w:leader="none"/>
        </w:tabs>
        <w:autoSpaceDE w:val="false"/>
        <w:ind w:left="0" w:firstLine="709"/>
        <w:jc w:val="both"/>
        <w:rPr>
          <w:color w:val="000000"/>
          <w:szCs w:val="28"/>
        </w:rPr>
      </w:pPr>
      <w:r>
        <w:rPr>
          <w:color w:val="000000"/>
          <w:szCs w:val="28"/>
        </w:rPr>
        <w:t>Применение энергосберегающих технологий и компенсации реактивной мощности.</w:t>
      </w:r>
    </w:p>
    <w:p>
      <w:pPr>
        <w:pStyle w:val="Normal"/>
        <w:ind w:hanging="0"/>
        <w:jc w:val="both"/>
        <w:rPr>
          <w:color w:val="FF0066"/>
          <w:szCs w:val="28"/>
        </w:rPr>
      </w:pPr>
      <w:r>
        <w:rPr>
          <w:color w:val="FF0066"/>
          <w:szCs w:val="28"/>
        </w:rPr>
      </w:r>
    </w:p>
    <w:p>
      <w:pPr>
        <w:pStyle w:val="Normal"/>
        <w:ind w:left="426" w:hanging="0"/>
        <w:jc w:val="both"/>
        <w:rPr>
          <w:color w:val="000000"/>
          <w:szCs w:val="28"/>
        </w:rPr>
      </w:pPr>
      <w:r>
        <w:rPr>
          <w:color w:val="000000"/>
          <w:szCs w:val="28"/>
        </w:rPr>
        <w:t>Слаботочные сети</w:t>
      </w:r>
    </w:p>
    <w:p>
      <w:pPr>
        <w:pStyle w:val="Normal"/>
        <w:jc w:val="both"/>
        <w:rPr>
          <w:color w:val="000000"/>
          <w:szCs w:val="28"/>
          <w:u w:val="single"/>
        </w:rPr>
      </w:pPr>
      <w:r>
        <w:rPr>
          <w:color w:val="000000"/>
          <w:szCs w:val="28"/>
          <w:u w:val="single"/>
        </w:rPr>
        <w:t xml:space="preserve">Телефонизация </w:t>
      </w:r>
    </w:p>
    <w:p>
      <w:pPr>
        <w:pStyle w:val="Normal"/>
        <w:jc w:val="both"/>
        <w:rPr/>
      </w:pPr>
      <w:r>
        <w:rPr>
          <w:color w:val="000000"/>
          <w:szCs w:val="28"/>
        </w:rPr>
        <w:t>Развитие телефонной сети общего пользования должно вестись из условия 100% удовлетворения заявок на данный вид связи.</w:t>
      </w:r>
    </w:p>
    <w:p>
      <w:pPr>
        <w:pStyle w:val="Normal"/>
        <w:jc w:val="both"/>
        <w:rPr>
          <w:color w:val="000000"/>
          <w:szCs w:val="28"/>
        </w:rPr>
      </w:pPr>
      <w:r>
        <w:rPr>
          <w:color w:val="000000"/>
          <w:szCs w:val="28"/>
        </w:rPr>
        <w:t>Проектом предлагается:</w:t>
      </w:r>
    </w:p>
    <w:p>
      <w:pPr>
        <w:pStyle w:val="Normal"/>
        <w:jc w:val="both"/>
        <w:rPr>
          <w:color w:val="000000"/>
          <w:szCs w:val="28"/>
        </w:rPr>
      </w:pPr>
      <w:r>
        <w:rPr>
          <w:color w:val="000000"/>
          <w:szCs w:val="28"/>
        </w:rPr>
        <w:t>- модернизация АТС с использованием современных цифровых технологий.  Перевод аналогового оборудования АТС на цифровое станционное с использованием, по возможности, оптико-волоконных линейных сооружений;</w:t>
      </w:r>
    </w:p>
    <w:p>
      <w:pPr>
        <w:pStyle w:val="Normal"/>
        <w:jc w:val="both"/>
        <w:rPr/>
      </w:pPr>
      <w:r>
        <w:rPr>
          <w:color w:val="000000"/>
          <w:szCs w:val="28"/>
        </w:rPr>
        <w:t>- развитие оптико-волоконной связи, сотовой связи, IP-телефонии, сети Internet;</w:t>
      </w:r>
    </w:p>
    <w:p>
      <w:pPr>
        <w:pStyle w:val="Normal"/>
        <w:jc w:val="both"/>
        <w:rPr>
          <w:color w:val="000000"/>
          <w:szCs w:val="28"/>
        </w:rPr>
      </w:pPr>
      <w:r>
        <w:rPr>
          <w:color w:val="000000"/>
          <w:szCs w:val="28"/>
        </w:rPr>
        <w:t>- внедрение новейших технологических достижений в области средств связи включая спутниковую связь и цифровое телерадиовещание.</w:t>
      </w:r>
    </w:p>
    <w:p>
      <w:pPr>
        <w:pStyle w:val="Normal"/>
        <w:jc w:val="both"/>
        <w:rPr>
          <w:color w:val="000000"/>
          <w:szCs w:val="28"/>
        </w:rPr>
      </w:pPr>
      <w:r>
        <w:rPr>
          <w:color w:val="000000"/>
          <w:szCs w:val="28"/>
        </w:rPr>
        <w:t>Рекомендуется установка дополнительных базовых станций стандарта GSM для расширения зоны охвата в муниципальном образовании.</w:t>
      </w:r>
    </w:p>
    <w:p>
      <w:pPr>
        <w:pStyle w:val="Normal"/>
        <w:jc w:val="both"/>
        <w:rPr>
          <w:color w:val="000000"/>
          <w:szCs w:val="28"/>
          <w:u w:val="single"/>
        </w:rPr>
      </w:pPr>
      <w:r>
        <w:rPr>
          <w:color w:val="000000"/>
          <w:szCs w:val="28"/>
          <w:u w:val="single"/>
        </w:rPr>
        <w:t xml:space="preserve">Радиофикация </w:t>
      </w:r>
    </w:p>
    <w:p>
      <w:pPr>
        <w:pStyle w:val="Normal"/>
        <w:jc w:val="both"/>
        <w:rPr/>
      </w:pPr>
      <w:r>
        <w:rPr>
          <w:color w:val="000000"/>
          <w:szCs w:val="28"/>
        </w:rPr>
        <w:t xml:space="preserve">Для радиофикации сельского поселения следует рассмотреть строительство радиоузла, обеспечивающего подачу радиосигнала и строительство распределительных фидеров по стоечной радиолинии с подключением существующего и проектируемого жилья и объектов соцкультбыта. </w:t>
      </w:r>
    </w:p>
    <w:p>
      <w:pPr>
        <w:pStyle w:val="Normal"/>
        <w:jc w:val="both"/>
        <w:rPr>
          <w:color w:val="000000"/>
          <w:szCs w:val="28"/>
          <w:u w:val="single"/>
        </w:rPr>
      </w:pPr>
      <w:r>
        <w:rPr>
          <w:color w:val="000000"/>
          <w:szCs w:val="28"/>
          <w:u w:val="single"/>
        </w:rPr>
        <w:t xml:space="preserve">Телевидение </w:t>
      </w:r>
    </w:p>
    <w:p>
      <w:pPr>
        <w:pStyle w:val="Normal"/>
        <w:jc w:val="both"/>
        <w:rPr>
          <w:color w:val="000000"/>
          <w:szCs w:val="28"/>
        </w:rPr>
      </w:pPr>
      <w:r>
        <w:rPr>
          <w:color w:val="000000"/>
          <w:szCs w:val="28"/>
        </w:rPr>
        <w:t>В Республике Татарстан создана региональная сеть цифрового эфирно-кабельного телевидения с использованием стандарта цифрового эфирного вещания DVB-T. В качестве транспортной сети используется зоновая волоконно-оптическая сеть ОАО «ВолгаТелеком».</w:t>
      </w:r>
    </w:p>
    <w:p>
      <w:pPr>
        <w:pStyle w:val="Normal"/>
        <w:jc w:val="both"/>
        <w:rPr>
          <w:color w:val="000000"/>
          <w:szCs w:val="28"/>
        </w:rPr>
      </w:pPr>
      <w:r>
        <w:rPr>
          <w:color w:val="000000"/>
          <w:szCs w:val="28"/>
        </w:rPr>
        <w:t xml:space="preserve">Сеть цифрового телевидения имеет ряд преимуществ перед аналоговыми сетями, как по количеству передаваемых программ (не менее 10), так и по качеству передачи изображения, звука, приему ТВ сигналов. Это позволяет осуществлять прием не менее 10 программ на одну дециметровую антенну, использовать передатчики меньшей мощности по сравнению с аналоговыми передатчиками, а также обеспечивает возможность сопряжения сетей телевещания с компьютерными сетями.  </w:t>
      </w:r>
    </w:p>
    <w:p>
      <w:pPr>
        <w:pStyle w:val="Normal"/>
        <w:tabs>
          <w:tab w:val="clear" w:pos="709"/>
          <w:tab w:val="left" w:pos="0" w:leader="none"/>
        </w:tabs>
        <w:autoSpaceDE w:val="false"/>
        <w:jc w:val="both"/>
        <w:rPr>
          <w:color w:val="000000"/>
          <w:szCs w:val="28"/>
        </w:rPr>
      </w:pPr>
      <w:r>
        <w:rPr>
          <w:color w:val="000000"/>
          <w:szCs w:val="28"/>
        </w:rPr>
        <w:t xml:space="preserve">При размещении проектируемых объектов и реализации планируемых мероприятий должны быть соблюдены требования природоохранного законодательства и санитарных норм, в том числе: </w:t>
      </w:r>
    </w:p>
    <w:p>
      <w:pPr>
        <w:pStyle w:val="Normal"/>
        <w:tabs>
          <w:tab w:val="clear" w:pos="709"/>
          <w:tab w:val="left" w:pos="0" w:leader="none"/>
        </w:tabs>
        <w:autoSpaceDE w:val="false"/>
        <w:jc w:val="both"/>
        <w:rPr>
          <w:color w:val="000000"/>
          <w:szCs w:val="28"/>
        </w:rPr>
      </w:pPr>
      <w:r>
        <w:rPr>
          <w:color w:val="000000"/>
          <w:szCs w:val="28"/>
        </w:rPr>
        <w:t xml:space="preserve">− </w:t>
      </w:r>
      <w:r>
        <w:rPr>
          <w:color w:val="000000"/>
          <w:szCs w:val="28"/>
        </w:rPr>
        <w:t xml:space="preserve">требования Водного кодекса Российской Федерации от 03.06.2006 № 74-ФЗ в части соблюдения полосы земли вдоль береговой линии водных объектов общего пользования (береговой полосы), предназначенной для общего пользования и не подлежащей какой-либо застройке (ст. 6), в части оборудования объектов, расположенных (либо проектируемых) в водоохранных зонах поверхностных водных объектов, сооружениями, обеспечивающими охрану водных объектов от загрязнения, засорения, заиления и истощения вод (ст.65) в том числе при размещении участков для ИЖС, объектов сельского хозяйства и объектов социально-бытового назначения, в части запрещения строительства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(п.п. 1, 2 ст.67.1 Водного кодекса). В случае необходимости рекомендуется провести мероприятия по изучению водных объектов и определению береговых линий, границ водных объектов (прудов) с учетом гидрологического режима и наличия/отсутствия гидравлической связи имеющихся на территории поселения прудов с другими водотоками или иными водными объектами, находящимся в собственности Российской Федерации, субъекта Российской Федерации, муниципального образования; </w:t>
      </w:r>
    </w:p>
    <w:p>
      <w:pPr>
        <w:pStyle w:val="Normal"/>
        <w:tabs>
          <w:tab w:val="clear" w:pos="709"/>
          <w:tab w:val="left" w:pos="0" w:leader="none"/>
        </w:tabs>
        <w:autoSpaceDE w:val="false"/>
        <w:jc w:val="both"/>
        <w:rPr>
          <w:color w:val="000000"/>
          <w:szCs w:val="28"/>
        </w:rPr>
      </w:pPr>
      <w:r>
        <w:rPr>
          <w:color w:val="000000"/>
          <w:szCs w:val="28"/>
        </w:rPr>
        <w:t xml:space="preserve">− </w:t>
      </w:r>
      <w:r>
        <w:rPr>
          <w:color w:val="000000"/>
          <w:szCs w:val="28"/>
        </w:rPr>
        <w:t xml:space="preserve">требования Земельного кодекса Российской Федерации от 25.10.2001 № 136ФЗ в части запрета приватизации ЗУ в границах береговой полосы, установленной в соответствии с Водным кодексом (ст. 27); </w:t>
      </w:r>
    </w:p>
    <w:p>
      <w:pPr>
        <w:pStyle w:val="Normal"/>
        <w:tabs>
          <w:tab w:val="clear" w:pos="709"/>
          <w:tab w:val="left" w:pos="0" w:leader="none"/>
        </w:tabs>
        <w:autoSpaceDE w:val="false"/>
        <w:jc w:val="both"/>
        <w:rPr>
          <w:color w:val="000000"/>
          <w:szCs w:val="28"/>
        </w:rPr>
      </w:pPr>
      <w:r>
        <w:rPr>
          <w:color w:val="000000"/>
          <w:szCs w:val="28"/>
        </w:rPr>
        <w:t xml:space="preserve">− </w:t>
      </w:r>
      <w:r>
        <w:rPr>
          <w:color w:val="000000"/>
          <w:szCs w:val="28"/>
        </w:rPr>
        <w:t xml:space="preserve">требования Лесного кодекса Российской Федерации от 04.12.2006 № 200-ФЗ, в части максимального сохранения зеленых насаждений; </w:t>
      </w:r>
    </w:p>
    <w:p>
      <w:pPr>
        <w:pStyle w:val="Normal"/>
        <w:tabs>
          <w:tab w:val="clear" w:pos="709"/>
          <w:tab w:val="left" w:pos="0" w:leader="none"/>
        </w:tabs>
        <w:autoSpaceDE w:val="false"/>
        <w:jc w:val="both"/>
        <w:rPr>
          <w:color w:val="000000"/>
          <w:szCs w:val="28"/>
        </w:rPr>
      </w:pPr>
      <w:r>
        <w:rPr>
          <w:color w:val="000000"/>
          <w:szCs w:val="28"/>
        </w:rPr>
        <w:t xml:space="preserve">− </w:t>
      </w:r>
      <w:r>
        <w:rPr>
          <w:color w:val="000000"/>
          <w:szCs w:val="28"/>
        </w:rPr>
        <w:t xml:space="preserve">требования ст. 12 Федерального закона от 24.06.1998 № 89-ФЗ «Об отходах производства и потребления» в отношении размещения отходов; </w:t>
      </w:r>
    </w:p>
    <w:p>
      <w:pPr>
        <w:pStyle w:val="Normal"/>
        <w:tabs>
          <w:tab w:val="clear" w:pos="709"/>
          <w:tab w:val="left" w:pos="0" w:leader="none"/>
        </w:tabs>
        <w:autoSpaceDE w:val="false"/>
        <w:jc w:val="both"/>
        <w:rPr>
          <w:color w:val="000000"/>
          <w:szCs w:val="28"/>
        </w:rPr>
      </w:pPr>
      <w:r>
        <w:rPr>
          <w:color w:val="000000"/>
          <w:szCs w:val="28"/>
        </w:rPr>
        <w:t xml:space="preserve">− </w:t>
      </w:r>
      <w:r>
        <w:rPr>
          <w:color w:val="000000"/>
          <w:szCs w:val="28"/>
        </w:rPr>
        <w:t xml:space="preserve">требования Закона РФ от 21.02.1992 №2395-1 «О недрах»; </w:t>
      </w:r>
    </w:p>
    <w:p>
      <w:pPr>
        <w:pStyle w:val="Normal"/>
        <w:tabs>
          <w:tab w:val="clear" w:pos="709"/>
          <w:tab w:val="left" w:pos="0" w:leader="none"/>
        </w:tabs>
        <w:autoSpaceDE w:val="false"/>
        <w:jc w:val="both"/>
        <w:rPr>
          <w:color w:val="000000"/>
          <w:szCs w:val="28"/>
        </w:rPr>
      </w:pPr>
      <w:r>
        <w:rPr>
          <w:color w:val="000000"/>
          <w:szCs w:val="28"/>
        </w:rPr>
        <w:t xml:space="preserve">− </w:t>
      </w:r>
      <w:r>
        <w:rPr>
          <w:color w:val="000000"/>
          <w:szCs w:val="28"/>
        </w:rPr>
        <w:t xml:space="preserve">требования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 </w:t>
      </w:r>
    </w:p>
    <w:p>
      <w:pPr>
        <w:pStyle w:val="Normal"/>
        <w:tabs>
          <w:tab w:val="clear" w:pos="709"/>
          <w:tab w:val="left" w:pos="0" w:leader="none"/>
        </w:tabs>
        <w:autoSpaceDE w:val="false"/>
        <w:jc w:val="both"/>
        <w:rPr>
          <w:color w:val="000000"/>
          <w:szCs w:val="28"/>
        </w:rPr>
      </w:pPr>
      <w:r>
        <w:rPr>
          <w:color w:val="000000"/>
          <w:szCs w:val="28"/>
        </w:rPr>
        <w:t xml:space="preserve">− </w:t>
      </w:r>
      <w:r>
        <w:rPr>
          <w:color w:val="000000"/>
          <w:szCs w:val="28"/>
        </w:rPr>
        <w:t xml:space="preserve">требования СанПиН 2.2.1/2.1.1.1200-03 «Санитарно-защитные зоны и санитарная классификация предприятий, сооружений и иных объектов» и Правил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Российской Федерации от 03.03.2018 № 222, в том числе при размещении участков для ИЖС, объектов социального и бытового обслуживания (школы, детские сады, больницы, объекты спорта открытого типа); </w:t>
      </w:r>
    </w:p>
    <w:p>
      <w:pPr>
        <w:pStyle w:val="Normal"/>
        <w:tabs>
          <w:tab w:val="clear" w:pos="709"/>
          <w:tab w:val="left" w:pos="0" w:leader="none"/>
        </w:tabs>
        <w:autoSpaceDE w:val="false"/>
        <w:jc w:val="both"/>
        <w:rPr>
          <w:color w:val="000000"/>
          <w:szCs w:val="28"/>
        </w:rPr>
      </w:pPr>
      <w:r>
        <w:rPr>
          <w:color w:val="000000"/>
          <w:szCs w:val="28"/>
        </w:rPr>
        <w:t xml:space="preserve">− </w:t>
      </w:r>
      <w:r>
        <w:rPr>
          <w:color w:val="000000"/>
          <w:szCs w:val="28"/>
        </w:rPr>
        <w:t xml:space="preserve">требования СанПиН 2.1.4.1110-02 «Зоны санитарной охраны (ЗСО) источников водоснабжения и водопроводов питьевого назначения»; </w:t>
      </w:r>
    </w:p>
    <w:p>
      <w:pPr>
        <w:pStyle w:val="Normal"/>
        <w:tabs>
          <w:tab w:val="clear" w:pos="709"/>
          <w:tab w:val="left" w:pos="0" w:leader="none"/>
        </w:tabs>
        <w:autoSpaceDE w:val="false"/>
        <w:jc w:val="both"/>
        <w:rPr>
          <w:color w:val="000000"/>
          <w:szCs w:val="28"/>
        </w:rPr>
      </w:pPr>
      <w:r>
        <w:rPr>
          <w:color w:val="000000"/>
          <w:szCs w:val="28"/>
        </w:rPr>
        <w:t xml:space="preserve">− </w:t>
      </w:r>
      <w:r>
        <w:rPr>
          <w:color w:val="000000"/>
          <w:szCs w:val="28"/>
        </w:rPr>
        <w:t xml:space="preserve">требования СП 2.1.5.1059-01 «Гигиенические требования к охране подземных вод от загрязнения»; </w:t>
      </w:r>
    </w:p>
    <w:p>
      <w:pPr>
        <w:pStyle w:val="Normal"/>
        <w:tabs>
          <w:tab w:val="clear" w:pos="709"/>
          <w:tab w:val="left" w:pos="0" w:leader="none"/>
        </w:tabs>
        <w:autoSpaceDE w:val="false"/>
        <w:jc w:val="both"/>
        <w:rPr>
          <w:color w:val="000000"/>
          <w:szCs w:val="28"/>
        </w:rPr>
      </w:pPr>
      <w:r>
        <w:rPr>
          <w:color w:val="000000"/>
          <w:szCs w:val="28"/>
        </w:rPr>
        <w:t xml:space="preserve">− </w:t>
      </w:r>
      <w:r>
        <w:rPr>
          <w:color w:val="000000"/>
          <w:szCs w:val="28"/>
        </w:rPr>
        <w:t xml:space="preserve">требования процедуры перевода земель из одной категории в другую в установленном порядке, в том числе требования Федерального закона № 172-ФЗ от 21.12.2004 «О переводе земель или земельных участков из одной категории в другую»; </w:t>
      </w:r>
    </w:p>
    <w:p>
      <w:pPr>
        <w:pStyle w:val="Normal"/>
        <w:tabs>
          <w:tab w:val="clear" w:pos="709"/>
          <w:tab w:val="left" w:pos="0" w:leader="none"/>
        </w:tabs>
        <w:autoSpaceDE w:val="false"/>
        <w:jc w:val="both"/>
        <w:rPr>
          <w:color w:val="000000"/>
          <w:szCs w:val="28"/>
        </w:rPr>
      </w:pPr>
      <w:r>
        <w:rPr>
          <w:color w:val="000000"/>
          <w:szCs w:val="28"/>
        </w:rPr>
        <w:t xml:space="preserve">− </w:t>
      </w:r>
      <w:r>
        <w:rPr>
          <w:color w:val="000000"/>
          <w:szCs w:val="28"/>
        </w:rPr>
        <w:t>требования положений Республиканских нормативов градостроительного проектирования (утв. постановлением Кабинета Министров Республики Татарстан от 27 декабря 2013 г. № 1071) и СП 32.13330.2018 «Канализация. Наружные сети и сооружения»;</w:t>
      </w:r>
    </w:p>
    <w:p>
      <w:pPr>
        <w:pStyle w:val="Normal"/>
        <w:tabs>
          <w:tab w:val="clear" w:pos="709"/>
          <w:tab w:val="left" w:pos="0" w:leader="none"/>
        </w:tabs>
        <w:autoSpaceDE w:val="false"/>
        <w:jc w:val="both"/>
        <w:rPr>
          <w:color w:val="000000"/>
          <w:szCs w:val="28"/>
        </w:rPr>
      </w:pPr>
      <w:r>
        <w:rPr>
          <w:color w:val="000000"/>
          <w:szCs w:val="28"/>
        </w:rPr>
        <w:t xml:space="preserve">− </w:t>
      </w:r>
      <w:r>
        <w:rPr>
          <w:color w:val="000000"/>
          <w:szCs w:val="28"/>
        </w:rPr>
        <w:t xml:space="preserve">требования п.4.14 Свода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w:t>
      </w:r>
    </w:p>
    <w:p>
      <w:pPr>
        <w:pStyle w:val="Normal"/>
        <w:tabs>
          <w:tab w:val="clear" w:pos="709"/>
          <w:tab w:val="left" w:pos="0" w:leader="none"/>
        </w:tabs>
        <w:autoSpaceDE w:val="false"/>
        <w:jc w:val="both"/>
        <w:rPr>
          <w:color w:val="000000"/>
          <w:szCs w:val="28"/>
        </w:rPr>
      </w:pPr>
      <w:r>
        <w:rPr>
          <w:color w:val="000000"/>
          <w:szCs w:val="28"/>
        </w:rPr>
        <w:t xml:space="preserve">− </w:t>
      </w:r>
      <w:r>
        <w:rPr>
          <w:color w:val="000000"/>
          <w:szCs w:val="28"/>
        </w:rPr>
        <w:t>соблюдение охранных зон линейных сооружений: линий связи, линий электропередач, водопровода, кабеля связи и трубопроводов, санитарных разрывов автомобильных дорог.</w:t>
      </w:r>
    </w:p>
    <w:p>
      <w:pPr>
        <w:pStyle w:val="1"/>
        <w:numPr>
          <w:ilvl w:val="0"/>
          <w:numId w:val="7"/>
        </w:numPr>
        <w:jc w:val="both"/>
        <w:rPr/>
      </w:pPr>
      <w:hyperlink w:anchor="__RefHeading___Toc260476347">
        <w:bookmarkStart w:id="346" w:name="__RefHeading___Toc156489440"/>
        <w:bookmarkEnd w:id="346"/>
        <w:r>
          <w:rPr>
            <w:rStyle w:val="-"/>
            <w:color w:val="000000"/>
            <w:lang w:val="ru-RU" w:eastAsia="ru-RU"/>
          </w:rPr>
          <w:t>ТЕХНИКО-ЭКОНОМИЧЕСКИЕ ПОКАЗАТЕЛИ</w:t>
        </w:r>
      </w:hyperlink>
    </w:p>
    <w:p>
      <w:pPr>
        <w:pStyle w:val="Style78"/>
        <w:jc w:val="both"/>
        <w:rPr>
          <w:color w:val="000000"/>
          <w:lang w:val="ru-RU" w:eastAsia="ru-RU"/>
        </w:rPr>
      </w:pPr>
      <w:r>
        <w:rPr>
          <w:color w:val="000000"/>
          <w:lang w:val="ru-RU" w:eastAsia="ru-RU"/>
        </w:rPr>
      </w:r>
    </w:p>
    <w:p>
      <w:pPr>
        <w:pStyle w:val="Style78"/>
        <w:jc w:val="both"/>
        <w:rPr/>
      </w:pPr>
      <w:r>
        <w:rPr>
          <w:color w:val="000000"/>
        </w:rPr>
        <w:t>Таблица 5.1</w:t>
      </w:r>
    </w:p>
    <w:p>
      <w:pPr>
        <w:pStyle w:val="Style56"/>
        <w:jc w:val="both"/>
        <w:rPr>
          <w:i w:val="false"/>
          <w:i w:val="false"/>
          <w:color w:val="000000"/>
        </w:rPr>
      </w:pPr>
      <w:r>
        <w:rPr>
          <w:i w:val="false"/>
          <w:color w:val="000000"/>
        </w:rPr>
        <w:t xml:space="preserve">Баланс использования территории Вахитовского сельского поселения </w:t>
      </w:r>
      <w:r>
        <w:rPr>
          <w:i w:val="false"/>
          <w:color w:val="000000"/>
          <w:szCs w:val="28"/>
        </w:rPr>
        <w:t>Верхнеуслонского муниципального района Республики Татарстан</w:t>
      </w:r>
    </w:p>
    <w:tbl>
      <w:tblPr>
        <w:tblW w:w="8010" w:type="dxa"/>
        <w:jc w:val="center"/>
        <w:tblInd w:w="0" w:type="dxa"/>
        <w:tblLayout w:type="fixed"/>
        <w:tblCellMar>
          <w:top w:w="0" w:type="dxa"/>
          <w:left w:w="108" w:type="dxa"/>
          <w:bottom w:w="0" w:type="dxa"/>
          <w:right w:w="108" w:type="dxa"/>
        </w:tblCellMar>
      </w:tblPr>
      <w:tblGrid>
        <w:gridCol w:w="556"/>
        <w:gridCol w:w="2825"/>
        <w:gridCol w:w="1405"/>
        <w:gridCol w:w="982"/>
        <w:gridCol w:w="1266"/>
        <w:gridCol w:w="976"/>
      </w:tblGrid>
      <w:tr>
        <w:trPr>
          <w:trHeight w:val="672" w:hRule="atLeast"/>
        </w:trPr>
        <w:tc>
          <w:tcPr>
            <w:tcW w:w="55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 xml:space="preserve">№ </w:t>
            </w:r>
            <w:r>
              <w:rPr>
                <w:color w:val="000000"/>
                <w:sz w:val="20"/>
                <w:szCs w:val="20"/>
              </w:rPr>
              <w:t>п/п</w:t>
            </w:r>
          </w:p>
        </w:tc>
        <w:tc>
          <w:tcPr>
            <w:tcW w:w="282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Наименование территории</w:t>
            </w:r>
          </w:p>
        </w:tc>
        <w:tc>
          <w:tcPr>
            <w:tcW w:w="2387"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 xml:space="preserve">Существующее положение </w:t>
            </w:r>
          </w:p>
        </w:tc>
        <w:tc>
          <w:tcPr>
            <w:tcW w:w="2242" w:type="dxa"/>
            <w:gridSpan w:val="2"/>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Расчетный срок</w:t>
            </w:r>
          </w:p>
          <w:p>
            <w:pPr>
              <w:pStyle w:val="Normal"/>
              <w:ind w:hanging="0"/>
              <w:jc w:val="both"/>
              <w:rPr/>
            </w:pPr>
            <w:r>
              <w:rPr>
                <w:color w:val="000000"/>
                <w:sz w:val="20"/>
                <w:szCs w:val="20"/>
              </w:rPr>
              <w:t xml:space="preserve"> </w:t>
            </w:r>
            <w:r>
              <w:rPr>
                <w:color w:val="000000"/>
                <w:sz w:val="20"/>
                <w:szCs w:val="20"/>
              </w:rPr>
              <w:t xml:space="preserve">(2047 г.)       </w:t>
            </w:r>
          </w:p>
        </w:tc>
      </w:tr>
      <w:tr>
        <w:trPr>
          <w:trHeight w:val="330" w:hRule="atLeast"/>
        </w:trPr>
        <w:tc>
          <w:tcPr>
            <w:tcW w:w="55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rPr>
            </w:pPr>
            <w:r>
              <w:rPr>
                <w:color w:val="000000"/>
                <w:sz w:val="20"/>
                <w:szCs w:val="20"/>
              </w:rPr>
            </w:r>
          </w:p>
        </w:tc>
        <w:tc>
          <w:tcPr>
            <w:tcW w:w="282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rPr>
            </w:pPr>
            <w:r>
              <w:rPr>
                <w:color w:val="000000"/>
                <w:sz w:val="20"/>
                <w:szCs w:val="20"/>
              </w:rPr>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га</w:t>
            </w:r>
          </w:p>
        </w:tc>
        <w:tc>
          <w:tcPr>
            <w:tcW w:w="98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га</w:t>
            </w:r>
          </w:p>
        </w:tc>
        <w:tc>
          <w:tcPr>
            <w:tcW w:w="9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bCs/>
                <w:color w:val="000000"/>
                <w:sz w:val="20"/>
                <w:szCs w:val="20"/>
              </w:rPr>
            </w:pPr>
            <w:r>
              <w:rPr>
                <w:bCs/>
                <w:color w:val="000000"/>
                <w:sz w:val="20"/>
                <w:szCs w:val="20"/>
              </w:rPr>
              <w:t>%</w:t>
            </w:r>
          </w:p>
        </w:tc>
      </w:tr>
      <w:tr>
        <w:trPr>
          <w:trHeight w:val="783" w:hRule="atLeast"/>
        </w:trPr>
        <w:tc>
          <w:tcPr>
            <w:tcW w:w="3381" w:type="dxa"/>
            <w:gridSpan w:val="2"/>
            <w:tcBorders>
              <w:top w:val="single" w:sz="4" w:space="0" w:color="000000"/>
              <w:left w:val="single" w:sz="4" w:space="0" w:color="000000"/>
              <w:bottom w:val="single" w:sz="4" w:space="0" w:color="000000"/>
              <w:right w:val="single" w:sz="4" w:space="0" w:color="000000"/>
            </w:tcBorders>
          </w:tcPr>
          <w:p>
            <w:pPr>
              <w:pStyle w:val="Normal"/>
              <w:ind w:hanging="0"/>
              <w:jc w:val="both"/>
              <w:rPr/>
            </w:pPr>
            <w:r>
              <w:rPr>
                <w:bCs/>
                <w:color w:val="000000"/>
                <w:sz w:val="20"/>
                <w:szCs w:val="20"/>
              </w:rPr>
              <w:t>Общая площадь территории Вахитовского сельского поселения, в том числе:</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bCs/>
                <w:color w:val="000000"/>
                <w:sz w:val="20"/>
                <w:szCs w:val="20"/>
              </w:rPr>
            </w:pPr>
            <w:r>
              <w:rPr>
                <w:bCs/>
                <w:color w:val="000000"/>
                <w:sz w:val="20"/>
                <w:szCs w:val="20"/>
              </w:rPr>
              <w:t>5130,56</w:t>
            </w:r>
          </w:p>
        </w:tc>
        <w:tc>
          <w:tcPr>
            <w:tcW w:w="98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bCs/>
                <w:color w:val="000000"/>
                <w:sz w:val="20"/>
                <w:szCs w:val="20"/>
              </w:rPr>
            </w:pPr>
            <w:r>
              <w:rPr>
                <w:bCs/>
                <w:color w:val="000000"/>
                <w:sz w:val="20"/>
                <w:szCs w:val="20"/>
              </w:rPr>
              <w:t>100</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bCs/>
                <w:color w:val="000000"/>
                <w:sz w:val="20"/>
                <w:szCs w:val="20"/>
              </w:rPr>
            </w:pPr>
            <w:r>
              <w:rPr>
                <w:bCs/>
                <w:color w:val="000000"/>
                <w:sz w:val="20"/>
                <w:szCs w:val="20"/>
              </w:rPr>
              <w:t>5130,56</w:t>
            </w:r>
          </w:p>
        </w:tc>
        <w:tc>
          <w:tcPr>
            <w:tcW w:w="9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bCs/>
                <w:color w:val="000000"/>
                <w:sz w:val="20"/>
                <w:szCs w:val="20"/>
              </w:rPr>
            </w:pPr>
            <w:r>
              <w:rPr>
                <w:bCs/>
                <w:color w:val="000000"/>
                <w:sz w:val="20"/>
                <w:szCs w:val="20"/>
              </w:rPr>
              <w:t>100</w:t>
            </w:r>
          </w:p>
        </w:tc>
      </w:tr>
      <w:tr>
        <w:trPr>
          <w:trHeight w:val="294" w:hRule="atLeast"/>
        </w:trPr>
        <w:tc>
          <w:tcPr>
            <w:tcW w:w="5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w:t>
            </w:r>
          </w:p>
        </w:tc>
        <w:tc>
          <w:tcPr>
            <w:tcW w:w="282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Территории населенных пунктов, в т.ч.:</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212,22</w:t>
            </w:r>
          </w:p>
        </w:tc>
        <w:tc>
          <w:tcPr>
            <w:tcW w:w="98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4,13</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219,55</w:t>
            </w:r>
          </w:p>
        </w:tc>
        <w:tc>
          <w:tcPr>
            <w:tcW w:w="9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4,28</w:t>
            </w:r>
          </w:p>
        </w:tc>
      </w:tr>
      <w:tr>
        <w:trPr>
          <w:trHeight w:val="80" w:hRule="atLeast"/>
        </w:trPr>
        <w:tc>
          <w:tcPr>
            <w:tcW w:w="5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1.1</w:t>
            </w:r>
          </w:p>
        </w:tc>
        <w:tc>
          <w:tcPr>
            <w:tcW w:w="2825" w:type="dxa"/>
            <w:tcBorders>
              <w:top w:val="single" w:sz="4" w:space="0" w:color="000000"/>
              <w:left w:val="single" w:sz="4" w:space="0" w:color="000000"/>
              <w:bottom w:val="single" w:sz="4" w:space="0" w:color="000000"/>
              <w:right w:val="single" w:sz="4" w:space="0" w:color="000000"/>
            </w:tcBorders>
            <w:vAlign w:val="center"/>
          </w:tcPr>
          <w:p>
            <w:pPr>
              <w:pStyle w:val="Style75"/>
              <w:jc w:val="both"/>
              <w:rPr/>
            </w:pPr>
            <w:r>
              <w:rPr>
                <w:color w:val="000000"/>
                <w:sz w:val="20"/>
                <w:szCs w:val="20"/>
              </w:rPr>
              <w:t>д.им. Мулланура Вахитова</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51,66</w:t>
            </w:r>
          </w:p>
        </w:tc>
        <w:tc>
          <w:tcPr>
            <w:tcW w:w="98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1,01</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51,66</w:t>
            </w:r>
          </w:p>
        </w:tc>
        <w:tc>
          <w:tcPr>
            <w:tcW w:w="9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1,01</w:t>
            </w:r>
          </w:p>
        </w:tc>
      </w:tr>
      <w:tr>
        <w:trPr>
          <w:trHeight w:val="80" w:hRule="atLeast"/>
        </w:trPr>
        <w:tc>
          <w:tcPr>
            <w:tcW w:w="5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1.2</w:t>
            </w:r>
          </w:p>
        </w:tc>
        <w:tc>
          <w:tcPr>
            <w:tcW w:w="2825"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п.Бакча-Сарай</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50,61</w:t>
            </w:r>
          </w:p>
        </w:tc>
        <w:tc>
          <w:tcPr>
            <w:tcW w:w="98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0,99</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50,61</w:t>
            </w:r>
          </w:p>
        </w:tc>
        <w:tc>
          <w:tcPr>
            <w:tcW w:w="9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0,99</w:t>
            </w:r>
          </w:p>
        </w:tc>
      </w:tr>
      <w:tr>
        <w:trPr>
          <w:trHeight w:val="80" w:hRule="atLeast"/>
        </w:trPr>
        <w:tc>
          <w:tcPr>
            <w:tcW w:w="5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1.3</w:t>
            </w:r>
          </w:p>
        </w:tc>
        <w:tc>
          <w:tcPr>
            <w:tcW w:w="2825"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с.Ташевка</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48,33</w:t>
            </w:r>
          </w:p>
        </w:tc>
        <w:tc>
          <w:tcPr>
            <w:tcW w:w="98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0,94</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55,66</w:t>
            </w:r>
          </w:p>
        </w:tc>
        <w:tc>
          <w:tcPr>
            <w:tcW w:w="9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1,08</w:t>
            </w:r>
          </w:p>
        </w:tc>
      </w:tr>
      <w:tr>
        <w:trPr>
          <w:trHeight w:val="80" w:hRule="atLeast"/>
        </w:trPr>
        <w:tc>
          <w:tcPr>
            <w:tcW w:w="5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1.4</w:t>
            </w:r>
          </w:p>
        </w:tc>
        <w:tc>
          <w:tcPr>
            <w:tcW w:w="2825" w:type="dxa"/>
            <w:tcBorders>
              <w:top w:val="single" w:sz="4" w:space="0" w:color="000000"/>
              <w:left w:val="single" w:sz="4" w:space="0" w:color="000000"/>
              <w:bottom w:val="single" w:sz="4" w:space="0" w:color="000000"/>
              <w:right w:val="single" w:sz="4" w:space="0" w:color="000000"/>
            </w:tcBorders>
            <w:vAlign w:val="center"/>
          </w:tcPr>
          <w:p>
            <w:pPr>
              <w:pStyle w:val="Style75"/>
              <w:jc w:val="both"/>
              <w:rPr/>
            </w:pPr>
            <w:r>
              <w:rPr>
                <w:color w:val="000000"/>
                <w:sz w:val="20"/>
                <w:szCs w:val="20"/>
              </w:rPr>
              <w:t>д.Ватан</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23,86</w:t>
            </w:r>
          </w:p>
        </w:tc>
        <w:tc>
          <w:tcPr>
            <w:tcW w:w="98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0,47</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23,86</w:t>
            </w:r>
          </w:p>
        </w:tc>
        <w:tc>
          <w:tcPr>
            <w:tcW w:w="9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0,47</w:t>
            </w:r>
          </w:p>
        </w:tc>
      </w:tr>
      <w:tr>
        <w:trPr>
          <w:trHeight w:val="80" w:hRule="atLeast"/>
        </w:trPr>
        <w:tc>
          <w:tcPr>
            <w:tcW w:w="5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1.5</w:t>
            </w:r>
          </w:p>
        </w:tc>
        <w:tc>
          <w:tcPr>
            <w:tcW w:w="2825"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д.Гребени</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37,76</w:t>
            </w:r>
          </w:p>
        </w:tc>
        <w:tc>
          <w:tcPr>
            <w:tcW w:w="98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0,74</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37,76</w:t>
            </w:r>
          </w:p>
        </w:tc>
        <w:tc>
          <w:tcPr>
            <w:tcW w:w="9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0,74</w:t>
            </w:r>
          </w:p>
        </w:tc>
      </w:tr>
      <w:tr>
        <w:trPr>
          <w:trHeight w:val="245" w:hRule="atLeast"/>
        </w:trPr>
        <w:tc>
          <w:tcPr>
            <w:tcW w:w="5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w:t>
            </w:r>
          </w:p>
        </w:tc>
        <w:tc>
          <w:tcPr>
            <w:tcW w:w="282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pPr>
            <w:r>
              <w:rPr>
                <w:color w:val="000000"/>
                <w:sz w:val="20"/>
                <w:szCs w:val="20"/>
              </w:rPr>
              <w:t>Производственные зоны, коммунально-складские зоны, зоны инженерной и транспортной инфраструктуры, в том числе:</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207,6</w:t>
            </w:r>
          </w:p>
        </w:tc>
        <w:tc>
          <w:tcPr>
            <w:tcW w:w="98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4,05</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225,31</w:t>
            </w:r>
          </w:p>
        </w:tc>
        <w:tc>
          <w:tcPr>
            <w:tcW w:w="9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4,39</w:t>
            </w:r>
          </w:p>
        </w:tc>
      </w:tr>
      <w:tr>
        <w:trPr>
          <w:trHeight w:val="239" w:hRule="atLeast"/>
        </w:trPr>
        <w:tc>
          <w:tcPr>
            <w:tcW w:w="5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2.1</w:t>
            </w:r>
          </w:p>
        </w:tc>
        <w:tc>
          <w:tcPr>
            <w:tcW w:w="282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bCs/>
                <w:color w:val="000000"/>
                <w:sz w:val="20"/>
                <w:szCs w:val="20"/>
              </w:rPr>
            </w:pPr>
            <w:r>
              <w:rPr>
                <w:bCs/>
                <w:color w:val="000000"/>
                <w:sz w:val="20"/>
                <w:szCs w:val="20"/>
              </w:rPr>
              <w:t>- зона транспортной инфраструктуры</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pPr>
            <w:r>
              <w:rPr>
                <w:color w:val="000000"/>
                <w:sz w:val="20"/>
                <w:szCs w:val="20"/>
              </w:rPr>
              <w:t>173,38</w:t>
            </w:r>
          </w:p>
        </w:tc>
        <w:tc>
          <w:tcPr>
            <w:tcW w:w="98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3,38</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191,09</w:t>
            </w:r>
          </w:p>
        </w:tc>
        <w:tc>
          <w:tcPr>
            <w:tcW w:w="9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3,72</w:t>
            </w:r>
          </w:p>
        </w:tc>
      </w:tr>
      <w:tr>
        <w:trPr>
          <w:trHeight w:val="239" w:hRule="atLeast"/>
        </w:trPr>
        <w:tc>
          <w:tcPr>
            <w:tcW w:w="5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2.2</w:t>
            </w:r>
          </w:p>
        </w:tc>
        <w:tc>
          <w:tcPr>
            <w:tcW w:w="282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bCs/>
                <w:color w:val="000000"/>
                <w:sz w:val="20"/>
                <w:szCs w:val="20"/>
              </w:rPr>
            </w:pPr>
            <w:r>
              <w:rPr>
                <w:bCs/>
                <w:color w:val="000000"/>
                <w:sz w:val="20"/>
                <w:szCs w:val="20"/>
              </w:rPr>
              <w:t>- зона инженерной инфраструктуры</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0,40</w:t>
            </w:r>
          </w:p>
        </w:tc>
        <w:tc>
          <w:tcPr>
            <w:tcW w:w="98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0,01</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0,40</w:t>
            </w:r>
          </w:p>
        </w:tc>
        <w:tc>
          <w:tcPr>
            <w:tcW w:w="9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0,01</w:t>
            </w:r>
          </w:p>
        </w:tc>
      </w:tr>
      <w:tr>
        <w:trPr>
          <w:trHeight w:val="239" w:hRule="atLeast"/>
        </w:trPr>
        <w:tc>
          <w:tcPr>
            <w:tcW w:w="5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2.3</w:t>
            </w:r>
          </w:p>
        </w:tc>
        <w:tc>
          <w:tcPr>
            <w:tcW w:w="282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bCs/>
                <w:color w:val="000000"/>
                <w:sz w:val="20"/>
                <w:szCs w:val="20"/>
              </w:rPr>
            </w:pPr>
            <w:r>
              <w:rPr>
                <w:bCs/>
                <w:color w:val="000000"/>
                <w:sz w:val="20"/>
                <w:szCs w:val="20"/>
              </w:rPr>
              <w:t>- производственная зона</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31,39</w:t>
            </w:r>
          </w:p>
        </w:tc>
        <w:tc>
          <w:tcPr>
            <w:tcW w:w="98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0,61</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31,39</w:t>
            </w:r>
          </w:p>
        </w:tc>
        <w:tc>
          <w:tcPr>
            <w:tcW w:w="9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0,61</w:t>
            </w:r>
          </w:p>
        </w:tc>
      </w:tr>
      <w:tr>
        <w:trPr>
          <w:trHeight w:val="239" w:hRule="atLeast"/>
        </w:trPr>
        <w:tc>
          <w:tcPr>
            <w:tcW w:w="5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2.4</w:t>
            </w:r>
          </w:p>
        </w:tc>
        <w:tc>
          <w:tcPr>
            <w:tcW w:w="282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bCs/>
                <w:color w:val="000000"/>
                <w:sz w:val="20"/>
                <w:szCs w:val="20"/>
              </w:rPr>
            </w:pPr>
            <w:r>
              <w:rPr>
                <w:bCs/>
                <w:color w:val="000000"/>
                <w:sz w:val="20"/>
                <w:szCs w:val="20"/>
              </w:rPr>
              <w:t>- коммунально-складская зона</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2,43</w:t>
            </w:r>
          </w:p>
        </w:tc>
        <w:tc>
          <w:tcPr>
            <w:tcW w:w="98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0,05</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2,43</w:t>
            </w:r>
          </w:p>
        </w:tc>
        <w:tc>
          <w:tcPr>
            <w:tcW w:w="9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0,05</w:t>
            </w:r>
          </w:p>
        </w:tc>
      </w:tr>
      <w:tr>
        <w:trPr>
          <w:trHeight w:val="117" w:hRule="atLeast"/>
        </w:trPr>
        <w:tc>
          <w:tcPr>
            <w:tcW w:w="5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3</w:t>
            </w:r>
          </w:p>
        </w:tc>
        <w:tc>
          <w:tcPr>
            <w:tcW w:w="282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Зона сельскохозяйственного использования, в том числе:</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2487,75</w:t>
            </w:r>
          </w:p>
        </w:tc>
        <w:tc>
          <w:tcPr>
            <w:tcW w:w="98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48,49</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2472,51</w:t>
            </w:r>
          </w:p>
        </w:tc>
        <w:tc>
          <w:tcPr>
            <w:tcW w:w="9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48,19</w:t>
            </w:r>
          </w:p>
        </w:tc>
      </w:tr>
      <w:tr>
        <w:trPr>
          <w:trHeight w:val="117" w:hRule="atLeast"/>
        </w:trPr>
        <w:tc>
          <w:tcPr>
            <w:tcW w:w="5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3.1</w:t>
            </w:r>
          </w:p>
        </w:tc>
        <w:tc>
          <w:tcPr>
            <w:tcW w:w="282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 зона сельскохозяйственных угодий</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2474,87</w:t>
            </w:r>
          </w:p>
        </w:tc>
        <w:tc>
          <w:tcPr>
            <w:tcW w:w="98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48,24</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pPr>
            <w:r>
              <w:rPr>
                <w:color w:val="000000"/>
                <w:sz w:val="20"/>
                <w:szCs w:val="20"/>
              </w:rPr>
              <w:t>2469,78</w:t>
            </w:r>
          </w:p>
        </w:tc>
        <w:tc>
          <w:tcPr>
            <w:tcW w:w="9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48,14</w:t>
            </w:r>
          </w:p>
        </w:tc>
      </w:tr>
      <w:tr>
        <w:trPr>
          <w:trHeight w:val="117" w:hRule="atLeast"/>
        </w:trPr>
        <w:tc>
          <w:tcPr>
            <w:tcW w:w="5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3.2</w:t>
            </w:r>
          </w:p>
        </w:tc>
        <w:tc>
          <w:tcPr>
            <w:tcW w:w="282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 производственная зона сельскохозяйственных предприятий</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12,88</w:t>
            </w:r>
          </w:p>
        </w:tc>
        <w:tc>
          <w:tcPr>
            <w:tcW w:w="98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0,25</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2,73</w:t>
            </w:r>
          </w:p>
        </w:tc>
        <w:tc>
          <w:tcPr>
            <w:tcW w:w="9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0,05</w:t>
            </w:r>
          </w:p>
        </w:tc>
      </w:tr>
      <w:tr>
        <w:trPr>
          <w:trHeight w:val="192" w:hRule="atLeast"/>
        </w:trPr>
        <w:tc>
          <w:tcPr>
            <w:tcW w:w="5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4</w:t>
            </w:r>
          </w:p>
        </w:tc>
        <w:tc>
          <w:tcPr>
            <w:tcW w:w="282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Зона лесов</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1656,33</w:t>
            </w:r>
          </w:p>
        </w:tc>
        <w:tc>
          <w:tcPr>
            <w:tcW w:w="98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32,28</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1656,33</w:t>
            </w:r>
          </w:p>
        </w:tc>
        <w:tc>
          <w:tcPr>
            <w:tcW w:w="9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32,28</w:t>
            </w:r>
          </w:p>
        </w:tc>
      </w:tr>
      <w:tr>
        <w:trPr>
          <w:trHeight w:val="125" w:hRule="atLeast"/>
        </w:trPr>
        <w:tc>
          <w:tcPr>
            <w:tcW w:w="5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5</w:t>
            </w:r>
          </w:p>
        </w:tc>
        <w:tc>
          <w:tcPr>
            <w:tcW w:w="282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Зоны специального назначения, в том числе:</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3,33</w:t>
            </w:r>
          </w:p>
        </w:tc>
        <w:tc>
          <w:tcPr>
            <w:tcW w:w="98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0,06</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3,33</w:t>
            </w:r>
          </w:p>
        </w:tc>
        <w:tc>
          <w:tcPr>
            <w:tcW w:w="9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0,06</w:t>
            </w:r>
          </w:p>
        </w:tc>
      </w:tr>
      <w:tr>
        <w:trPr>
          <w:trHeight w:val="209" w:hRule="atLeast"/>
        </w:trPr>
        <w:tc>
          <w:tcPr>
            <w:tcW w:w="5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5.1</w:t>
            </w:r>
          </w:p>
        </w:tc>
        <w:tc>
          <w:tcPr>
            <w:tcW w:w="282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 зона кладбищ</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3,33</w:t>
            </w:r>
          </w:p>
        </w:tc>
        <w:tc>
          <w:tcPr>
            <w:tcW w:w="98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0,06</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3,33</w:t>
            </w:r>
          </w:p>
        </w:tc>
        <w:tc>
          <w:tcPr>
            <w:tcW w:w="9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0,06</w:t>
            </w:r>
          </w:p>
        </w:tc>
      </w:tr>
      <w:tr>
        <w:trPr>
          <w:trHeight w:val="135" w:hRule="atLeast"/>
        </w:trPr>
        <w:tc>
          <w:tcPr>
            <w:tcW w:w="5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6</w:t>
            </w:r>
          </w:p>
        </w:tc>
        <w:tc>
          <w:tcPr>
            <w:tcW w:w="282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Зона акваторий</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478,79</w:t>
            </w:r>
          </w:p>
        </w:tc>
        <w:tc>
          <w:tcPr>
            <w:tcW w:w="98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9,33</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478,79</w:t>
            </w:r>
          </w:p>
        </w:tc>
        <w:tc>
          <w:tcPr>
            <w:tcW w:w="9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9,33</w:t>
            </w:r>
          </w:p>
        </w:tc>
      </w:tr>
      <w:tr>
        <w:trPr>
          <w:trHeight w:val="135" w:hRule="atLeast"/>
        </w:trPr>
        <w:tc>
          <w:tcPr>
            <w:tcW w:w="5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7</w:t>
            </w:r>
          </w:p>
        </w:tc>
        <w:tc>
          <w:tcPr>
            <w:tcW w:w="282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Зоны рекреационного назначения</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17,44</w:t>
            </w:r>
          </w:p>
        </w:tc>
        <w:tc>
          <w:tcPr>
            <w:tcW w:w="98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0,34</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20,63</w:t>
            </w:r>
          </w:p>
        </w:tc>
        <w:tc>
          <w:tcPr>
            <w:tcW w:w="9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0,40</w:t>
            </w:r>
          </w:p>
        </w:tc>
      </w:tr>
      <w:tr>
        <w:trPr>
          <w:trHeight w:val="135" w:hRule="atLeast"/>
        </w:trPr>
        <w:tc>
          <w:tcPr>
            <w:tcW w:w="5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8</w:t>
            </w:r>
          </w:p>
        </w:tc>
        <w:tc>
          <w:tcPr>
            <w:tcW w:w="282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Зона озелененных территорий общего пользования (лесопарки, парки, сады, скверы, бульвары, городские леса)</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2,02</w:t>
            </w:r>
          </w:p>
        </w:tc>
        <w:tc>
          <w:tcPr>
            <w:tcW w:w="98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0,04</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2,02</w:t>
            </w:r>
          </w:p>
        </w:tc>
        <w:tc>
          <w:tcPr>
            <w:tcW w:w="9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0,04</w:t>
            </w:r>
          </w:p>
        </w:tc>
      </w:tr>
      <w:tr>
        <w:trPr>
          <w:trHeight w:val="135" w:hRule="atLeast"/>
        </w:trPr>
        <w:tc>
          <w:tcPr>
            <w:tcW w:w="55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9</w:t>
            </w:r>
          </w:p>
        </w:tc>
        <w:tc>
          <w:tcPr>
            <w:tcW w:w="282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Зона садоводства, огородничества</w:t>
            </w:r>
          </w:p>
        </w:tc>
        <w:tc>
          <w:tcPr>
            <w:tcW w:w="140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70,58</w:t>
            </w:r>
          </w:p>
        </w:tc>
        <w:tc>
          <w:tcPr>
            <w:tcW w:w="98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1,38</w:t>
            </w:r>
          </w:p>
        </w:tc>
        <w:tc>
          <w:tcPr>
            <w:tcW w:w="126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70,58</w:t>
            </w:r>
          </w:p>
        </w:tc>
        <w:tc>
          <w:tcPr>
            <w:tcW w:w="976"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1,38</w:t>
            </w:r>
          </w:p>
        </w:tc>
      </w:tr>
    </w:tbl>
    <w:p>
      <w:pPr>
        <w:pStyle w:val="Style56"/>
        <w:jc w:val="both"/>
        <w:rPr/>
      </w:pPr>
      <w:r>
        <w:rPr>
          <w:b/>
          <w:bCs/>
          <w:i w:val="false"/>
          <w:color w:val="000000"/>
          <w:sz w:val="22"/>
          <w:szCs w:val="22"/>
          <w:vertAlign w:val="superscript"/>
        </w:rPr>
        <w:t xml:space="preserve"> </w:t>
      </w:r>
      <w:r>
        <w:rPr>
          <w:i w:val="false"/>
          <w:color w:val="000000"/>
          <w:sz w:val="20"/>
          <w:szCs w:val="20"/>
          <w:vertAlign w:val="superscript"/>
        </w:rPr>
        <w:tab/>
        <w:t>1</w:t>
      </w:r>
      <w:r>
        <w:rPr>
          <w:i w:val="false"/>
          <w:color w:val="000000"/>
          <w:sz w:val="20"/>
          <w:szCs w:val="20"/>
        </w:rPr>
        <w:t>сокращение производственной зоны сельскохозяйственных предприятий связано с рекультивацией территорий недействующих объектов агропромышленного комплекса под зону сельскохозяйственных угодий в соответствии с разделом 4.4.</w:t>
      </w:r>
    </w:p>
    <w:p>
      <w:pPr>
        <w:pStyle w:val="Style78"/>
        <w:jc w:val="both"/>
        <w:rPr>
          <w:b/>
          <w:bCs/>
          <w:i/>
          <w:i/>
          <w:color w:val="FF0066"/>
          <w:sz w:val="22"/>
          <w:szCs w:val="22"/>
          <w:vertAlign w:val="superscript"/>
        </w:rPr>
      </w:pPr>
      <w:r>
        <w:rPr>
          <w:b/>
          <w:bCs/>
          <w:i/>
          <w:color w:val="FF0066"/>
          <w:sz w:val="22"/>
          <w:szCs w:val="22"/>
          <w:vertAlign w:val="superscript"/>
        </w:rPr>
      </w:r>
    </w:p>
    <w:p>
      <w:pPr>
        <w:pStyle w:val="Style78"/>
        <w:ind w:firstLine="700"/>
        <w:jc w:val="both"/>
        <w:rPr>
          <w:color w:val="000000"/>
        </w:rPr>
      </w:pPr>
      <w:r>
        <w:rPr>
          <w:color w:val="000000"/>
        </w:rPr>
      </w:r>
    </w:p>
    <w:p>
      <w:pPr>
        <w:pStyle w:val="Style78"/>
        <w:ind w:firstLine="700"/>
        <w:jc w:val="both"/>
        <w:rPr>
          <w:color w:val="000000"/>
        </w:rPr>
      </w:pPr>
      <w:r>
        <w:rPr>
          <w:color w:val="000000"/>
        </w:rPr>
      </w:r>
    </w:p>
    <w:p>
      <w:pPr>
        <w:pStyle w:val="Style78"/>
        <w:ind w:firstLine="700"/>
        <w:jc w:val="both"/>
        <w:rPr/>
      </w:pPr>
      <w:r>
        <w:rPr>
          <w:color w:val="000000"/>
        </w:rPr>
        <w:t>Таблица 5.2</w:t>
      </w:r>
    </w:p>
    <w:p>
      <w:pPr>
        <w:pStyle w:val="Style56"/>
        <w:spacing w:lineRule="auto" w:line="276"/>
        <w:ind w:firstLine="700"/>
        <w:jc w:val="both"/>
        <w:rPr/>
      </w:pPr>
      <w:r>
        <w:rPr/>
        <w:t xml:space="preserve">Основные технико-экономические показатели проекта генерального плана </w:t>
      </w:r>
    </w:p>
    <w:tbl>
      <w:tblPr>
        <w:tblW w:w="9604" w:type="dxa"/>
        <w:jc w:val="right"/>
        <w:tblInd w:w="0" w:type="dxa"/>
        <w:tblLayout w:type="fixed"/>
        <w:tblCellMar>
          <w:top w:w="0" w:type="dxa"/>
          <w:left w:w="108" w:type="dxa"/>
          <w:bottom w:w="0" w:type="dxa"/>
          <w:right w:w="108" w:type="dxa"/>
        </w:tblCellMar>
      </w:tblPr>
      <w:tblGrid>
        <w:gridCol w:w="639"/>
        <w:gridCol w:w="4102"/>
        <w:gridCol w:w="1340"/>
        <w:gridCol w:w="1255"/>
        <w:gridCol w:w="1134"/>
        <w:gridCol w:w="1134"/>
      </w:tblGrid>
      <w:tr>
        <w:trPr>
          <w:tblHeader w:val="true"/>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 xml:space="preserve">№ </w:t>
            </w:r>
            <w:r>
              <w:rPr>
                <w:color w:val="000000"/>
                <w:sz w:val="20"/>
                <w:szCs w:val="20"/>
              </w:rPr>
              <w:t>п/п</w:t>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Наименование показателя</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Единица измерения</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Исходный год</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pPr>
            <w:r>
              <w:rPr>
                <w:color w:val="000000"/>
                <w:sz w:val="20"/>
                <w:szCs w:val="20"/>
              </w:rPr>
              <w:t>Первая очередь (2032 г.)</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pPr>
            <w:r>
              <w:rPr>
                <w:color w:val="000000"/>
                <w:sz w:val="20"/>
                <w:szCs w:val="20"/>
              </w:rPr>
              <w:t>Расчетный срок</w:t>
            </w:r>
          </w:p>
          <w:p>
            <w:pPr>
              <w:pStyle w:val="Style38"/>
              <w:spacing w:before="0" w:after="0"/>
              <w:ind w:left="0" w:hanging="0"/>
              <w:jc w:val="both"/>
              <w:rPr/>
            </w:pPr>
            <w:r>
              <w:rPr>
                <w:color w:val="000000"/>
                <w:sz w:val="20"/>
                <w:szCs w:val="20"/>
              </w:rPr>
              <w:t>(2047 г.)</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b/>
                <w:color w:val="000000"/>
                <w:sz w:val="20"/>
                <w:szCs w:val="20"/>
              </w:rPr>
            </w:pPr>
            <w:r>
              <w:rPr>
                <w:b/>
                <w:color w:val="000000"/>
                <w:sz w:val="20"/>
                <w:szCs w:val="20"/>
              </w:rPr>
              <w:t>1.</w:t>
            </w:r>
          </w:p>
        </w:tc>
        <w:tc>
          <w:tcPr>
            <w:tcW w:w="8965" w:type="dxa"/>
            <w:gridSpan w:val="5"/>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b/>
                <w:color w:val="000000"/>
                <w:sz w:val="20"/>
                <w:szCs w:val="20"/>
              </w:rPr>
            </w:pPr>
            <w:r>
              <w:rPr>
                <w:b/>
                <w:color w:val="000000"/>
                <w:sz w:val="20"/>
                <w:szCs w:val="20"/>
              </w:rPr>
              <w:t>Население</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1.1</w:t>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pPr>
            <w:r>
              <w:rPr>
                <w:color w:val="000000"/>
                <w:sz w:val="20"/>
                <w:szCs w:val="20"/>
              </w:rPr>
              <w:t>Численность постоянного населения -  всего, в том числе:</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чел.</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432</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762</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1075</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b/>
                <w:color w:val="000000"/>
                <w:sz w:val="20"/>
                <w:szCs w:val="20"/>
              </w:rPr>
            </w:pPr>
            <w:r>
              <w:rPr>
                <w:b/>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д.им. Мулланура Вахитова</w:t>
            </w:r>
          </w:p>
        </w:tc>
        <w:tc>
          <w:tcPr>
            <w:tcW w:w="1340"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чел.</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203</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231</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288</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п.Бакча-Сарай</w:t>
            </w:r>
          </w:p>
        </w:tc>
        <w:tc>
          <w:tcPr>
            <w:tcW w:w="1340"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чел.</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161</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233</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256</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с.Ташевка</w:t>
            </w:r>
          </w:p>
        </w:tc>
        <w:tc>
          <w:tcPr>
            <w:tcW w:w="1340"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чел.</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44</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216</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258</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д.Ватан</w:t>
            </w:r>
          </w:p>
        </w:tc>
        <w:tc>
          <w:tcPr>
            <w:tcW w:w="1340"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чел.</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24</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23</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30</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д.Гребени</w:t>
            </w:r>
          </w:p>
        </w:tc>
        <w:tc>
          <w:tcPr>
            <w:tcW w:w="1340"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чел.</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59</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243</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1.2</w:t>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Численность населения, строящего второе жилье -  всего, в том числе</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чел.</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lang w:val="en-US"/>
              </w:rPr>
            </w:pPr>
            <w:r>
              <w:rPr>
                <w:color w:val="000000"/>
                <w:sz w:val="20"/>
                <w:szCs w:val="20"/>
                <w:lang w:val="en-US"/>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lang w:val="en-US"/>
              </w:rPr>
            </w:pPr>
            <w:r>
              <w:rPr>
                <w:color w:val="000000"/>
                <w:sz w:val="20"/>
                <w:szCs w:val="20"/>
                <w:lang w:val="en-US"/>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lang w:val="en-US"/>
              </w:rPr>
            </w:pPr>
            <w:r>
              <w:rPr>
                <w:color w:val="000000"/>
                <w:sz w:val="20"/>
                <w:szCs w:val="20"/>
                <w:lang w:val="en-US"/>
              </w:rPr>
              <w:t>-</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lang w:val="en-US"/>
              </w:rPr>
            </w:pPr>
            <w:r>
              <w:rPr>
                <w:color w:val="000000"/>
                <w:sz w:val="20"/>
                <w:szCs w:val="20"/>
                <w:lang w:val="en-US"/>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д.им. Мулланура Вахитова</w:t>
            </w:r>
          </w:p>
        </w:tc>
        <w:tc>
          <w:tcPr>
            <w:tcW w:w="1340"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чел.</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lang w:val="en-US"/>
              </w:rPr>
            </w:pPr>
            <w:r>
              <w:rPr>
                <w:color w:val="000000"/>
                <w:sz w:val="20"/>
                <w:szCs w:val="20"/>
                <w:lang w:val="en-US"/>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lang w:val="en-US"/>
              </w:rPr>
            </w:pPr>
            <w:r>
              <w:rPr>
                <w:color w:val="000000"/>
                <w:sz w:val="20"/>
                <w:szCs w:val="20"/>
                <w:lang w:val="en-US"/>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lang w:val="en-US"/>
              </w:rPr>
            </w:pPr>
            <w:r>
              <w:rPr>
                <w:color w:val="000000"/>
                <w:sz w:val="20"/>
                <w:szCs w:val="20"/>
                <w:lang w:val="en-US"/>
              </w:rPr>
              <w:t>-</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lang w:val="en-US"/>
              </w:rPr>
            </w:pPr>
            <w:r>
              <w:rPr>
                <w:color w:val="000000"/>
                <w:sz w:val="20"/>
                <w:szCs w:val="20"/>
                <w:lang w:val="en-US"/>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п.Бакча-Сарай</w:t>
            </w:r>
          </w:p>
        </w:tc>
        <w:tc>
          <w:tcPr>
            <w:tcW w:w="1340"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чел.</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lang w:val="en-US"/>
              </w:rPr>
            </w:pPr>
            <w:r>
              <w:rPr>
                <w:color w:val="000000"/>
                <w:sz w:val="20"/>
                <w:szCs w:val="20"/>
                <w:lang w:val="en-US"/>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lang w:val="en-US"/>
              </w:rPr>
            </w:pPr>
            <w:r>
              <w:rPr>
                <w:color w:val="000000"/>
                <w:sz w:val="20"/>
                <w:szCs w:val="20"/>
                <w:lang w:val="en-US"/>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lang w:val="en-US"/>
              </w:rPr>
            </w:pPr>
            <w:r>
              <w:rPr>
                <w:color w:val="000000"/>
                <w:sz w:val="20"/>
                <w:szCs w:val="20"/>
                <w:lang w:val="en-US"/>
              </w:rPr>
              <w:t>-</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lang w:val="en-US"/>
              </w:rPr>
            </w:pPr>
            <w:r>
              <w:rPr>
                <w:color w:val="000000"/>
                <w:sz w:val="20"/>
                <w:szCs w:val="20"/>
                <w:lang w:val="en-US"/>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с.Ташевка</w:t>
            </w:r>
          </w:p>
        </w:tc>
        <w:tc>
          <w:tcPr>
            <w:tcW w:w="1340"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чел.</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д.Ватан</w:t>
            </w:r>
          </w:p>
        </w:tc>
        <w:tc>
          <w:tcPr>
            <w:tcW w:w="1340"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чел.</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д.Гребени</w:t>
            </w:r>
          </w:p>
        </w:tc>
        <w:tc>
          <w:tcPr>
            <w:tcW w:w="1340"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чел.</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b/>
                <w:color w:val="000000"/>
                <w:sz w:val="20"/>
                <w:szCs w:val="20"/>
              </w:rPr>
            </w:pPr>
            <w:r>
              <w:rPr>
                <w:b/>
                <w:color w:val="000000"/>
                <w:sz w:val="20"/>
                <w:szCs w:val="20"/>
              </w:rPr>
              <w:t>2.</w:t>
            </w:r>
          </w:p>
        </w:tc>
        <w:tc>
          <w:tcPr>
            <w:tcW w:w="8965" w:type="dxa"/>
            <w:gridSpan w:val="5"/>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b/>
                <w:color w:val="000000"/>
                <w:sz w:val="20"/>
                <w:szCs w:val="20"/>
              </w:rPr>
            </w:pPr>
            <w:r>
              <w:rPr>
                <w:b/>
                <w:color w:val="000000"/>
                <w:sz w:val="20"/>
                <w:szCs w:val="20"/>
              </w:rPr>
              <w:t>Жилищный фонд</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2.1</w:t>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Жилищный фонд для постоянного населения – всего, в том числе:</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тыс.кв.м</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25,3</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47,14</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61,42</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b/>
                <w:color w:val="000000"/>
                <w:sz w:val="20"/>
                <w:szCs w:val="20"/>
              </w:rPr>
            </w:pPr>
            <w:r>
              <w:rPr>
                <w:b/>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д.им. Мулланура Вахитова</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тыс.кв.м</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Normal"/>
              <w:keepNext w:val="true"/>
              <w:ind w:hanging="0"/>
              <w:jc w:val="both"/>
              <w:rPr>
                <w:color w:val="000000"/>
                <w:sz w:val="20"/>
                <w:szCs w:val="20"/>
              </w:rPr>
            </w:pPr>
            <w:r>
              <w:rPr>
                <w:color w:val="000000"/>
                <w:sz w:val="20"/>
                <w:szCs w:val="20"/>
              </w:rPr>
              <w:t>9,1</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keepNext w:val="true"/>
              <w:ind w:hanging="0"/>
              <w:jc w:val="both"/>
              <w:rPr>
                <w:color w:val="000000"/>
                <w:sz w:val="20"/>
                <w:szCs w:val="20"/>
              </w:rPr>
            </w:pPr>
            <w:r>
              <w:rPr>
                <w:color w:val="000000"/>
                <w:sz w:val="20"/>
                <w:szCs w:val="20"/>
              </w:rPr>
              <w:t>10,9</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keepNext w:val="true"/>
              <w:ind w:hanging="0"/>
              <w:jc w:val="both"/>
              <w:rPr>
                <w:color w:val="000000"/>
                <w:sz w:val="20"/>
                <w:szCs w:val="20"/>
              </w:rPr>
            </w:pPr>
            <w:r>
              <w:rPr>
                <w:color w:val="000000"/>
                <w:sz w:val="20"/>
                <w:szCs w:val="20"/>
              </w:rPr>
              <w:t>12,46</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п.Бакча-Сарай</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тыс.кв.м</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Normal"/>
              <w:keepNext w:val="true"/>
              <w:ind w:hanging="0"/>
              <w:jc w:val="both"/>
              <w:rPr>
                <w:color w:val="000000"/>
                <w:sz w:val="20"/>
                <w:szCs w:val="20"/>
              </w:rPr>
            </w:pPr>
            <w:r>
              <w:rPr>
                <w:color w:val="000000"/>
                <w:sz w:val="20"/>
                <w:szCs w:val="20"/>
              </w:rPr>
              <w:t>7,8</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keepNext w:val="true"/>
              <w:ind w:hanging="0"/>
              <w:jc w:val="both"/>
              <w:rPr>
                <w:color w:val="000000"/>
                <w:sz w:val="20"/>
                <w:szCs w:val="20"/>
              </w:rPr>
            </w:pPr>
            <w:r>
              <w:rPr>
                <w:color w:val="000000"/>
                <w:sz w:val="20"/>
                <w:szCs w:val="20"/>
              </w:rPr>
              <w:t>15,12</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keepNext w:val="true"/>
              <w:ind w:hanging="0"/>
              <w:jc w:val="both"/>
              <w:rPr>
                <w:color w:val="000000"/>
                <w:sz w:val="20"/>
                <w:szCs w:val="20"/>
              </w:rPr>
            </w:pPr>
            <w:r>
              <w:rPr>
                <w:color w:val="000000"/>
                <w:sz w:val="20"/>
                <w:szCs w:val="20"/>
              </w:rPr>
              <w:t>17,52</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с.Ташевка</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тыс.кв.м</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Normal"/>
              <w:keepNext w:val="true"/>
              <w:ind w:hanging="0"/>
              <w:jc w:val="both"/>
              <w:rPr>
                <w:color w:val="000000"/>
                <w:sz w:val="20"/>
                <w:szCs w:val="20"/>
              </w:rPr>
            </w:pPr>
            <w:r>
              <w:rPr>
                <w:color w:val="000000"/>
                <w:sz w:val="20"/>
                <w:szCs w:val="20"/>
              </w:rPr>
              <w:t>5,7</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keepNext w:val="true"/>
              <w:ind w:hanging="0"/>
              <w:jc w:val="both"/>
              <w:rPr>
                <w:color w:val="000000"/>
                <w:sz w:val="20"/>
                <w:szCs w:val="20"/>
              </w:rPr>
            </w:pPr>
            <w:r>
              <w:rPr>
                <w:color w:val="000000"/>
                <w:sz w:val="20"/>
                <w:szCs w:val="20"/>
              </w:rPr>
              <w:t>11,94</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keepNext w:val="true"/>
              <w:ind w:hanging="0"/>
              <w:jc w:val="both"/>
              <w:rPr>
                <w:color w:val="000000"/>
                <w:sz w:val="20"/>
                <w:szCs w:val="20"/>
              </w:rPr>
            </w:pPr>
            <w:r>
              <w:rPr>
                <w:color w:val="000000"/>
                <w:sz w:val="20"/>
                <w:szCs w:val="20"/>
              </w:rPr>
              <w:t>15,78</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д.Ватан</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тыс.кв.м</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Normal"/>
              <w:keepNext w:val="true"/>
              <w:ind w:hanging="0"/>
              <w:jc w:val="both"/>
              <w:rPr>
                <w:color w:val="000000"/>
                <w:sz w:val="20"/>
                <w:szCs w:val="20"/>
              </w:rPr>
            </w:pPr>
            <w:r>
              <w:rPr>
                <w:color w:val="000000"/>
                <w:sz w:val="20"/>
                <w:szCs w:val="20"/>
              </w:rPr>
              <w:t>1,8</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keepNext w:val="true"/>
              <w:ind w:hanging="0"/>
              <w:jc w:val="both"/>
              <w:rPr>
                <w:color w:val="000000"/>
                <w:sz w:val="20"/>
                <w:szCs w:val="20"/>
              </w:rPr>
            </w:pPr>
            <w:r>
              <w:rPr>
                <w:color w:val="000000"/>
                <w:sz w:val="20"/>
                <w:szCs w:val="20"/>
              </w:rPr>
              <w:t>3</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keepNext w:val="true"/>
              <w:ind w:hanging="0"/>
              <w:jc w:val="both"/>
              <w:rPr>
                <w:color w:val="000000"/>
                <w:sz w:val="20"/>
                <w:szCs w:val="20"/>
              </w:rPr>
            </w:pPr>
            <w:r>
              <w:rPr>
                <w:color w:val="000000"/>
                <w:sz w:val="20"/>
                <w:szCs w:val="20"/>
              </w:rPr>
              <w:t>4,32</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д.Гребени</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тыс.кв.м</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Normal"/>
              <w:keepNext w:val="true"/>
              <w:ind w:hanging="0"/>
              <w:jc w:val="both"/>
              <w:rPr>
                <w:color w:val="000000"/>
                <w:sz w:val="20"/>
                <w:szCs w:val="20"/>
              </w:rPr>
            </w:pPr>
            <w:r>
              <w:rPr>
                <w:color w:val="000000"/>
                <w:sz w:val="20"/>
                <w:szCs w:val="20"/>
              </w:rPr>
              <w:t>0,9</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keepNext w:val="true"/>
              <w:ind w:hanging="0"/>
              <w:jc w:val="both"/>
              <w:rPr>
                <w:color w:val="000000"/>
                <w:sz w:val="20"/>
                <w:szCs w:val="20"/>
              </w:rPr>
            </w:pPr>
            <w:r>
              <w:rPr>
                <w:color w:val="000000"/>
                <w:sz w:val="20"/>
                <w:szCs w:val="20"/>
              </w:rPr>
              <w:t>6,18</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keepNext w:val="true"/>
              <w:ind w:hanging="0"/>
              <w:jc w:val="both"/>
              <w:rPr>
                <w:color w:val="000000"/>
                <w:sz w:val="20"/>
                <w:szCs w:val="20"/>
              </w:rPr>
            </w:pPr>
            <w:r>
              <w:rPr>
                <w:color w:val="000000"/>
                <w:sz w:val="20"/>
                <w:szCs w:val="20"/>
              </w:rPr>
              <w:t>11,34</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pPr>
            <w:r>
              <w:rPr>
                <w:color w:val="000000"/>
                <w:sz w:val="20"/>
                <w:szCs w:val="20"/>
              </w:rPr>
              <w:t>2.2</w:t>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Новое жилищное строительство для постоянного населения – всего, в т.ч.</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тыс.кв.м</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21,84</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14,28</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b/>
                <w:color w:val="000000"/>
                <w:sz w:val="20"/>
                <w:szCs w:val="20"/>
              </w:rPr>
            </w:pPr>
            <w:r>
              <w:rPr>
                <w:b/>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д.им. Мулланура Вахитова</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тыс.кв.м</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1,8</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1,56</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п.Бакча-Сарай</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тыс.кв.м</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7,32</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2,4</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с.Ташевка</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тыс.кв.м</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6,24</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3,84</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д.Ватан</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тыс.кв.м</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1,2</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1,32</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д.Гребени</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тыс.кв.м</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5,28</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5,16</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b/>
                <w:color w:val="000000"/>
                <w:sz w:val="20"/>
                <w:szCs w:val="20"/>
              </w:rPr>
            </w:pPr>
            <w:r>
              <w:rPr>
                <w:b/>
                <w:color w:val="000000"/>
                <w:sz w:val="20"/>
                <w:szCs w:val="20"/>
              </w:rPr>
              <w:t>3.</w:t>
            </w:r>
          </w:p>
        </w:tc>
        <w:tc>
          <w:tcPr>
            <w:tcW w:w="8965" w:type="dxa"/>
            <w:gridSpan w:val="5"/>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b/>
                <w:color w:val="000000"/>
                <w:sz w:val="20"/>
                <w:szCs w:val="20"/>
              </w:rPr>
            </w:pPr>
            <w:r>
              <w:rPr>
                <w:b/>
                <w:color w:val="000000"/>
                <w:sz w:val="20"/>
                <w:szCs w:val="20"/>
              </w:rPr>
              <w:t>Объекты социального и культурно-бытового обслуживания населения</w:t>
            </w:r>
          </w:p>
        </w:tc>
      </w:tr>
      <w:tr>
        <w:trPr>
          <w:trHeight w:val="503" w:hRule="atLeast"/>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3.1</w:t>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Дошкольные образовательные организации, в т.ч.</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мест</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29</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41</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 существующие сохраняемые</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 новое строительство</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29</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12</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3.2</w:t>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Общеобразовательные организации, в т.ч.</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мест</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162</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162</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162</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 существующие сохраняемые</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162</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162</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widowControl w:val="false"/>
              <w:snapToGrid w:val="false"/>
              <w:spacing w:before="0" w:after="0"/>
              <w:ind w:left="0"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 новое строительство</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3.3</w:t>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Организации дополнительного образования детей, в т.ч.</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мест</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11</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15</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 существующие сохраняемые</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11</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 новое строительство</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11</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4</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3.4</w:t>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Лечебно-профилактические медицинские организации, в т.ч.</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посещ. в</w:t>
            </w:r>
          </w:p>
          <w:p>
            <w:pPr>
              <w:pStyle w:val="Style38"/>
              <w:spacing w:before="0" w:after="0"/>
              <w:ind w:left="0" w:hanging="0"/>
              <w:jc w:val="both"/>
              <w:rPr>
                <w:color w:val="000000"/>
                <w:sz w:val="20"/>
                <w:szCs w:val="20"/>
              </w:rPr>
            </w:pPr>
            <w:r>
              <w:rPr>
                <w:color w:val="000000"/>
                <w:sz w:val="20"/>
                <w:szCs w:val="20"/>
              </w:rPr>
              <w:t>смену</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10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15</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21</w:t>
            </w:r>
          </w:p>
        </w:tc>
      </w:tr>
      <w:tr>
        <w:trPr>
          <w:trHeight w:val="135" w:hRule="atLeast"/>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 существующие сохраняемые</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10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15</w:t>
            </w:r>
          </w:p>
        </w:tc>
      </w:tr>
      <w:tr>
        <w:trPr>
          <w:trHeight w:val="139" w:hRule="atLeast"/>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 новое строительство</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5</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6</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3.5</w:t>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Дома культуры, сельские клубы, в т.ч.</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мест</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150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229</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323</w:t>
            </w:r>
          </w:p>
        </w:tc>
      </w:tr>
      <w:tr>
        <w:trPr>
          <w:trHeight w:val="151" w:hRule="atLeast"/>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 существующие сохраняемые</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150</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229</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 новое строительство</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79</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94</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3.6</w:t>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Библиотеки, в т.ч.</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тыс.экз.</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10,3</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10,3</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10,3</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 существующие сохраняемые</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r>
      <w:tr>
        <w:trPr>
          <w:trHeight w:val="90" w:hRule="atLeast"/>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 новое строительство</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w:t>
            </w:r>
          </w:p>
        </w:tc>
      </w:tr>
      <w:tr>
        <w:trPr>
          <w:trHeight w:val="389" w:hRule="atLeast"/>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3.7</w:t>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Спортивные залы, в т.ч.</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объект</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1</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 существующие сохраняемые</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1</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 новое строительство</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3.8</w:t>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Плоскостные спортсооружения, в т.ч.</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объект</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1</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 существующие сохраняемые</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pPr>
              <w:pStyle w:val="Style75"/>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pPr>
              <w:pStyle w:val="Style75"/>
              <w:jc w:val="both"/>
              <w:rPr>
                <w:color w:val="000000"/>
                <w:sz w:val="20"/>
                <w:szCs w:val="20"/>
              </w:rPr>
            </w:pPr>
            <w:r>
              <w:rPr>
                <w:color w:val="000000"/>
                <w:sz w:val="20"/>
                <w:szCs w:val="20"/>
              </w:rPr>
              <w:t>1</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 новое строительство</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r>
      <w:tr>
        <w:trPr>
          <w:trHeight w:val="139" w:hRule="atLeast"/>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3.9</w:t>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Предприятия торговли, в т.ч.</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кв.м торг.пл.</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631</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631</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631</w:t>
            </w:r>
          </w:p>
        </w:tc>
      </w:tr>
      <w:tr>
        <w:trPr>
          <w:trHeight w:val="257" w:hRule="atLeast"/>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 существующие сохраняемые</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631</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631</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 новое строительство</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3.10</w:t>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Предприятия бытового обслуживания, в т.ч.</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раб.мест</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5</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7</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 существующие сохраняемые</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5</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 новое строительство</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5</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2</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3.11</w:t>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Предприятия общественного питания, в т.ч.</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посад.мест</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31</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43</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 существующие сохраняемые</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31</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 новое строительство</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31</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12</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3.12</w:t>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Отделения связи, в т.ч.</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объект</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1</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 существующие сохраняемые</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1</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 новое строительство</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3.13</w:t>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Отделения, филиалы банка, в т.ч.</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объект</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1</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 существующие сохраняемые</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1</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 новое строительство</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3.14</w:t>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Полиция, в т.ч.</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объект</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 существующие сохраняемые</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 новое строительство</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3.15</w:t>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Общественные уборные, в т.ч.</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прибор</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1</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 существующие сохраняемые</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 новое строительство</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napToGrid w:val="false"/>
              <w:spacing w:before="0" w:after="0"/>
              <w:ind w:left="0" w:hanging="0"/>
              <w:jc w:val="both"/>
              <w:rPr>
                <w:color w:val="000000"/>
                <w:sz w:val="20"/>
                <w:szCs w:val="20"/>
              </w:rPr>
            </w:pPr>
            <w:r>
              <w:rPr>
                <w:color w:val="000000"/>
                <w:sz w:val="20"/>
                <w:szCs w:val="20"/>
              </w:rPr>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1</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b/>
                <w:bCs/>
                <w:color w:val="000000"/>
                <w:sz w:val="20"/>
                <w:szCs w:val="20"/>
              </w:rPr>
            </w:pPr>
            <w:r>
              <w:rPr>
                <w:b/>
                <w:bCs/>
                <w:color w:val="000000"/>
                <w:sz w:val="20"/>
                <w:szCs w:val="20"/>
              </w:rPr>
              <w:t>4.</w:t>
            </w:r>
          </w:p>
        </w:tc>
        <w:tc>
          <w:tcPr>
            <w:tcW w:w="8965" w:type="dxa"/>
            <w:gridSpan w:val="5"/>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b/>
                <w:color w:val="000000"/>
                <w:sz w:val="20"/>
                <w:szCs w:val="20"/>
              </w:rPr>
            </w:pPr>
            <w:r>
              <w:rPr>
                <w:b/>
                <w:color w:val="000000"/>
                <w:sz w:val="20"/>
                <w:szCs w:val="20"/>
              </w:rPr>
              <w:t>Ритуальное обслуживание населения</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4.1</w:t>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Общая площадь кладбищ</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га</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8"/>
              </w:rPr>
            </w:pPr>
            <w:r>
              <w:rPr>
                <w:color w:val="000000"/>
                <w:sz w:val="20"/>
                <w:szCs w:val="28"/>
              </w:rPr>
              <w:t>3,3266</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1,949</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color w:val="000000"/>
                <w:sz w:val="20"/>
                <w:szCs w:val="20"/>
              </w:rPr>
            </w:pPr>
            <w:r>
              <w:rPr>
                <w:color w:val="000000"/>
                <w:sz w:val="20"/>
                <w:szCs w:val="20"/>
              </w:rPr>
              <w:t>1,949</w:t>
            </w:r>
          </w:p>
        </w:tc>
      </w:tr>
      <w:tr>
        <w:trPr/>
        <w:tc>
          <w:tcPr>
            <w:tcW w:w="63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b/>
                <w:bCs/>
                <w:color w:val="000000"/>
                <w:sz w:val="20"/>
                <w:szCs w:val="20"/>
              </w:rPr>
            </w:pPr>
            <w:r>
              <w:rPr>
                <w:b/>
                <w:bCs/>
                <w:color w:val="000000"/>
                <w:sz w:val="20"/>
                <w:szCs w:val="20"/>
              </w:rPr>
              <w:t>5.</w:t>
            </w:r>
          </w:p>
        </w:tc>
        <w:tc>
          <w:tcPr>
            <w:tcW w:w="8965" w:type="dxa"/>
            <w:gridSpan w:val="5"/>
            <w:tcBorders>
              <w:top w:val="single" w:sz="4" w:space="0" w:color="000000"/>
              <w:left w:val="single" w:sz="4" w:space="0" w:color="000000"/>
              <w:bottom w:val="single" w:sz="4" w:space="0" w:color="000000"/>
              <w:right w:val="single" w:sz="4" w:space="0" w:color="000000"/>
            </w:tcBorders>
            <w:vAlign w:val="center"/>
          </w:tcPr>
          <w:p>
            <w:pPr>
              <w:pStyle w:val="Style38"/>
              <w:spacing w:before="0" w:after="0"/>
              <w:ind w:left="0" w:hanging="0"/>
              <w:jc w:val="both"/>
              <w:rPr>
                <w:b/>
                <w:color w:val="000000"/>
                <w:sz w:val="20"/>
                <w:szCs w:val="20"/>
              </w:rPr>
            </w:pPr>
            <w:r>
              <w:rPr>
                <w:b/>
                <w:color w:val="000000"/>
                <w:sz w:val="20"/>
                <w:szCs w:val="20"/>
              </w:rPr>
              <w:t>Транспортная инфраструктура</w:t>
            </w:r>
          </w:p>
        </w:tc>
      </w:tr>
      <w:tr>
        <w:trPr>
          <w:cantSplit w:val="true"/>
        </w:trPr>
        <w:tc>
          <w:tcPr>
            <w:tcW w:w="63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5.1</w:t>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76"/>
              <w:jc w:val="both"/>
              <w:rPr>
                <w:color w:val="000000"/>
                <w:sz w:val="20"/>
                <w:szCs w:val="20"/>
                <w:lang w:val="ru-RU" w:eastAsia="ru-RU"/>
              </w:rPr>
            </w:pPr>
            <w:r>
              <w:rPr>
                <w:color w:val="000000"/>
                <w:sz w:val="20"/>
                <w:szCs w:val="20"/>
                <w:lang w:val="ru-RU" w:eastAsia="ru-RU"/>
              </w:rPr>
              <w:t>Протяженность автомобильных дорог общего пользования – всего, в том числе:</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bCs/>
                <w:color w:val="000000"/>
                <w:sz w:val="20"/>
                <w:szCs w:val="20"/>
              </w:rPr>
            </w:pPr>
            <w:r>
              <w:rPr>
                <w:bCs/>
                <w:color w:val="000000"/>
                <w:sz w:val="20"/>
                <w:szCs w:val="20"/>
              </w:rPr>
              <w:t>км</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15,32</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22,56</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22,56</w:t>
            </w:r>
          </w:p>
        </w:tc>
      </w:tr>
      <w:tr>
        <w:trPr>
          <w:cantSplit w:val="true"/>
        </w:trPr>
        <w:tc>
          <w:tcPr>
            <w:tcW w:w="63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pacing w:val="-20"/>
                <w:sz w:val="20"/>
                <w:szCs w:val="20"/>
              </w:rPr>
            </w:pPr>
            <w:r>
              <w:rPr>
                <w:color w:val="000000"/>
                <w:spacing w:val="-20"/>
                <w:sz w:val="20"/>
                <w:szCs w:val="20"/>
              </w:rPr>
              <w:t>5.1.1</w:t>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76"/>
              <w:jc w:val="both"/>
              <w:rPr>
                <w:color w:val="000000"/>
                <w:sz w:val="20"/>
                <w:szCs w:val="20"/>
                <w:lang w:val="ru-RU" w:eastAsia="ru-RU"/>
              </w:rPr>
            </w:pPr>
            <w:r>
              <w:rPr>
                <w:color w:val="000000"/>
                <w:sz w:val="20"/>
                <w:szCs w:val="20"/>
                <w:lang w:val="ru-RU" w:eastAsia="ru-RU"/>
              </w:rPr>
              <w:t>Федерального значения</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bCs/>
                <w:color w:val="000000"/>
                <w:sz w:val="20"/>
                <w:szCs w:val="20"/>
              </w:rPr>
            </w:pPr>
            <w:r>
              <w:rPr>
                <w:bCs/>
                <w:color w:val="000000"/>
                <w:sz w:val="20"/>
                <w:szCs w:val="20"/>
              </w:rPr>
              <w:t>км</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7,24</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7,24</w:t>
            </w:r>
          </w:p>
        </w:tc>
      </w:tr>
      <w:tr>
        <w:trPr>
          <w:cantSplit w:val="true"/>
        </w:trPr>
        <w:tc>
          <w:tcPr>
            <w:tcW w:w="63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pacing w:val="-20"/>
                <w:sz w:val="20"/>
                <w:szCs w:val="20"/>
              </w:rPr>
            </w:pPr>
            <w:r>
              <w:rPr>
                <w:color w:val="000000"/>
                <w:spacing w:val="-20"/>
                <w:sz w:val="20"/>
                <w:szCs w:val="20"/>
              </w:rPr>
              <w:t>5.1.2</w:t>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76"/>
              <w:jc w:val="both"/>
              <w:rPr>
                <w:color w:val="000000"/>
                <w:sz w:val="20"/>
                <w:szCs w:val="20"/>
                <w:lang w:val="ru-RU" w:eastAsia="ru-RU"/>
              </w:rPr>
            </w:pPr>
            <w:r>
              <w:rPr>
                <w:color w:val="000000"/>
                <w:sz w:val="20"/>
                <w:szCs w:val="20"/>
                <w:lang w:val="ru-RU" w:eastAsia="ru-RU"/>
              </w:rPr>
              <w:t>Регионального или межмуниципального значения</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bCs/>
                <w:color w:val="000000"/>
                <w:sz w:val="20"/>
                <w:szCs w:val="20"/>
              </w:rPr>
            </w:pPr>
            <w:r>
              <w:rPr>
                <w:bCs/>
                <w:color w:val="000000"/>
                <w:sz w:val="20"/>
                <w:szCs w:val="20"/>
              </w:rPr>
              <w:t>км</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11,59</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11,59</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11,59</w:t>
            </w:r>
          </w:p>
        </w:tc>
      </w:tr>
      <w:tr>
        <w:trPr>
          <w:trHeight w:val="101" w:hRule="atLeast"/>
          <w:cantSplit w:val="true"/>
        </w:trPr>
        <w:tc>
          <w:tcPr>
            <w:tcW w:w="63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pacing w:val="-20"/>
                <w:sz w:val="20"/>
                <w:szCs w:val="20"/>
              </w:rPr>
            </w:pPr>
            <w:r>
              <w:rPr>
                <w:color w:val="000000"/>
                <w:spacing w:val="-20"/>
                <w:sz w:val="20"/>
                <w:szCs w:val="20"/>
              </w:rPr>
              <w:t>5.1.3</w:t>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76"/>
              <w:jc w:val="both"/>
              <w:rPr>
                <w:color w:val="000000"/>
                <w:sz w:val="20"/>
                <w:szCs w:val="20"/>
                <w:lang w:val="ru-RU" w:eastAsia="ru-RU"/>
              </w:rPr>
            </w:pPr>
            <w:r>
              <w:rPr>
                <w:color w:val="000000"/>
                <w:sz w:val="20"/>
                <w:szCs w:val="20"/>
                <w:lang w:val="ru-RU" w:eastAsia="ru-RU"/>
              </w:rPr>
              <w:t xml:space="preserve">Местного значения </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bCs/>
                <w:color w:val="000000"/>
                <w:sz w:val="20"/>
                <w:szCs w:val="20"/>
              </w:rPr>
            </w:pPr>
            <w:r>
              <w:rPr>
                <w:bCs/>
                <w:color w:val="000000"/>
                <w:sz w:val="20"/>
                <w:szCs w:val="20"/>
              </w:rPr>
              <w:t>км</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Style75"/>
              <w:jc w:val="both"/>
              <w:rPr/>
            </w:pPr>
            <w:r>
              <w:rPr>
                <w:color w:val="000000"/>
                <w:sz w:val="20"/>
                <w:szCs w:val="20"/>
              </w:rPr>
              <w:t>3,73</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3,73</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Style75"/>
              <w:jc w:val="both"/>
              <w:rPr>
                <w:color w:val="000000"/>
                <w:sz w:val="20"/>
                <w:szCs w:val="20"/>
              </w:rPr>
            </w:pPr>
            <w:r>
              <w:rPr>
                <w:color w:val="000000"/>
                <w:sz w:val="20"/>
                <w:szCs w:val="20"/>
              </w:rPr>
              <w:t>3,73</w:t>
            </w:r>
          </w:p>
        </w:tc>
      </w:tr>
      <w:tr>
        <w:trPr>
          <w:trHeight w:val="101" w:hRule="atLeast"/>
          <w:cantSplit w:val="true"/>
        </w:trPr>
        <w:tc>
          <w:tcPr>
            <w:tcW w:w="63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b/>
                <w:color w:val="000000"/>
                <w:sz w:val="20"/>
                <w:szCs w:val="20"/>
              </w:rPr>
            </w:pPr>
            <w:r>
              <w:rPr>
                <w:b/>
                <w:color w:val="000000"/>
                <w:sz w:val="20"/>
                <w:szCs w:val="20"/>
              </w:rPr>
              <w:t>6</w:t>
            </w:r>
          </w:p>
        </w:tc>
        <w:tc>
          <w:tcPr>
            <w:tcW w:w="8965" w:type="dxa"/>
            <w:gridSpan w:val="5"/>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b/>
                <w:color w:val="000000"/>
                <w:sz w:val="20"/>
                <w:szCs w:val="20"/>
              </w:rPr>
            </w:pPr>
            <w:r>
              <w:rPr>
                <w:b/>
                <w:color w:val="000000"/>
                <w:sz w:val="20"/>
                <w:szCs w:val="20"/>
              </w:rPr>
              <w:t>Инженерная инфраструктура</w:t>
            </w:r>
          </w:p>
        </w:tc>
      </w:tr>
      <w:tr>
        <w:trPr>
          <w:trHeight w:val="101" w:hRule="atLeast"/>
          <w:cantSplit w:val="true"/>
        </w:trPr>
        <w:tc>
          <w:tcPr>
            <w:tcW w:w="63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6.1</w:t>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Водоснабжение</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rPr>
            </w:pPr>
            <w:r>
              <w:rPr>
                <w:color w:val="000000"/>
                <w:sz w:val="20"/>
                <w:szCs w:val="20"/>
              </w:rPr>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rPr>
            </w:pPr>
            <w:r>
              <w:rPr>
                <w:color w:val="000000"/>
                <w:sz w:val="20"/>
                <w:szCs w:val="20"/>
              </w:rPr>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shd w:fill="FFFFFF" w:val="clear"/>
              <w:snapToGrid w:val="false"/>
              <w:ind w:hanging="0"/>
              <w:jc w:val="both"/>
              <w:rPr>
                <w:color w:val="000000"/>
                <w:sz w:val="20"/>
                <w:szCs w:val="20"/>
              </w:rPr>
            </w:pPr>
            <w:r>
              <w:rPr>
                <w:color w:val="000000"/>
                <w:sz w:val="20"/>
                <w:szCs w:val="20"/>
              </w:rPr>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shd w:fill="FFFFFF" w:val="clear"/>
              <w:snapToGrid w:val="false"/>
              <w:ind w:hanging="0"/>
              <w:jc w:val="both"/>
              <w:rPr>
                <w:color w:val="000000"/>
                <w:sz w:val="20"/>
                <w:szCs w:val="20"/>
              </w:rPr>
            </w:pPr>
            <w:r>
              <w:rPr>
                <w:color w:val="000000"/>
                <w:sz w:val="20"/>
                <w:szCs w:val="20"/>
              </w:rPr>
            </w:r>
          </w:p>
        </w:tc>
      </w:tr>
      <w:tr>
        <w:trPr>
          <w:trHeight w:val="139" w:hRule="atLeast"/>
          <w:cantSplit w:val="true"/>
        </w:trPr>
        <w:tc>
          <w:tcPr>
            <w:tcW w:w="63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 водопотребление</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куб. м./в сутки</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336,09</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373,83</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460,84</w:t>
            </w:r>
          </w:p>
        </w:tc>
      </w:tr>
      <w:tr>
        <w:trPr>
          <w:trHeight w:val="101" w:hRule="atLeast"/>
          <w:cantSplit w:val="true"/>
        </w:trPr>
        <w:tc>
          <w:tcPr>
            <w:tcW w:w="63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6.2</w:t>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Канализация</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rPr>
            </w:pPr>
            <w:r>
              <w:rPr>
                <w:color w:val="000000"/>
                <w:sz w:val="20"/>
                <w:szCs w:val="20"/>
              </w:rPr>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rPr>
            </w:pPr>
            <w:r>
              <w:rPr>
                <w:color w:val="000000"/>
                <w:sz w:val="20"/>
                <w:szCs w:val="20"/>
              </w:rPr>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shd w:fill="FFFFFF" w:val="clear"/>
              <w:snapToGrid w:val="false"/>
              <w:ind w:hanging="0"/>
              <w:jc w:val="both"/>
              <w:rPr>
                <w:color w:val="000000"/>
                <w:sz w:val="20"/>
                <w:szCs w:val="20"/>
              </w:rPr>
            </w:pPr>
            <w:r>
              <w:rPr>
                <w:color w:val="000000"/>
                <w:sz w:val="20"/>
                <w:szCs w:val="20"/>
              </w:rPr>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shd w:fill="FFFFFF" w:val="clear"/>
              <w:snapToGrid w:val="false"/>
              <w:ind w:hanging="0"/>
              <w:jc w:val="both"/>
              <w:rPr>
                <w:color w:val="000000"/>
                <w:sz w:val="20"/>
                <w:szCs w:val="20"/>
              </w:rPr>
            </w:pPr>
            <w:r>
              <w:rPr>
                <w:color w:val="000000"/>
                <w:sz w:val="20"/>
                <w:szCs w:val="20"/>
              </w:rPr>
            </w:r>
          </w:p>
        </w:tc>
      </w:tr>
      <w:tr>
        <w:trPr>
          <w:trHeight w:val="101" w:hRule="atLeast"/>
          <w:cantSplit w:val="true"/>
        </w:trPr>
        <w:tc>
          <w:tcPr>
            <w:tcW w:w="63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 xml:space="preserve">- общее поступление сточных вод </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куб. м./в сутки</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197,13</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280,43</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395,62</w:t>
            </w:r>
          </w:p>
        </w:tc>
      </w:tr>
      <w:tr>
        <w:trPr>
          <w:trHeight w:val="101" w:hRule="atLeast"/>
          <w:cantSplit w:val="true"/>
        </w:trPr>
        <w:tc>
          <w:tcPr>
            <w:tcW w:w="63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6.3</w:t>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Санитарная очистка</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rPr>
            </w:pPr>
            <w:r>
              <w:rPr>
                <w:color w:val="000000"/>
                <w:sz w:val="20"/>
                <w:szCs w:val="20"/>
              </w:rPr>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rPr>
            </w:pPr>
            <w:r>
              <w:rPr>
                <w:color w:val="000000"/>
                <w:sz w:val="20"/>
                <w:szCs w:val="20"/>
              </w:rPr>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rPr>
            </w:pPr>
            <w:r>
              <w:rPr>
                <w:color w:val="000000"/>
                <w:sz w:val="20"/>
                <w:szCs w:val="20"/>
              </w:rPr>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rPr>
            </w:pPr>
            <w:r>
              <w:rPr>
                <w:color w:val="000000"/>
                <w:sz w:val="20"/>
                <w:szCs w:val="20"/>
              </w:rPr>
            </w:r>
          </w:p>
        </w:tc>
      </w:tr>
      <w:tr>
        <w:trPr>
          <w:trHeight w:val="101" w:hRule="atLeast"/>
          <w:cantSplit w:val="true"/>
        </w:trPr>
        <w:tc>
          <w:tcPr>
            <w:tcW w:w="63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 объем ТКО</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т/год</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116,64</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225,01</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336,97</w:t>
            </w:r>
          </w:p>
        </w:tc>
      </w:tr>
      <w:tr>
        <w:trPr>
          <w:trHeight w:val="101" w:hRule="atLeast"/>
          <w:cantSplit w:val="true"/>
        </w:trPr>
        <w:tc>
          <w:tcPr>
            <w:tcW w:w="63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 контейнеры для ТКО</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шт.</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15</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24</w:t>
            </w:r>
          </w:p>
        </w:tc>
      </w:tr>
      <w:tr>
        <w:trPr>
          <w:trHeight w:val="101" w:hRule="atLeast"/>
          <w:cantSplit w:val="true"/>
        </w:trPr>
        <w:tc>
          <w:tcPr>
            <w:tcW w:w="63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6.4.</w:t>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76"/>
              <w:jc w:val="both"/>
              <w:rPr>
                <w:color w:val="000000"/>
                <w:sz w:val="20"/>
                <w:szCs w:val="20"/>
                <w:lang w:val="ru-RU" w:eastAsia="ru-RU"/>
              </w:rPr>
            </w:pPr>
            <w:r>
              <w:rPr>
                <w:color w:val="000000"/>
                <w:sz w:val="20"/>
                <w:szCs w:val="20"/>
                <w:lang w:val="ru-RU" w:eastAsia="ru-RU"/>
              </w:rPr>
              <w:t>Теплоснабжение</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lang w:val="ru-RU" w:eastAsia="ru-RU"/>
              </w:rPr>
            </w:pPr>
            <w:r>
              <w:rPr>
                <w:color w:val="000000"/>
                <w:sz w:val="20"/>
                <w:szCs w:val="20"/>
                <w:lang w:val="ru-RU" w:eastAsia="ru-RU"/>
              </w:rPr>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rPr>
            </w:pPr>
            <w:r>
              <w:rPr>
                <w:color w:val="000000"/>
                <w:sz w:val="20"/>
                <w:szCs w:val="20"/>
              </w:rPr>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rPr>
            </w:pPr>
            <w:r>
              <w:rPr>
                <w:color w:val="000000"/>
                <w:sz w:val="20"/>
                <w:szCs w:val="20"/>
              </w:rPr>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rPr>
            </w:pPr>
            <w:r>
              <w:rPr>
                <w:color w:val="000000"/>
                <w:sz w:val="20"/>
                <w:szCs w:val="20"/>
              </w:rPr>
            </w:r>
          </w:p>
        </w:tc>
      </w:tr>
      <w:tr>
        <w:trPr>
          <w:trHeight w:val="101" w:hRule="atLeast"/>
          <w:cantSplit w:val="true"/>
        </w:trPr>
        <w:tc>
          <w:tcPr>
            <w:tcW w:w="63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76"/>
              <w:jc w:val="both"/>
              <w:rPr>
                <w:color w:val="000000"/>
                <w:sz w:val="20"/>
                <w:szCs w:val="20"/>
                <w:lang w:val="ru-RU" w:eastAsia="ru-RU"/>
              </w:rPr>
            </w:pPr>
            <w:r>
              <w:rPr>
                <w:color w:val="000000"/>
                <w:sz w:val="20"/>
                <w:szCs w:val="20"/>
                <w:lang w:val="ru-RU" w:eastAsia="ru-RU"/>
              </w:rPr>
              <w:t>- общее количество котельных</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шт.</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w:t>
            </w:r>
          </w:p>
        </w:tc>
      </w:tr>
      <w:tr>
        <w:trPr>
          <w:trHeight w:val="101" w:hRule="atLeast"/>
          <w:cantSplit w:val="true"/>
        </w:trPr>
        <w:tc>
          <w:tcPr>
            <w:tcW w:w="63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6.5.</w:t>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76"/>
              <w:jc w:val="both"/>
              <w:rPr>
                <w:color w:val="000000"/>
                <w:sz w:val="20"/>
                <w:szCs w:val="20"/>
                <w:lang w:val="ru-RU" w:eastAsia="ru-RU"/>
              </w:rPr>
            </w:pPr>
            <w:r>
              <w:rPr>
                <w:color w:val="000000"/>
                <w:sz w:val="20"/>
                <w:szCs w:val="20"/>
                <w:lang w:val="ru-RU" w:eastAsia="ru-RU"/>
              </w:rPr>
              <w:t xml:space="preserve">Газоснабжение </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lang w:val="ru-RU" w:eastAsia="ru-RU"/>
              </w:rPr>
            </w:pPr>
            <w:r>
              <w:rPr>
                <w:color w:val="000000"/>
                <w:sz w:val="20"/>
                <w:szCs w:val="20"/>
                <w:lang w:val="ru-RU" w:eastAsia="ru-RU"/>
              </w:rPr>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rPr>
            </w:pPr>
            <w:r>
              <w:rPr>
                <w:color w:val="000000"/>
                <w:sz w:val="20"/>
                <w:szCs w:val="20"/>
              </w:rPr>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rPr>
            </w:pPr>
            <w:r>
              <w:rPr>
                <w:color w:val="000000"/>
                <w:sz w:val="20"/>
                <w:szCs w:val="20"/>
              </w:rPr>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rPr>
            </w:pPr>
            <w:r>
              <w:rPr>
                <w:color w:val="000000"/>
                <w:sz w:val="20"/>
                <w:szCs w:val="20"/>
              </w:rPr>
            </w:r>
          </w:p>
        </w:tc>
      </w:tr>
      <w:tr>
        <w:trPr>
          <w:trHeight w:val="379" w:hRule="atLeast"/>
          <w:cantSplit w:val="true"/>
        </w:trPr>
        <w:tc>
          <w:tcPr>
            <w:tcW w:w="63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76"/>
              <w:jc w:val="both"/>
              <w:rPr>
                <w:color w:val="000000"/>
                <w:sz w:val="20"/>
                <w:szCs w:val="20"/>
                <w:lang w:val="ru-RU" w:eastAsia="ru-RU"/>
              </w:rPr>
            </w:pPr>
            <w:r>
              <w:rPr>
                <w:color w:val="000000"/>
                <w:sz w:val="20"/>
                <w:szCs w:val="20"/>
                <w:lang w:val="ru-RU" w:eastAsia="ru-RU"/>
              </w:rPr>
              <w:t>- годовой расход газа</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тыс. нм3/год</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95,04</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167,6</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236,5</w:t>
            </w:r>
          </w:p>
        </w:tc>
      </w:tr>
      <w:tr>
        <w:trPr>
          <w:trHeight w:val="101" w:hRule="atLeast"/>
          <w:cantSplit w:val="true"/>
        </w:trPr>
        <w:tc>
          <w:tcPr>
            <w:tcW w:w="63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6.6.</w:t>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76"/>
              <w:jc w:val="both"/>
              <w:rPr>
                <w:color w:val="000000"/>
                <w:sz w:val="20"/>
                <w:szCs w:val="20"/>
                <w:lang w:val="ru-RU" w:eastAsia="ru-RU"/>
              </w:rPr>
            </w:pPr>
            <w:r>
              <w:rPr>
                <w:color w:val="000000"/>
                <w:sz w:val="20"/>
                <w:szCs w:val="20"/>
                <w:lang w:val="ru-RU" w:eastAsia="ru-RU"/>
              </w:rPr>
              <w:t xml:space="preserve">Электроснабжение </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lang w:val="ru-RU" w:eastAsia="ru-RU"/>
              </w:rPr>
            </w:pPr>
            <w:r>
              <w:rPr>
                <w:color w:val="000000"/>
                <w:sz w:val="20"/>
                <w:szCs w:val="20"/>
                <w:lang w:val="ru-RU" w:eastAsia="ru-RU"/>
              </w:rPr>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rPr>
            </w:pPr>
            <w:r>
              <w:rPr>
                <w:color w:val="000000"/>
                <w:sz w:val="20"/>
                <w:szCs w:val="20"/>
              </w:rPr>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rPr>
            </w:pPr>
            <w:r>
              <w:rPr>
                <w:color w:val="000000"/>
                <w:sz w:val="20"/>
                <w:szCs w:val="20"/>
              </w:rPr>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rPr>
            </w:pPr>
            <w:r>
              <w:rPr>
                <w:color w:val="000000"/>
                <w:sz w:val="20"/>
                <w:szCs w:val="20"/>
              </w:rPr>
            </w:r>
          </w:p>
        </w:tc>
      </w:tr>
      <w:tr>
        <w:trPr>
          <w:trHeight w:val="101" w:hRule="atLeast"/>
          <w:cantSplit w:val="true"/>
        </w:trPr>
        <w:tc>
          <w:tcPr>
            <w:tcW w:w="63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76"/>
              <w:jc w:val="both"/>
              <w:rPr>
                <w:color w:val="000000"/>
                <w:sz w:val="20"/>
                <w:szCs w:val="20"/>
                <w:lang w:val="ru-RU" w:eastAsia="ru-RU"/>
              </w:rPr>
            </w:pPr>
            <w:r>
              <w:rPr>
                <w:color w:val="000000"/>
                <w:sz w:val="20"/>
                <w:szCs w:val="20"/>
                <w:lang w:val="ru-RU" w:eastAsia="ru-RU"/>
              </w:rPr>
              <w:t>- годовое электропотребление</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тыс. кВт.ч/год</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pPr>
            <w:r>
              <w:rPr>
                <w:color w:val="000000"/>
                <w:sz w:val="20"/>
                <w:szCs w:val="20"/>
              </w:rPr>
              <w:t>410,4</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739,9</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1021</w:t>
            </w:r>
          </w:p>
        </w:tc>
      </w:tr>
      <w:tr>
        <w:trPr>
          <w:trHeight w:val="101" w:hRule="atLeast"/>
          <w:cantSplit w:val="true"/>
        </w:trPr>
        <w:tc>
          <w:tcPr>
            <w:tcW w:w="63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76"/>
              <w:jc w:val="both"/>
              <w:rPr>
                <w:color w:val="000000"/>
                <w:sz w:val="20"/>
                <w:szCs w:val="20"/>
                <w:lang w:val="ru-RU" w:eastAsia="ru-RU"/>
              </w:rPr>
            </w:pPr>
            <w:r>
              <w:rPr>
                <w:color w:val="000000"/>
                <w:sz w:val="20"/>
                <w:szCs w:val="20"/>
                <w:lang w:val="ru-RU" w:eastAsia="ru-RU"/>
              </w:rPr>
              <w:t>- расчетная мощность</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кВт</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413,5</w:t>
            </w:r>
          </w:p>
        </w:tc>
        <w:tc>
          <w:tcPr>
            <w:tcW w:w="1134"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3401,5</w:t>
            </w:r>
          </w:p>
        </w:tc>
        <w:tc>
          <w:tcPr>
            <w:tcW w:w="1134" w:type="dxa"/>
            <w:tcBorders>
              <w:top w:val="single" w:sz="4" w:space="0" w:color="000000"/>
              <w:left w:val="single" w:sz="4" w:space="0" w:color="000000"/>
              <w:bottom w:val="single" w:sz="4" w:space="0" w:color="000000"/>
              <w:right w:val="single" w:sz="4" w:space="0" w:color="000000"/>
            </w:tcBorders>
          </w:tcPr>
          <w:p>
            <w:pPr>
              <w:pStyle w:val="Normal"/>
              <w:ind w:hanging="0"/>
              <w:jc w:val="both"/>
              <w:rPr>
                <w:color w:val="000000"/>
                <w:sz w:val="20"/>
                <w:szCs w:val="20"/>
              </w:rPr>
            </w:pPr>
            <w:r>
              <w:rPr>
                <w:color w:val="000000"/>
                <w:sz w:val="20"/>
                <w:szCs w:val="20"/>
              </w:rPr>
              <w:t>5385,8</w:t>
            </w:r>
          </w:p>
        </w:tc>
      </w:tr>
      <w:tr>
        <w:trPr>
          <w:trHeight w:val="101" w:hRule="atLeast"/>
          <w:cantSplit w:val="true"/>
        </w:trPr>
        <w:tc>
          <w:tcPr>
            <w:tcW w:w="63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76"/>
              <w:jc w:val="both"/>
              <w:rPr>
                <w:color w:val="000000"/>
                <w:sz w:val="20"/>
                <w:szCs w:val="20"/>
                <w:lang w:val="ru-RU" w:eastAsia="ru-RU"/>
              </w:rPr>
            </w:pPr>
            <w:r>
              <w:rPr>
                <w:color w:val="000000"/>
                <w:sz w:val="20"/>
                <w:szCs w:val="20"/>
                <w:lang w:val="ru-RU" w:eastAsia="ru-RU"/>
              </w:rPr>
              <w:t>- общая мощность трансформаторных подстанций</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кВА</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439,9</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3618,6</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5729,6</w:t>
            </w:r>
          </w:p>
        </w:tc>
      </w:tr>
      <w:tr>
        <w:trPr>
          <w:trHeight w:val="101" w:hRule="atLeast"/>
          <w:cantSplit w:val="true"/>
        </w:trPr>
        <w:tc>
          <w:tcPr>
            <w:tcW w:w="639"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6.7.</w:t>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76"/>
              <w:jc w:val="both"/>
              <w:rPr>
                <w:color w:val="000000"/>
                <w:sz w:val="20"/>
                <w:szCs w:val="20"/>
                <w:lang w:val="ru-RU" w:eastAsia="ru-RU"/>
              </w:rPr>
            </w:pPr>
            <w:r>
              <w:rPr>
                <w:color w:val="000000"/>
                <w:sz w:val="20"/>
                <w:szCs w:val="20"/>
                <w:lang w:val="ru-RU" w:eastAsia="ru-RU"/>
              </w:rPr>
              <w:t>Слаботочные сети</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lang w:val="ru-RU" w:eastAsia="ru-RU"/>
              </w:rPr>
            </w:pPr>
            <w:r>
              <w:rPr>
                <w:color w:val="000000"/>
                <w:sz w:val="20"/>
                <w:szCs w:val="20"/>
                <w:lang w:val="ru-RU" w:eastAsia="ru-RU"/>
              </w:rPr>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rPr>
            </w:pPr>
            <w:r>
              <w:rPr>
                <w:color w:val="000000"/>
                <w:sz w:val="20"/>
                <w:szCs w:val="20"/>
              </w:rPr>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rPr>
            </w:pPr>
            <w:r>
              <w:rPr>
                <w:color w:val="000000"/>
                <w:sz w:val="20"/>
                <w:szCs w:val="20"/>
              </w:rPr>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rPr>
            </w:pPr>
            <w:r>
              <w:rPr>
                <w:color w:val="000000"/>
                <w:sz w:val="20"/>
                <w:szCs w:val="20"/>
              </w:rPr>
            </w:r>
          </w:p>
        </w:tc>
      </w:tr>
      <w:tr>
        <w:trPr>
          <w:trHeight w:val="101" w:hRule="atLeast"/>
          <w:cantSplit w:val="true"/>
        </w:trPr>
        <w:tc>
          <w:tcPr>
            <w:tcW w:w="63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ind w:hanging="0"/>
              <w:jc w:val="both"/>
              <w:rPr>
                <w:color w:val="000000"/>
                <w:sz w:val="20"/>
                <w:szCs w:val="20"/>
              </w:rPr>
            </w:pPr>
            <w:r>
              <w:rPr>
                <w:color w:val="000000"/>
                <w:sz w:val="20"/>
                <w:szCs w:val="20"/>
              </w:rPr>
            </w:r>
          </w:p>
        </w:tc>
        <w:tc>
          <w:tcPr>
            <w:tcW w:w="4102" w:type="dxa"/>
            <w:tcBorders>
              <w:top w:val="single" w:sz="4" w:space="0" w:color="000000"/>
              <w:left w:val="single" w:sz="4" w:space="0" w:color="000000"/>
              <w:bottom w:val="single" w:sz="4" w:space="0" w:color="000000"/>
              <w:right w:val="single" w:sz="4" w:space="0" w:color="000000"/>
            </w:tcBorders>
            <w:vAlign w:val="center"/>
          </w:tcPr>
          <w:p>
            <w:pPr>
              <w:pStyle w:val="Style76"/>
              <w:jc w:val="both"/>
              <w:rPr>
                <w:color w:val="000000"/>
                <w:sz w:val="20"/>
                <w:szCs w:val="20"/>
                <w:lang w:val="ru-RU" w:eastAsia="ru-RU"/>
              </w:rPr>
            </w:pPr>
            <w:r>
              <w:rPr>
                <w:color w:val="000000"/>
                <w:sz w:val="20"/>
                <w:szCs w:val="20"/>
                <w:lang w:val="ru-RU" w:eastAsia="ru-RU"/>
              </w:rPr>
              <w:t>- количество телефонов</w:t>
            </w:r>
          </w:p>
        </w:tc>
        <w:tc>
          <w:tcPr>
            <w:tcW w:w="1340"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шт.</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tcPr>
          <w:p>
            <w:pPr>
              <w:pStyle w:val="Normal"/>
              <w:ind w:hanging="0"/>
              <w:jc w:val="both"/>
              <w:rPr>
                <w:color w:val="000000"/>
                <w:sz w:val="20"/>
                <w:szCs w:val="20"/>
              </w:rPr>
            </w:pPr>
            <w:r>
              <w:rPr>
                <w:color w:val="000000"/>
                <w:sz w:val="20"/>
                <w:szCs w:val="20"/>
              </w:rPr>
              <w:t>-</w:t>
            </w:r>
          </w:p>
        </w:tc>
      </w:tr>
    </w:tbl>
    <w:p>
      <w:pPr>
        <w:pStyle w:val="1"/>
        <w:numPr>
          <w:ilvl w:val="0"/>
          <w:numId w:val="7"/>
        </w:numPr>
        <w:jc w:val="both"/>
        <w:rPr/>
      </w:pPr>
      <w:bookmarkStart w:id="347" w:name="__RefHeading___Toc156489441"/>
      <w:bookmarkEnd w:id="347"/>
      <w:r>
        <w:rPr>
          <w:color w:val="000000"/>
          <w:lang w:val="ru-RU" w:eastAsia="ru-RU"/>
        </w:rPr>
        <w:t>СПИСОК ИСПОЛЬЗОВАННОЙ  ЛИТЕРАТУРЫ</w:t>
      </w:r>
    </w:p>
    <w:p>
      <w:pPr>
        <w:pStyle w:val="Normal"/>
        <w:jc w:val="both"/>
        <w:rPr>
          <w:color w:val="000000"/>
          <w:lang w:val="ru-RU" w:eastAsia="ru-RU"/>
        </w:rPr>
      </w:pPr>
      <w:r>
        <w:rPr>
          <w:color w:val="000000"/>
          <w:lang w:val="ru-RU" w:eastAsia="ru-RU"/>
        </w:rPr>
      </w:r>
    </w:p>
    <w:p>
      <w:pPr>
        <w:pStyle w:val="Style72"/>
        <w:tabs>
          <w:tab w:val="clear" w:pos="709"/>
          <w:tab w:val="left" w:pos="600" w:leader="none"/>
        </w:tabs>
        <w:ind w:hanging="0"/>
        <w:jc w:val="both"/>
        <w:rPr>
          <w:color w:val="000000"/>
          <w:szCs w:val="28"/>
        </w:rPr>
      </w:pPr>
      <w:r>
        <w:rPr>
          <w:color w:val="000000"/>
          <w:szCs w:val="28"/>
        </w:rPr>
        <w:t>Нормативно-правовые акты</w:t>
      </w:r>
    </w:p>
    <w:p>
      <w:pPr>
        <w:pStyle w:val="Normal"/>
        <w:numPr>
          <w:ilvl w:val="0"/>
          <w:numId w:val="17"/>
        </w:numPr>
        <w:tabs>
          <w:tab w:val="clear" w:pos="709"/>
          <w:tab w:val="left" w:pos="-140" w:leader="none"/>
          <w:tab w:val="left" w:pos="1120" w:leader="none"/>
          <w:tab w:val="left" w:pos="2340" w:leader="none"/>
        </w:tabs>
        <w:ind w:left="0" w:right="-1" w:firstLine="700"/>
        <w:jc w:val="both"/>
        <w:rPr>
          <w:color w:val="000000"/>
          <w:szCs w:val="28"/>
          <w:lang w:val="ru-RU"/>
        </w:rPr>
      </w:pPr>
      <w:r>
        <w:rPr>
          <w:color w:val="000000"/>
          <w:szCs w:val="28"/>
          <w:lang w:val="ru-RU"/>
        </w:rPr>
        <w:t xml:space="preserve">Градостроительный кодекс Российской Федерации от 29.12.2004 г. </w:t>
        <w:br/>
        <w:t>№ 190-ФЗ (с изменениями и дополнениями).</w:t>
      </w:r>
    </w:p>
    <w:p>
      <w:pPr>
        <w:pStyle w:val="Normal"/>
        <w:numPr>
          <w:ilvl w:val="0"/>
          <w:numId w:val="17"/>
        </w:numPr>
        <w:tabs>
          <w:tab w:val="clear" w:pos="709"/>
          <w:tab w:val="left" w:pos="-140" w:leader="none"/>
          <w:tab w:val="left" w:pos="1120" w:leader="none"/>
          <w:tab w:val="left" w:pos="2340" w:leader="none"/>
        </w:tabs>
        <w:ind w:left="0" w:right="-1" w:firstLine="700"/>
        <w:jc w:val="both"/>
        <w:rPr/>
      </w:pPr>
      <w:r>
        <w:rPr>
          <w:color w:val="000000"/>
          <w:szCs w:val="28"/>
          <w:lang w:val="ru-RU"/>
        </w:rPr>
        <w:t>Земельный кодекс Российской Федерации от 25.10.2001</w:t>
      </w:r>
      <w:r>
        <w:rPr>
          <w:color w:val="000000"/>
          <w:szCs w:val="28"/>
        </w:rPr>
        <w:t xml:space="preserve"> </w:t>
      </w:r>
      <w:r>
        <w:rPr>
          <w:color w:val="000000"/>
          <w:szCs w:val="28"/>
          <w:lang w:val="ru-RU"/>
        </w:rPr>
        <w:t>г.</w:t>
      </w:r>
      <w:r>
        <w:rPr>
          <w:color w:val="000000"/>
          <w:szCs w:val="28"/>
        </w:rPr>
        <w:t xml:space="preserve"> </w:t>
      </w:r>
      <w:r>
        <w:rPr>
          <w:color w:val="000000"/>
          <w:szCs w:val="28"/>
          <w:lang w:val="ru-RU"/>
        </w:rPr>
        <w:t>№136-ФЗ (с изменениями и дополнениями).</w:t>
      </w:r>
    </w:p>
    <w:p>
      <w:pPr>
        <w:pStyle w:val="Normal"/>
        <w:numPr>
          <w:ilvl w:val="0"/>
          <w:numId w:val="17"/>
        </w:numPr>
        <w:tabs>
          <w:tab w:val="clear" w:pos="709"/>
          <w:tab w:val="left" w:pos="-140" w:leader="none"/>
          <w:tab w:val="left" w:pos="1120" w:leader="none"/>
          <w:tab w:val="left" w:pos="2340" w:leader="none"/>
        </w:tabs>
        <w:ind w:left="0" w:right="-1" w:firstLine="700"/>
        <w:jc w:val="both"/>
        <w:rPr>
          <w:color w:val="000000"/>
          <w:szCs w:val="28"/>
          <w:lang w:val="ru-RU"/>
        </w:rPr>
      </w:pPr>
      <w:r>
        <w:rPr>
          <w:color w:val="000000"/>
          <w:szCs w:val="28"/>
          <w:lang w:val="ru-RU"/>
        </w:rPr>
        <w:t>Водный кодекс от 3.06.2006г. №74-ФЗ (с изменениями и дополнениями).</w:t>
      </w:r>
    </w:p>
    <w:p>
      <w:pPr>
        <w:pStyle w:val="Normal"/>
        <w:numPr>
          <w:ilvl w:val="0"/>
          <w:numId w:val="17"/>
        </w:numPr>
        <w:tabs>
          <w:tab w:val="clear" w:pos="709"/>
          <w:tab w:val="left" w:pos="-140" w:leader="none"/>
          <w:tab w:val="left" w:pos="1120" w:leader="none"/>
          <w:tab w:val="left" w:pos="2340" w:leader="none"/>
        </w:tabs>
        <w:ind w:left="0" w:right="-1" w:firstLine="700"/>
        <w:jc w:val="both"/>
        <w:rPr>
          <w:color w:val="000000"/>
          <w:szCs w:val="28"/>
          <w:lang w:val="ru-RU"/>
        </w:rPr>
      </w:pPr>
      <w:r>
        <w:rPr>
          <w:color w:val="000000"/>
          <w:szCs w:val="28"/>
          <w:lang w:val="ru-RU"/>
        </w:rPr>
        <w:t xml:space="preserve">Лесной кодекс от 4.12.2006г. №200-ФЗ (с изменениями и дополнениями). </w:t>
      </w:r>
    </w:p>
    <w:p>
      <w:pPr>
        <w:pStyle w:val="Normal"/>
        <w:numPr>
          <w:ilvl w:val="0"/>
          <w:numId w:val="17"/>
        </w:numPr>
        <w:tabs>
          <w:tab w:val="clear" w:pos="709"/>
          <w:tab w:val="left" w:pos="-140" w:leader="none"/>
          <w:tab w:val="left" w:pos="1120" w:leader="none"/>
          <w:tab w:val="left" w:pos="2340" w:leader="none"/>
        </w:tabs>
        <w:ind w:left="0" w:right="-1" w:firstLine="700"/>
        <w:jc w:val="both"/>
        <w:rPr>
          <w:color w:val="000000"/>
          <w:szCs w:val="28"/>
          <w:lang w:val="ru-RU"/>
        </w:rPr>
      </w:pPr>
      <w:r>
        <w:rPr>
          <w:color w:val="000000"/>
          <w:szCs w:val="28"/>
          <w:lang w:val="ru-RU"/>
        </w:rPr>
        <w:t>Гражданский кодекс от 30.11.1994г. №51-ФЗ (с изменениями и дополнениями).</w:t>
      </w:r>
    </w:p>
    <w:p>
      <w:pPr>
        <w:pStyle w:val="Normal"/>
        <w:numPr>
          <w:ilvl w:val="0"/>
          <w:numId w:val="17"/>
        </w:numPr>
        <w:tabs>
          <w:tab w:val="clear" w:pos="709"/>
          <w:tab w:val="left" w:pos="-140" w:leader="none"/>
          <w:tab w:val="left" w:pos="1120" w:leader="none"/>
          <w:tab w:val="left" w:pos="2340" w:leader="none"/>
        </w:tabs>
        <w:ind w:left="0" w:right="-1" w:firstLine="700"/>
        <w:jc w:val="both"/>
        <w:rPr/>
      </w:pPr>
      <w:r>
        <w:rPr>
          <w:color w:val="000000"/>
          <w:szCs w:val="28"/>
          <w:lang w:val="ru-RU"/>
        </w:rPr>
        <w:t>Федеральный закон от 6.10.2003г. №131-ФЗ «Об общих принципах организации местного самоуправления в Российской Федерации»</w:t>
      </w:r>
      <w:r>
        <w:rPr>
          <w:color w:val="000000"/>
          <w:szCs w:val="28"/>
        </w:rPr>
        <w:t xml:space="preserve"> </w:t>
      </w:r>
      <w:r>
        <w:rPr>
          <w:color w:val="000000"/>
          <w:szCs w:val="28"/>
          <w:lang w:val="ru-RU"/>
        </w:rPr>
        <w:t>(с изменениями и дополнениями).</w:t>
      </w:r>
    </w:p>
    <w:p>
      <w:pPr>
        <w:pStyle w:val="Normal"/>
        <w:numPr>
          <w:ilvl w:val="0"/>
          <w:numId w:val="17"/>
        </w:numPr>
        <w:tabs>
          <w:tab w:val="clear" w:pos="709"/>
          <w:tab w:val="left" w:pos="-140" w:leader="none"/>
          <w:tab w:val="left" w:pos="1120" w:leader="none"/>
          <w:tab w:val="left" w:pos="2340" w:leader="none"/>
        </w:tabs>
        <w:ind w:left="0" w:right="-1" w:firstLine="700"/>
        <w:jc w:val="both"/>
        <w:rPr/>
      </w:pPr>
      <w:r>
        <w:rPr>
          <w:color w:val="000000"/>
          <w:szCs w:val="28"/>
          <w:lang w:val="ru-RU"/>
        </w:rPr>
        <w:t>Федеральный закон от 25.06.2002г. №73-ФЗ «Об объектах культурного наследия (памятниках истории и культуры) народов Российской Федерации»</w:t>
      </w:r>
      <w:r>
        <w:rPr>
          <w:color w:val="000000"/>
          <w:szCs w:val="28"/>
        </w:rPr>
        <w:t xml:space="preserve"> </w:t>
      </w:r>
      <w:r>
        <w:rPr>
          <w:color w:val="000000"/>
          <w:szCs w:val="28"/>
          <w:lang w:val="ru-RU"/>
        </w:rPr>
        <w:t>(с изменениями и дополнениями).</w:t>
      </w:r>
    </w:p>
    <w:p>
      <w:pPr>
        <w:pStyle w:val="Normal"/>
        <w:numPr>
          <w:ilvl w:val="0"/>
          <w:numId w:val="17"/>
        </w:numPr>
        <w:tabs>
          <w:tab w:val="clear" w:pos="709"/>
          <w:tab w:val="left" w:pos="-140" w:leader="none"/>
          <w:tab w:val="left" w:pos="1120" w:leader="none"/>
          <w:tab w:val="left" w:pos="2340" w:leader="none"/>
        </w:tabs>
        <w:ind w:left="0" w:right="-1" w:firstLine="700"/>
        <w:jc w:val="both"/>
        <w:rPr/>
      </w:pPr>
      <w:r>
        <w:rPr>
          <w:color w:val="000000"/>
          <w:szCs w:val="28"/>
          <w:lang w:val="ru-RU"/>
        </w:rPr>
        <w:t>Федеральный закон от 21.12.2004г. №172-ФЗ «О переводе земель или земельных участков из одной категории в другую»</w:t>
      </w:r>
      <w:r>
        <w:rPr>
          <w:color w:val="000000"/>
          <w:szCs w:val="28"/>
        </w:rPr>
        <w:t xml:space="preserve"> </w:t>
      </w:r>
      <w:r>
        <w:rPr>
          <w:color w:val="000000"/>
          <w:szCs w:val="28"/>
          <w:lang w:val="ru-RU"/>
        </w:rPr>
        <w:t>(с изменениями и дополнениями).</w:t>
      </w:r>
    </w:p>
    <w:p>
      <w:pPr>
        <w:pStyle w:val="Normal"/>
        <w:numPr>
          <w:ilvl w:val="0"/>
          <w:numId w:val="17"/>
        </w:numPr>
        <w:tabs>
          <w:tab w:val="clear" w:pos="709"/>
          <w:tab w:val="left" w:pos="-140" w:leader="none"/>
          <w:tab w:val="left" w:pos="1120" w:leader="none"/>
          <w:tab w:val="left" w:pos="2340" w:leader="none"/>
        </w:tabs>
        <w:ind w:left="0" w:right="-1" w:firstLine="700"/>
        <w:jc w:val="both"/>
        <w:rPr/>
      </w:pPr>
      <w:r>
        <w:rPr>
          <w:color w:val="000000"/>
          <w:szCs w:val="28"/>
          <w:lang w:val="ru-RU"/>
        </w:rPr>
        <w:t>Федеральный закон от 29.07.2017 №</w:t>
      </w:r>
      <w:r>
        <w:rPr>
          <w:color w:val="000000"/>
          <w:szCs w:val="28"/>
        </w:rPr>
        <w:t xml:space="preserve"> </w:t>
      </w:r>
      <w:r>
        <w:rPr>
          <w:color w:val="000000"/>
          <w:szCs w:val="28"/>
          <w:lang w:val="ru-RU"/>
        </w:rPr>
        <w:t>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r>
        <w:rPr>
          <w:color w:val="000000"/>
          <w:szCs w:val="28"/>
        </w:rPr>
        <w:t xml:space="preserve"> (с изменениями и дополнениями)</w:t>
      </w:r>
      <w:r>
        <w:rPr>
          <w:color w:val="000000"/>
          <w:szCs w:val="28"/>
          <w:lang w:val="ru-RU"/>
        </w:rPr>
        <w:t>.</w:t>
      </w:r>
    </w:p>
    <w:p>
      <w:pPr>
        <w:pStyle w:val="Normal"/>
        <w:numPr>
          <w:ilvl w:val="0"/>
          <w:numId w:val="17"/>
        </w:numPr>
        <w:tabs>
          <w:tab w:val="clear" w:pos="709"/>
          <w:tab w:val="left" w:pos="-140" w:leader="none"/>
          <w:tab w:val="left" w:pos="1120" w:leader="none"/>
          <w:tab w:val="left" w:pos="2340" w:leader="none"/>
        </w:tabs>
        <w:ind w:left="0" w:right="-1" w:firstLine="700"/>
        <w:jc w:val="both"/>
        <w:rPr/>
      </w:pPr>
      <w:r>
        <w:rPr>
          <w:color w:val="000000"/>
          <w:szCs w:val="28"/>
        </w:rPr>
        <w:t xml:space="preserve">Федеральный закон от 22.07.2008 № 123-ФЗ </w:t>
      </w:r>
      <w:r>
        <w:rPr>
          <w:bCs/>
          <w:color w:val="000000"/>
          <w:szCs w:val="28"/>
        </w:rPr>
        <w:t>«Технический регламент о требованиях пожарной безопасности» (с изменениями и дополнениями).</w:t>
      </w:r>
    </w:p>
    <w:p>
      <w:pPr>
        <w:pStyle w:val="Normal"/>
        <w:numPr>
          <w:ilvl w:val="0"/>
          <w:numId w:val="17"/>
        </w:numPr>
        <w:tabs>
          <w:tab w:val="clear" w:pos="709"/>
          <w:tab w:val="left" w:pos="-140" w:leader="none"/>
          <w:tab w:val="left" w:pos="1120" w:leader="none"/>
          <w:tab w:val="left" w:pos="2340" w:leader="none"/>
        </w:tabs>
        <w:ind w:left="0" w:right="-1" w:firstLine="700"/>
        <w:jc w:val="both"/>
        <w:rPr/>
      </w:pPr>
      <w:r>
        <w:rPr>
          <w:bCs/>
          <w:color w:val="000000"/>
          <w:szCs w:val="28"/>
          <w:lang w:val="ru-RU"/>
        </w:rPr>
        <w:t xml:space="preserve">Федеральный закон от 06.05.2011 </w:t>
      </w:r>
      <w:r>
        <w:rPr>
          <w:bCs/>
          <w:color w:val="000000"/>
          <w:szCs w:val="28"/>
        </w:rPr>
        <w:t xml:space="preserve">№ </w:t>
      </w:r>
      <w:r>
        <w:rPr>
          <w:bCs/>
          <w:color w:val="000000"/>
          <w:szCs w:val="28"/>
          <w:lang w:val="ru-RU"/>
        </w:rPr>
        <w:t xml:space="preserve">100-ФЗ  "О добровольной пожарной охране" </w:t>
      </w:r>
      <w:r>
        <w:rPr>
          <w:bCs/>
          <w:color w:val="000000"/>
          <w:szCs w:val="28"/>
        </w:rPr>
        <w:t>(с изменениями и дополнениями).</w:t>
      </w:r>
    </w:p>
    <w:p>
      <w:pPr>
        <w:pStyle w:val="Normal"/>
        <w:numPr>
          <w:ilvl w:val="0"/>
          <w:numId w:val="17"/>
        </w:numPr>
        <w:tabs>
          <w:tab w:val="clear" w:pos="709"/>
          <w:tab w:val="left" w:pos="-140" w:leader="none"/>
          <w:tab w:val="left" w:pos="1120" w:leader="none"/>
          <w:tab w:val="left" w:pos="2340" w:leader="none"/>
        </w:tabs>
        <w:ind w:left="0" w:right="-1" w:firstLine="700"/>
        <w:jc w:val="both"/>
        <w:rPr/>
      </w:pPr>
      <w:r>
        <w:rPr>
          <w:bCs/>
          <w:color w:val="000000"/>
          <w:szCs w:val="28"/>
          <w:lang w:val="ru-RU"/>
        </w:rPr>
        <w:t>Федеральный закон от 21.0</w:t>
      </w:r>
      <w:r>
        <w:rPr>
          <w:bCs/>
          <w:color w:val="000000"/>
          <w:szCs w:val="28"/>
        </w:rPr>
        <w:t>7</w:t>
      </w:r>
      <w:r>
        <w:rPr>
          <w:bCs/>
          <w:color w:val="000000"/>
          <w:szCs w:val="28"/>
          <w:lang w:val="ru-RU"/>
        </w:rPr>
        <w:t>.</w:t>
      </w:r>
      <w:r>
        <w:rPr>
          <w:bCs/>
          <w:color w:val="000000"/>
          <w:szCs w:val="28"/>
        </w:rPr>
        <w:t>1997</w:t>
      </w:r>
      <w:r>
        <w:rPr>
          <w:bCs/>
          <w:color w:val="000000"/>
          <w:szCs w:val="28"/>
          <w:lang w:val="ru-RU"/>
        </w:rPr>
        <w:t xml:space="preserve"> </w:t>
      </w:r>
      <w:r>
        <w:rPr>
          <w:bCs/>
          <w:color w:val="000000"/>
          <w:szCs w:val="28"/>
        </w:rPr>
        <w:t xml:space="preserve">№ </w:t>
      </w:r>
      <w:r>
        <w:rPr>
          <w:bCs/>
          <w:color w:val="000000"/>
          <w:szCs w:val="28"/>
          <w:lang w:val="ru-RU"/>
        </w:rPr>
        <w:t xml:space="preserve">116-ФЗ  </w:t>
      </w:r>
      <w:r>
        <w:rPr>
          <w:bCs/>
          <w:color w:val="000000"/>
          <w:szCs w:val="28"/>
        </w:rPr>
        <w:t>«О промышленной безопасности опасных производственных объектов»</w:t>
      </w:r>
      <w:r>
        <w:rPr>
          <w:bCs/>
          <w:color w:val="000000"/>
          <w:szCs w:val="28"/>
          <w:lang w:val="ru-RU"/>
        </w:rPr>
        <w:t xml:space="preserve"> </w:t>
      </w:r>
      <w:r>
        <w:rPr>
          <w:bCs/>
          <w:color w:val="000000"/>
          <w:szCs w:val="28"/>
        </w:rPr>
        <w:t>(с изменениями и дополнениями).</w:t>
      </w:r>
    </w:p>
    <w:p>
      <w:pPr>
        <w:pStyle w:val="Normal"/>
        <w:numPr>
          <w:ilvl w:val="0"/>
          <w:numId w:val="17"/>
        </w:numPr>
        <w:tabs>
          <w:tab w:val="clear" w:pos="709"/>
          <w:tab w:val="left" w:pos="-140" w:leader="none"/>
          <w:tab w:val="left" w:pos="1120" w:leader="none"/>
          <w:tab w:val="left" w:pos="2340" w:leader="none"/>
        </w:tabs>
        <w:ind w:left="0" w:right="-1" w:firstLine="700"/>
        <w:jc w:val="both"/>
        <w:rPr/>
      </w:pPr>
      <w:r>
        <w:rPr>
          <w:bCs/>
          <w:color w:val="000000"/>
          <w:szCs w:val="28"/>
          <w:lang w:val="ru-RU"/>
        </w:rPr>
        <w:t>Федеральный закон от 21.</w:t>
      </w:r>
      <w:r>
        <w:rPr>
          <w:bCs/>
          <w:color w:val="000000"/>
          <w:szCs w:val="28"/>
        </w:rPr>
        <w:t>12</w:t>
      </w:r>
      <w:r>
        <w:rPr>
          <w:bCs/>
          <w:color w:val="000000"/>
          <w:szCs w:val="28"/>
          <w:lang w:val="ru-RU"/>
        </w:rPr>
        <w:t>.</w:t>
      </w:r>
      <w:r>
        <w:rPr>
          <w:bCs/>
          <w:color w:val="000000"/>
          <w:szCs w:val="28"/>
        </w:rPr>
        <w:t>1994</w:t>
      </w:r>
      <w:r>
        <w:rPr>
          <w:bCs/>
          <w:color w:val="000000"/>
          <w:szCs w:val="28"/>
          <w:lang w:val="ru-RU"/>
        </w:rPr>
        <w:t xml:space="preserve"> </w:t>
      </w:r>
      <w:r>
        <w:rPr>
          <w:bCs/>
          <w:color w:val="000000"/>
          <w:szCs w:val="28"/>
        </w:rPr>
        <w:t xml:space="preserve">№ </w:t>
      </w:r>
      <w:r>
        <w:rPr>
          <w:bCs/>
          <w:color w:val="000000"/>
          <w:szCs w:val="28"/>
          <w:lang w:val="ru-RU"/>
        </w:rPr>
        <w:t xml:space="preserve">68-ФЗ  </w:t>
      </w:r>
      <w:r>
        <w:rPr>
          <w:bCs/>
          <w:color w:val="000000"/>
          <w:szCs w:val="28"/>
        </w:rPr>
        <w:t>«О защите населения и территорий от чрезвычайных ситуаций природного и техногенного характера»</w:t>
      </w:r>
      <w:r>
        <w:rPr>
          <w:bCs/>
          <w:color w:val="000000"/>
          <w:szCs w:val="28"/>
          <w:lang w:val="ru-RU"/>
        </w:rPr>
        <w:t xml:space="preserve"> </w:t>
      </w:r>
      <w:r>
        <w:rPr>
          <w:bCs/>
          <w:color w:val="000000"/>
          <w:szCs w:val="28"/>
        </w:rPr>
        <w:t>(с изменениями и дополнениями).</w:t>
      </w:r>
    </w:p>
    <w:p>
      <w:pPr>
        <w:pStyle w:val="Normal"/>
        <w:numPr>
          <w:ilvl w:val="0"/>
          <w:numId w:val="17"/>
        </w:numPr>
        <w:tabs>
          <w:tab w:val="clear" w:pos="709"/>
          <w:tab w:val="left" w:pos="-140" w:leader="none"/>
          <w:tab w:val="left" w:pos="1120" w:leader="none"/>
          <w:tab w:val="left" w:pos="2340" w:leader="none"/>
        </w:tabs>
        <w:ind w:left="0" w:right="-1" w:firstLine="700"/>
        <w:jc w:val="both"/>
        <w:rPr/>
      </w:pPr>
      <w:r>
        <w:rPr>
          <w:bCs/>
          <w:color w:val="000000"/>
          <w:szCs w:val="28"/>
          <w:lang w:val="ru-RU"/>
        </w:rPr>
        <w:t>Федеральный закон от 30.</w:t>
      </w:r>
      <w:r>
        <w:rPr>
          <w:bCs/>
          <w:color w:val="000000"/>
          <w:szCs w:val="28"/>
        </w:rPr>
        <w:t>12</w:t>
      </w:r>
      <w:r>
        <w:rPr>
          <w:bCs/>
          <w:color w:val="000000"/>
          <w:szCs w:val="28"/>
          <w:lang w:val="ru-RU"/>
        </w:rPr>
        <w:t>.</w:t>
      </w:r>
      <w:r>
        <w:rPr>
          <w:bCs/>
          <w:color w:val="000000"/>
          <w:szCs w:val="28"/>
        </w:rPr>
        <w:t>2009</w:t>
      </w:r>
      <w:r>
        <w:rPr>
          <w:bCs/>
          <w:color w:val="000000"/>
          <w:szCs w:val="28"/>
          <w:lang w:val="ru-RU"/>
        </w:rPr>
        <w:t xml:space="preserve"> </w:t>
      </w:r>
      <w:r>
        <w:rPr>
          <w:bCs/>
          <w:color w:val="000000"/>
          <w:szCs w:val="28"/>
        </w:rPr>
        <w:t>№ 384</w:t>
      </w:r>
      <w:r>
        <w:rPr>
          <w:bCs/>
          <w:color w:val="000000"/>
          <w:szCs w:val="28"/>
          <w:lang w:val="ru-RU"/>
        </w:rPr>
        <w:t xml:space="preserve">-ФЗ  </w:t>
      </w:r>
      <w:r>
        <w:rPr>
          <w:bCs/>
          <w:color w:val="000000"/>
          <w:szCs w:val="28"/>
        </w:rPr>
        <w:t>«Технический регламент о безопасности зданий и сооружений»</w:t>
      </w:r>
      <w:r>
        <w:rPr>
          <w:bCs/>
          <w:color w:val="000000"/>
          <w:szCs w:val="28"/>
          <w:lang w:val="ru-RU"/>
        </w:rPr>
        <w:t xml:space="preserve"> </w:t>
      </w:r>
      <w:r>
        <w:rPr>
          <w:bCs/>
          <w:color w:val="000000"/>
          <w:szCs w:val="28"/>
        </w:rPr>
        <w:t>(с изменениями и дополнениями).</w:t>
      </w:r>
    </w:p>
    <w:p>
      <w:pPr>
        <w:pStyle w:val="Normal"/>
        <w:numPr>
          <w:ilvl w:val="0"/>
          <w:numId w:val="17"/>
        </w:numPr>
        <w:tabs>
          <w:tab w:val="clear" w:pos="709"/>
          <w:tab w:val="left" w:pos="-140" w:leader="none"/>
          <w:tab w:val="left" w:pos="1120" w:leader="none"/>
          <w:tab w:val="left" w:pos="2340" w:leader="none"/>
        </w:tabs>
        <w:ind w:left="0" w:right="-1" w:firstLine="700"/>
        <w:jc w:val="both"/>
        <w:rPr/>
      </w:pPr>
      <w:r>
        <w:rPr>
          <w:color w:val="000000"/>
          <w:szCs w:val="28"/>
          <w:lang w:val="ru-RU"/>
        </w:rPr>
        <w:t>Постановление Кабинета Министров РТ от 26 января 2009 г. №42 «Об установлении уровня социальных гарантий обеспеченности общественной инфраструктурой, социальными услугами до 2024 года»</w:t>
      </w:r>
      <w:r>
        <w:rPr>
          <w:color w:val="000000"/>
          <w:szCs w:val="28"/>
        </w:rPr>
        <w:t xml:space="preserve"> </w:t>
      </w:r>
      <w:r>
        <w:rPr>
          <w:color w:val="000000"/>
          <w:szCs w:val="28"/>
          <w:lang w:val="ru-RU"/>
        </w:rPr>
        <w:t>(с изменениями и дополнениями).</w:t>
      </w:r>
      <w:r>
        <w:rPr>
          <w:color w:val="000000"/>
          <w:szCs w:val="28"/>
        </w:rPr>
        <w:t xml:space="preserve"> </w:t>
      </w:r>
    </w:p>
    <w:p>
      <w:pPr>
        <w:pStyle w:val="Normal"/>
        <w:numPr>
          <w:ilvl w:val="0"/>
          <w:numId w:val="17"/>
        </w:numPr>
        <w:tabs>
          <w:tab w:val="clear" w:pos="709"/>
          <w:tab w:val="left" w:pos="-140" w:leader="none"/>
          <w:tab w:val="left" w:pos="1120" w:leader="none"/>
          <w:tab w:val="left" w:pos="2340" w:leader="none"/>
        </w:tabs>
        <w:ind w:left="0" w:right="-1" w:firstLine="700"/>
        <w:jc w:val="both"/>
        <w:rPr/>
      </w:pPr>
      <w:r>
        <w:rPr>
          <w:color w:val="000000"/>
          <w:szCs w:val="28"/>
          <w:lang w:val="ru-RU"/>
        </w:rPr>
        <w:t xml:space="preserve">Постановление Кабинета Министров РТ от 11 </w:t>
      </w:r>
      <w:r>
        <w:rPr>
          <w:color w:val="000000"/>
          <w:szCs w:val="28"/>
        </w:rPr>
        <w:t>октяб</w:t>
      </w:r>
      <w:r>
        <w:rPr>
          <w:color w:val="000000"/>
          <w:szCs w:val="28"/>
          <w:lang w:val="ru-RU"/>
        </w:rPr>
        <w:t>ря 200</w:t>
      </w:r>
      <w:r>
        <w:rPr>
          <w:color w:val="000000"/>
          <w:szCs w:val="28"/>
        </w:rPr>
        <w:t>4</w:t>
      </w:r>
      <w:r>
        <w:rPr>
          <w:color w:val="000000"/>
          <w:szCs w:val="28"/>
          <w:lang w:val="ru-RU"/>
        </w:rPr>
        <w:t> г. №</w:t>
      </w:r>
      <w:r>
        <w:rPr>
          <w:color w:val="000000"/>
          <w:szCs w:val="28"/>
        </w:rPr>
        <w:t xml:space="preserve"> 447</w:t>
      </w:r>
      <w:r>
        <w:rPr>
          <w:color w:val="000000"/>
          <w:szCs w:val="28"/>
          <w:lang w:val="ru-RU"/>
        </w:rPr>
        <w:t xml:space="preserve"> «</w:t>
      </w:r>
      <w:r>
        <w:rPr>
          <w:color w:val="000000"/>
          <w:szCs w:val="28"/>
        </w:rPr>
        <w:t>Об утверждении Плана привлечения сил и средств пожарной охраны</w:t>
        <w:br/>
        <w:t>для тушения крупных пожаров, ликвидации чрезвычайных ситуаций</w:t>
        <w:br/>
        <w:t>и аварий на территории Республики Татарстан</w:t>
      </w:r>
      <w:r>
        <w:rPr>
          <w:color w:val="000000"/>
          <w:szCs w:val="28"/>
          <w:lang w:val="ru-RU"/>
        </w:rPr>
        <w:t>».</w:t>
      </w:r>
    </w:p>
    <w:p>
      <w:pPr>
        <w:pStyle w:val="Normal"/>
        <w:numPr>
          <w:ilvl w:val="0"/>
          <w:numId w:val="17"/>
        </w:numPr>
        <w:tabs>
          <w:tab w:val="clear" w:pos="709"/>
          <w:tab w:val="left" w:pos="-140" w:leader="none"/>
          <w:tab w:val="left" w:pos="1120" w:leader="none"/>
          <w:tab w:val="left" w:pos="2340" w:leader="none"/>
        </w:tabs>
        <w:ind w:left="0" w:right="-1" w:firstLine="700"/>
        <w:jc w:val="both"/>
        <w:rPr/>
      </w:pPr>
      <w:r>
        <w:rPr>
          <w:color w:val="000000"/>
          <w:szCs w:val="28"/>
          <w:lang w:val="ru-RU"/>
        </w:rPr>
        <w:t>Закон Республики Татарстан от 28.07.2004г. № 45-ЗРТ «О местном самоуправлении в Республике Татарстан»</w:t>
      </w:r>
      <w:r>
        <w:rPr>
          <w:color w:val="000000"/>
          <w:szCs w:val="28"/>
        </w:rPr>
        <w:t xml:space="preserve"> </w:t>
      </w:r>
      <w:r>
        <w:rPr>
          <w:color w:val="000000"/>
          <w:szCs w:val="28"/>
          <w:lang w:val="ru-RU"/>
        </w:rPr>
        <w:t>(с изменениями и дополнениями).</w:t>
      </w:r>
    </w:p>
    <w:p>
      <w:pPr>
        <w:pStyle w:val="Normal"/>
        <w:numPr>
          <w:ilvl w:val="0"/>
          <w:numId w:val="17"/>
        </w:numPr>
        <w:tabs>
          <w:tab w:val="clear" w:pos="709"/>
          <w:tab w:val="left" w:pos="-140" w:leader="none"/>
          <w:tab w:val="left" w:pos="1120" w:leader="none"/>
          <w:tab w:val="left" w:pos="2340" w:leader="none"/>
        </w:tabs>
        <w:ind w:left="0" w:right="-1" w:firstLine="700"/>
        <w:jc w:val="both"/>
        <w:rPr/>
      </w:pPr>
      <w:r>
        <w:rPr>
          <w:color w:val="000000"/>
          <w:szCs w:val="28"/>
          <w:lang w:val="ru-RU"/>
        </w:rPr>
        <w:t xml:space="preserve"> </w:t>
      </w:r>
      <w:r>
        <w:rPr>
          <w:color w:val="000000"/>
          <w:szCs w:val="28"/>
          <w:lang w:val="ru-RU"/>
        </w:rPr>
        <w:t xml:space="preserve">Закон Республики Татарстан от </w:t>
      </w:r>
      <w:r>
        <w:rPr>
          <w:color w:val="000000"/>
          <w:szCs w:val="28"/>
        </w:rPr>
        <w:t>31 января 2005 года № 19-ЗРТ «Об установлении границ территорий и статусе муниципального образования «Верхнеуслонский муниципальный район» и муниципальных образований в его составе» (с изменениями и дополнениями).</w:t>
      </w:r>
    </w:p>
    <w:p>
      <w:pPr>
        <w:pStyle w:val="Normal"/>
        <w:numPr>
          <w:ilvl w:val="0"/>
          <w:numId w:val="17"/>
        </w:numPr>
        <w:tabs>
          <w:tab w:val="clear" w:pos="709"/>
          <w:tab w:val="left" w:pos="1120" w:leader="none"/>
          <w:tab w:val="left" w:pos="2340" w:leader="none"/>
        </w:tabs>
        <w:ind w:left="0" w:right="-1" w:firstLine="709"/>
        <w:jc w:val="both"/>
        <w:rPr/>
      </w:pPr>
      <w:r>
        <w:rPr>
          <w:color w:val="000000"/>
          <w:szCs w:val="28"/>
          <w:lang w:val="ru-RU"/>
        </w:rPr>
        <w:t xml:space="preserve">Свод правил СП 42.13330.2016 «Градостроительство. Планировка и застройка городских и сельских поселений» Актуализированная редакция </w:t>
      </w:r>
      <w:hyperlink r:id="rId156">
        <w:r>
          <w:rPr>
            <w:rStyle w:val="-"/>
            <w:color w:val="000000"/>
            <w:szCs w:val="28"/>
            <w:lang w:val="ru-RU"/>
          </w:rPr>
          <w:t>СНиП 2.07.01-89*</w:t>
        </w:r>
      </w:hyperlink>
      <w:r>
        <w:rPr>
          <w:color w:val="000000"/>
          <w:szCs w:val="28"/>
        </w:rPr>
        <w:t xml:space="preserve"> (утв. приказом Министерства строительства и жилищно-коммунального хозяйства РФ от 30 декабря 2016 г. № 1034/пр) (с изменениями и дополнениями).</w:t>
      </w:r>
    </w:p>
    <w:p>
      <w:pPr>
        <w:pStyle w:val="Normal"/>
        <w:numPr>
          <w:ilvl w:val="0"/>
          <w:numId w:val="17"/>
        </w:numPr>
        <w:tabs>
          <w:tab w:val="clear" w:pos="709"/>
          <w:tab w:val="left" w:pos="-140" w:leader="none"/>
          <w:tab w:val="left" w:pos="1120" w:leader="none"/>
          <w:tab w:val="left" w:pos="2340" w:leader="none"/>
        </w:tabs>
        <w:ind w:left="0" w:right="-1" w:firstLine="700"/>
        <w:jc w:val="both"/>
        <w:rPr/>
      </w:pPr>
      <w:r>
        <w:rPr>
          <w:color w:val="000000"/>
          <w:szCs w:val="28"/>
          <w:lang w:val="ru-RU"/>
        </w:rPr>
        <w:t>Республиканские нормативы градостроительного проектирования Республики Татарстан (</w:t>
      </w:r>
      <w:r>
        <w:rPr>
          <w:color w:val="000000"/>
          <w:szCs w:val="28"/>
        </w:rPr>
        <w:t>у</w:t>
      </w:r>
      <w:r>
        <w:rPr>
          <w:color w:val="000000"/>
          <w:szCs w:val="28"/>
          <w:lang w:val="ru-RU"/>
        </w:rPr>
        <w:t xml:space="preserve">тв. </w:t>
      </w:r>
      <w:r>
        <w:rPr>
          <w:bCs/>
          <w:color w:val="000000"/>
          <w:szCs w:val="28"/>
          <w:lang w:val="ru-RU"/>
        </w:rPr>
        <w:t>Постановлением Кабинета Министров № 1071 от 27.12.2013 г.)</w:t>
      </w:r>
      <w:r>
        <w:rPr>
          <w:bCs/>
          <w:color w:val="000000"/>
          <w:szCs w:val="28"/>
        </w:rPr>
        <w:t xml:space="preserve"> </w:t>
      </w:r>
      <w:r>
        <w:rPr>
          <w:color w:val="000000"/>
          <w:szCs w:val="28"/>
          <w:lang w:val="ru-RU"/>
        </w:rPr>
        <w:t>(с изменениями и дополнениями)</w:t>
      </w:r>
      <w:r>
        <w:rPr>
          <w:bCs/>
          <w:color w:val="000000"/>
          <w:szCs w:val="28"/>
          <w:lang w:val="ru-RU"/>
        </w:rPr>
        <w:t>.</w:t>
      </w:r>
    </w:p>
    <w:p>
      <w:pPr>
        <w:pStyle w:val="Normal"/>
        <w:numPr>
          <w:ilvl w:val="0"/>
          <w:numId w:val="17"/>
        </w:numPr>
        <w:tabs>
          <w:tab w:val="clear" w:pos="709"/>
          <w:tab w:val="left" w:pos="-140" w:leader="none"/>
          <w:tab w:val="left" w:pos="1120" w:leader="none"/>
          <w:tab w:val="left" w:pos="2340" w:leader="none"/>
        </w:tabs>
        <w:ind w:left="0" w:right="-1" w:firstLine="700"/>
        <w:jc w:val="both"/>
        <w:rPr/>
      </w:pPr>
      <w:r>
        <w:rPr>
          <w:color w:val="000000"/>
          <w:szCs w:val="28"/>
          <w:lang w:val="ru-RU"/>
        </w:rPr>
        <w:t>Свод правил СП 62.13330.2011 «Газораспределительные системы»</w:t>
      </w:r>
      <w:r>
        <w:rPr>
          <w:color w:val="000000"/>
          <w:szCs w:val="28"/>
        </w:rPr>
        <w:t xml:space="preserve">. </w:t>
      </w:r>
      <w:r>
        <w:rPr>
          <w:color w:val="000000"/>
          <w:szCs w:val="28"/>
          <w:lang w:val="ru-RU"/>
        </w:rPr>
        <w:t>Актуализированная редакция </w:t>
      </w:r>
      <w:r>
        <w:fldChar w:fldCharType="begin"/>
      </w:r>
      <w:r>
        <w:rPr>
          <w:rStyle w:val="-"/>
          <w:szCs w:val="28"/>
          <w:color w:val="000000"/>
          <w:lang w:val="ru-RU"/>
        </w:rPr>
        <w:instrText xml:space="preserve"> HYPERLINK "http://demo.garant.ru/" \l "/document/3923575/entry/0"</w:instrText>
      </w:r>
      <w:r>
        <w:rPr>
          <w:rStyle w:val="-"/>
          <w:szCs w:val="28"/>
          <w:color w:val="000000"/>
          <w:lang w:val="ru-RU"/>
        </w:rPr>
        <w:fldChar w:fldCharType="separate"/>
      </w:r>
      <w:r>
        <w:rPr>
          <w:rStyle w:val="-"/>
          <w:color w:val="000000"/>
          <w:szCs w:val="28"/>
          <w:lang w:val="ru-RU"/>
        </w:rPr>
        <w:t>СНиП 42-01-2002</w:t>
      </w:r>
      <w:r>
        <w:rPr>
          <w:rStyle w:val="-"/>
          <w:szCs w:val="28"/>
          <w:color w:val="000000"/>
          <w:lang w:val="ru-RU"/>
        </w:rPr>
        <w:fldChar w:fldCharType="end"/>
      </w:r>
      <w:r>
        <w:rPr>
          <w:color w:val="000000"/>
          <w:szCs w:val="28"/>
          <w:lang w:val="ru-RU"/>
        </w:rPr>
        <w:t xml:space="preserve"> (утв. </w:t>
      </w:r>
      <w:r>
        <w:fldChar w:fldCharType="begin"/>
      </w:r>
      <w:r>
        <w:rPr>
          <w:rStyle w:val="-"/>
          <w:szCs w:val="28"/>
          <w:color w:val="000000"/>
          <w:lang w:val="ru-RU"/>
        </w:rPr>
        <w:instrText xml:space="preserve"> HYPERLINK "http://demo.garant.ru/" \l "/document/2325080/entry/0"</w:instrText>
      </w:r>
      <w:r>
        <w:rPr>
          <w:rStyle w:val="-"/>
          <w:szCs w:val="28"/>
          <w:color w:val="000000"/>
          <w:lang w:val="ru-RU"/>
        </w:rPr>
        <w:fldChar w:fldCharType="separate"/>
      </w:r>
      <w:r>
        <w:rPr>
          <w:rStyle w:val="-"/>
          <w:color w:val="000000"/>
          <w:szCs w:val="28"/>
          <w:lang w:val="ru-RU"/>
        </w:rPr>
        <w:t>Приказом</w:t>
      </w:r>
      <w:r>
        <w:rPr>
          <w:rStyle w:val="-"/>
          <w:szCs w:val="28"/>
          <w:color w:val="000000"/>
          <w:lang w:val="ru-RU"/>
        </w:rPr>
        <w:fldChar w:fldCharType="end"/>
      </w:r>
      <w:r>
        <w:rPr>
          <w:color w:val="000000"/>
          <w:szCs w:val="28"/>
          <w:lang w:val="ru-RU"/>
        </w:rPr>
        <w:t> Министерства регионального развития РФ от 27.12.2010 г. N 780)</w:t>
      </w:r>
      <w:r>
        <w:rPr>
          <w:color w:val="000000"/>
          <w:szCs w:val="28"/>
        </w:rPr>
        <w:t xml:space="preserve"> </w:t>
      </w:r>
      <w:r>
        <w:rPr>
          <w:color w:val="000000"/>
          <w:szCs w:val="28"/>
          <w:lang w:val="ru-RU"/>
        </w:rPr>
        <w:t>(с изменениями и дополнениями).</w:t>
      </w:r>
    </w:p>
    <w:p>
      <w:pPr>
        <w:pStyle w:val="Normal"/>
        <w:numPr>
          <w:ilvl w:val="0"/>
          <w:numId w:val="17"/>
        </w:numPr>
        <w:tabs>
          <w:tab w:val="clear" w:pos="709"/>
          <w:tab w:val="left" w:pos="100" w:leader="none"/>
          <w:tab w:val="left" w:pos="1200" w:leader="none"/>
          <w:tab w:val="left" w:pos="1260" w:leader="none"/>
          <w:tab w:val="left" w:pos="2340" w:leader="none"/>
        </w:tabs>
        <w:ind w:left="0" w:right="-1" w:firstLine="700"/>
        <w:jc w:val="both"/>
        <w:rPr/>
      </w:pPr>
      <w:r>
        <w:rPr>
          <w:color w:val="000000"/>
          <w:szCs w:val="28"/>
          <w:lang w:val="ru-RU"/>
        </w:rPr>
        <w:t>СП 42-101-2003 «Общие положения по проектированию и строительству газораспределительных систем из металлических и полиэтиленовых труб»</w:t>
      </w:r>
      <w:r>
        <w:rPr>
          <w:color w:val="000000"/>
          <w:szCs w:val="28"/>
        </w:rPr>
        <w:t>.</w:t>
      </w:r>
    </w:p>
    <w:p>
      <w:pPr>
        <w:pStyle w:val="Normal"/>
        <w:numPr>
          <w:ilvl w:val="0"/>
          <w:numId w:val="17"/>
        </w:numPr>
        <w:tabs>
          <w:tab w:val="clear" w:pos="709"/>
          <w:tab w:val="left" w:pos="0" w:leader="none"/>
          <w:tab w:val="left" w:pos="1260" w:leader="none"/>
          <w:tab w:val="left" w:pos="2340" w:leader="none"/>
        </w:tabs>
        <w:ind w:left="0" w:firstLine="720"/>
        <w:jc w:val="both"/>
        <w:rPr/>
      </w:pPr>
      <w:r>
        <w:rPr>
          <w:color w:val="000000"/>
          <w:szCs w:val="28"/>
          <w:lang w:val="ru-RU"/>
        </w:rPr>
        <w:t xml:space="preserve">СанПиН 2.2.1/2.1.1.1200-03 </w:t>
      </w:r>
      <w:r>
        <w:rPr>
          <w:color w:val="000000"/>
          <w:szCs w:val="28"/>
        </w:rPr>
        <w:t>«</w:t>
      </w:r>
      <w:r>
        <w:rPr>
          <w:color w:val="000000"/>
          <w:szCs w:val="28"/>
          <w:lang w:val="ru-RU"/>
        </w:rPr>
        <w:t>Санитарно-защитные зоны и санитарная классификация предприятий, сооружений и иных объектов</w:t>
      </w:r>
      <w:r>
        <w:rPr>
          <w:color w:val="000000"/>
          <w:szCs w:val="28"/>
        </w:rPr>
        <w:t>» - новая редакция</w:t>
      </w:r>
      <w:r>
        <w:rPr>
          <w:color w:val="000000"/>
          <w:szCs w:val="28"/>
          <w:lang w:val="ru-RU"/>
        </w:rPr>
        <w:t xml:space="preserve"> (утв. </w:t>
      </w:r>
      <w:hyperlink w:anchor="sub_0">
        <w:r>
          <w:rPr>
            <w:rStyle w:val="-"/>
            <w:color w:val="000000"/>
            <w:szCs w:val="28"/>
          </w:rPr>
          <w:t>П</w:t>
        </w:r>
        <w:r>
          <w:rPr>
            <w:rStyle w:val="-"/>
            <w:color w:val="000000"/>
            <w:szCs w:val="28"/>
            <w:lang w:val="ru-RU"/>
          </w:rPr>
          <w:t>остановлением</w:t>
        </w:r>
      </w:hyperlink>
      <w:r>
        <w:rPr>
          <w:color w:val="000000"/>
          <w:szCs w:val="28"/>
          <w:lang w:val="ru-RU"/>
        </w:rPr>
        <w:t xml:space="preserve"> Главного государственного санитарного врача РФ от 25 сентября 2007 г. N 74) (с изменениями </w:t>
      </w:r>
      <w:r>
        <w:rPr>
          <w:color w:val="000000"/>
          <w:szCs w:val="28"/>
        </w:rPr>
        <w:t>на 25.04.2014 г.).</w:t>
      </w:r>
    </w:p>
    <w:p>
      <w:pPr>
        <w:pStyle w:val="Normal"/>
        <w:numPr>
          <w:ilvl w:val="0"/>
          <w:numId w:val="17"/>
        </w:numPr>
        <w:tabs>
          <w:tab w:val="clear" w:pos="709"/>
          <w:tab w:val="left" w:pos="100" w:leader="none"/>
          <w:tab w:val="left" w:pos="1200" w:leader="none"/>
          <w:tab w:val="left" w:pos="1260" w:leader="none"/>
          <w:tab w:val="left" w:pos="2340" w:leader="none"/>
        </w:tabs>
        <w:ind w:left="0" w:right="-1" w:firstLine="700"/>
        <w:jc w:val="both"/>
        <w:rPr/>
      </w:pPr>
      <w:r>
        <w:rPr>
          <w:color w:val="000000"/>
          <w:szCs w:val="28"/>
          <w:lang w:val="ru-RU"/>
        </w:rPr>
        <w:t>СП</w:t>
      </w:r>
      <w:r>
        <w:rPr>
          <w:color w:val="000000"/>
          <w:szCs w:val="28"/>
        </w:rPr>
        <w:t xml:space="preserve"> 30.13330.2020 </w:t>
      </w:r>
      <w:r>
        <w:rPr>
          <w:color w:val="000000"/>
          <w:szCs w:val="28"/>
          <w:lang w:val="ru-RU"/>
        </w:rPr>
        <w:t xml:space="preserve">«Внутренний водопровод и канализация зданий» </w:t>
      </w:r>
      <w:r>
        <w:rPr>
          <w:color w:val="000000"/>
          <w:szCs w:val="28"/>
        </w:rPr>
        <w:t>(утв. приказом Министерства строительства и жилищно-коммунального хозяйства РФ от 30.12.2020 №920/пр).</w:t>
      </w:r>
    </w:p>
    <w:p>
      <w:pPr>
        <w:pStyle w:val="Normal"/>
        <w:numPr>
          <w:ilvl w:val="0"/>
          <w:numId w:val="17"/>
        </w:numPr>
        <w:tabs>
          <w:tab w:val="clear" w:pos="709"/>
          <w:tab w:val="left" w:pos="100" w:leader="none"/>
          <w:tab w:val="left" w:pos="1200" w:leader="none"/>
          <w:tab w:val="left" w:pos="1260" w:leader="none"/>
          <w:tab w:val="left" w:pos="2340" w:leader="none"/>
        </w:tabs>
        <w:ind w:left="0" w:right="-1" w:firstLine="700"/>
        <w:jc w:val="both"/>
        <w:rPr/>
      </w:pPr>
      <w:r>
        <w:rPr>
          <w:color w:val="000000"/>
          <w:szCs w:val="28"/>
          <w:lang w:val="ru-RU"/>
        </w:rPr>
        <w:t>СП</w:t>
      </w:r>
      <w:r>
        <w:rPr>
          <w:color w:val="000000"/>
          <w:szCs w:val="28"/>
        </w:rPr>
        <w:t xml:space="preserve"> 124.13330.2012 </w:t>
      </w:r>
      <w:r>
        <w:rPr>
          <w:color w:val="000000"/>
          <w:szCs w:val="28"/>
          <w:lang w:val="ru-RU"/>
        </w:rPr>
        <w:t>«Тепловые сети»</w:t>
      </w:r>
      <w:r>
        <w:rPr>
          <w:color w:val="000000"/>
          <w:szCs w:val="28"/>
        </w:rPr>
        <w:t>. Актуализированная редакция СНиП 41-02-2003 (утв. приказом Министерства регионального развития РФ от 30 июня 2012 г. № 280)</w:t>
      </w:r>
      <w:r>
        <w:rPr>
          <w:color w:val="000000"/>
          <w:szCs w:val="28"/>
          <w:lang w:val="ru-RU"/>
        </w:rPr>
        <w:t>.</w:t>
      </w:r>
    </w:p>
    <w:p>
      <w:pPr>
        <w:pStyle w:val="Normal"/>
        <w:numPr>
          <w:ilvl w:val="0"/>
          <w:numId w:val="17"/>
        </w:numPr>
        <w:tabs>
          <w:tab w:val="clear" w:pos="709"/>
          <w:tab w:val="left" w:pos="100" w:leader="none"/>
          <w:tab w:val="left" w:pos="1200" w:leader="none"/>
          <w:tab w:val="left" w:pos="1260" w:leader="none"/>
          <w:tab w:val="left" w:pos="2340" w:leader="none"/>
        </w:tabs>
        <w:ind w:left="0" w:right="-1" w:firstLine="700"/>
        <w:jc w:val="both"/>
        <w:rPr>
          <w:color w:val="000000"/>
          <w:szCs w:val="28"/>
          <w:lang w:val="ru-RU"/>
        </w:rPr>
      </w:pPr>
      <w:r>
        <w:rPr>
          <w:color w:val="000000"/>
          <w:szCs w:val="28"/>
          <w:lang w:val="ru-RU"/>
        </w:rPr>
        <w:t>РД 34.20.185-94 «Инструкция по проектированию городских электрических сетей».</w:t>
      </w:r>
    </w:p>
    <w:p>
      <w:pPr>
        <w:pStyle w:val="Normal"/>
        <w:numPr>
          <w:ilvl w:val="0"/>
          <w:numId w:val="17"/>
        </w:numPr>
        <w:tabs>
          <w:tab w:val="clear" w:pos="709"/>
          <w:tab w:val="left" w:pos="100" w:leader="none"/>
          <w:tab w:val="left" w:pos="1200" w:leader="none"/>
          <w:tab w:val="left" w:pos="1260" w:leader="none"/>
          <w:tab w:val="left" w:pos="2340" w:leader="none"/>
        </w:tabs>
        <w:ind w:left="0" w:right="-1" w:firstLine="700"/>
        <w:jc w:val="both"/>
        <w:rPr>
          <w:color w:val="000000"/>
          <w:szCs w:val="28"/>
          <w:lang w:val="ru-RU"/>
        </w:rPr>
      </w:pPr>
      <w:r>
        <w:rPr>
          <w:color w:val="000000"/>
          <w:szCs w:val="28"/>
          <w:lang w:val="ru-RU"/>
        </w:rPr>
        <w:t>СО 153-34.48.519-2002 «Правила проектирования, строительства и эксплуатации волоконно-оптических линий связи на воздушных линиях электропередачи напряжениям 0,4-35 кВ.</w:t>
      </w:r>
    </w:p>
    <w:p>
      <w:pPr>
        <w:pStyle w:val="Normal"/>
        <w:numPr>
          <w:ilvl w:val="0"/>
          <w:numId w:val="17"/>
        </w:numPr>
        <w:tabs>
          <w:tab w:val="clear" w:pos="709"/>
          <w:tab w:val="left" w:pos="142" w:leader="none"/>
          <w:tab w:val="left" w:pos="1200" w:leader="none"/>
          <w:tab w:val="left" w:pos="1260" w:leader="none"/>
          <w:tab w:val="left" w:pos="2340" w:leader="none"/>
        </w:tabs>
        <w:ind w:left="0" w:right="-1" w:firstLine="709"/>
        <w:jc w:val="both"/>
        <w:rPr/>
      </w:pPr>
      <w:r>
        <w:rPr>
          <w:color w:val="000000"/>
          <w:szCs w:val="28"/>
        </w:rPr>
        <w:t xml:space="preserve">Приказ </w:t>
      </w:r>
      <w:r>
        <w:rPr>
          <w:color w:val="000000"/>
          <w:szCs w:val="28"/>
          <w:lang w:val="ru-RU"/>
        </w:rPr>
        <w:t>Министерств</w:t>
      </w:r>
      <w:r>
        <w:rPr>
          <w:color w:val="000000"/>
          <w:szCs w:val="28"/>
        </w:rPr>
        <w:t>а</w:t>
      </w:r>
      <w:r>
        <w:rPr>
          <w:color w:val="000000"/>
          <w:szCs w:val="28"/>
          <w:lang w:val="ru-RU"/>
        </w:rPr>
        <w:t xml:space="preserve"> энергетики Российской Федерации</w:t>
      </w:r>
      <w:r>
        <w:rPr>
          <w:color w:val="000000"/>
          <w:szCs w:val="28"/>
        </w:rPr>
        <w:t xml:space="preserve"> </w:t>
      </w:r>
      <w:r>
        <w:rPr>
          <w:color w:val="000000"/>
          <w:szCs w:val="20"/>
        </w:rPr>
        <w:t>от 23 июня 2015 г. № 380 «О порядке расчета значений соотношения потребления активной и реактивной мощности для отдельных энергопринимающих устройств (групп энергопринимающих устройств) потребителей электрической энергии" (зарегистрирован Минюстом России 22 июля 2015 г. № 38151).</w:t>
      </w:r>
    </w:p>
    <w:p>
      <w:pPr>
        <w:pStyle w:val="Normal"/>
        <w:numPr>
          <w:ilvl w:val="0"/>
          <w:numId w:val="17"/>
        </w:numPr>
        <w:tabs>
          <w:tab w:val="clear" w:pos="709"/>
          <w:tab w:val="left" w:pos="-140" w:leader="none"/>
          <w:tab w:val="left" w:pos="1120" w:leader="none"/>
          <w:tab w:val="left" w:pos="2340" w:leader="none"/>
        </w:tabs>
        <w:ind w:left="0" w:right="-1" w:firstLine="700"/>
        <w:jc w:val="both"/>
        <w:rPr/>
      </w:pPr>
      <w:r>
        <w:rPr>
          <w:color w:val="000000"/>
          <w:szCs w:val="28"/>
          <w:lang w:val="ru-RU"/>
        </w:rPr>
        <w:t>Постановление Кабинета Министров Р</w:t>
      </w:r>
      <w:r>
        <w:rPr>
          <w:color w:val="000000"/>
          <w:szCs w:val="28"/>
        </w:rPr>
        <w:t>еспублики Татарстан</w:t>
      </w:r>
      <w:r>
        <w:rPr>
          <w:color w:val="000000"/>
          <w:szCs w:val="28"/>
          <w:lang w:val="ru-RU"/>
        </w:rPr>
        <w:t xml:space="preserve"> от </w:t>
      </w:r>
      <w:r>
        <w:rPr>
          <w:color w:val="000000"/>
          <w:szCs w:val="28"/>
        </w:rPr>
        <w:t>12 декабря</w:t>
      </w:r>
      <w:r>
        <w:rPr>
          <w:color w:val="000000"/>
          <w:szCs w:val="28"/>
          <w:lang w:val="ru-RU"/>
        </w:rPr>
        <w:t xml:space="preserve"> 2016 г. №</w:t>
      </w:r>
      <w:r>
        <w:rPr>
          <w:color w:val="000000"/>
          <w:szCs w:val="28"/>
        </w:rPr>
        <w:t>922</w:t>
      </w:r>
      <w:r>
        <w:rPr>
          <w:color w:val="000000"/>
          <w:szCs w:val="28"/>
          <w:lang w:val="ru-RU"/>
        </w:rPr>
        <w:t xml:space="preserve"> «</w:t>
      </w:r>
      <w:r>
        <w:rPr>
          <w:color w:val="000000"/>
          <w:szCs w:val="28"/>
        </w:rPr>
        <w:t>Об утверждении нормативов накопления твердых коммунальных отходов</w:t>
      </w:r>
      <w:r>
        <w:rPr>
          <w:color w:val="000000"/>
          <w:szCs w:val="28"/>
          <w:lang w:val="ru-RU"/>
        </w:rPr>
        <w:t>»</w:t>
      </w:r>
      <w:r>
        <w:rPr>
          <w:color w:val="000000"/>
          <w:szCs w:val="28"/>
        </w:rPr>
        <w:t xml:space="preserve"> </w:t>
      </w:r>
      <w:r>
        <w:rPr>
          <w:color w:val="000000"/>
          <w:szCs w:val="28"/>
          <w:lang w:val="ru-RU"/>
        </w:rPr>
        <w:t>(с изменениями и дополнениями).</w:t>
      </w:r>
    </w:p>
    <w:p>
      <w:pPr>
        <w:pStyle w:val="Normal"/>
        <w:numPr>
          <w:ilvl w:val="0"/>
          <w:numId w:val="17"/>
        </w:numPr>
        <w:tabs>
          <w:tab w:val="clear" w:pos="709"/>
          <w:tab w:val="left" w:pos="-140" w:leader="none"/>
          <w:tab w:val="left" w:pos="1120" w:leader="none"/>
          <w:tab w:val="left" w:pos="2340" w:leader="none"/>
        </w:tabs>
        <w:ind w:left="0" w:right="-1" w:firstLine="700"/>
        <w:jc w:val="both"/>
        <w:rPr/>
      </w:pPr>
      <w:r>
        <w:rPr>
          <w:color w:val="000000"/>
          <w:szCs w:val="28"/>
        </w:rPr>
        <w:t xml:space="preserve">Территориальная схема в области обращения с отходами, в том числе с твердыми коммунальными отходами, Республики Татарстан (утв. </w:t>
      </w:r>
      <w:r>
        <w:rPr>
          <w:bCs/>
          <w:color w:val="000000"/>
          <w:szCs w:val="28"/>
        </w:rPr>
        <w:t xml:space="preserve">Постановлением Кабинета Министров № 149 от 13.03.2018 г.) </w:t>
      </w:r>
      <w:r>
        <w:rPr>
          <w:color w:val="000000"/>
          <w:szCs w:val="28"/>
        </w:rPr>
        <w:t>(с изменениями и дополнениями)</w:t>
      </w:r>
      <w:r>
        <w:rPr>
          <w:bCs/>
          <w:color w:val="000000"/>
          <w:szCs w:val="28"/>
        </w:rPr>
        <w:t>.</w:t>
      </w:r>
    </w:p>
    <w:p>
      <w:pPr>
        <w:pStyle w:val="Normal"/>
        <w:numPr>
          <w:ilvl w:val="0"/>
          <w:numId w:val="17"/>
        </w:numPr>
        <w:tabs>
          <w:tab w:val="clear" w:pos="709"/>
          <w:tab w:val="left" w:pos="-140" w:leader="none"/>
          <w:tab w:val="left" w:pos="1120" w:leader="none"/>
          <w:tab w:val="left" w:pos="2340" w:leader="none"/>
        </w:tabs>
        <w:ind w:left="0" w:right="-1" w:firstLine="700"/>
        <w:jc w:val="both"/>
        <w:rPr/>
      </w:pPr>
      <w:r>
        <w:rPr>
          <w:color w:val="000000"/>
          <w:szCs w:val="28"/>
        </w:rPr>
        <w:t xml:space="preserve">Свод правил </w:t>
      </w:r>
      <w:r>
        <w:rPr>
          <w:color w:val="000000"/>
          <w:szCs w:val="28"/>
          <w:lang w:val="ru-RU"/>
        </w:rPr>
        <w:t>СП 14.13330.2018 «Строительство в сейсмических районах</w:t>
      </w:r>
      <w:r>
        <w:rPr>
          <w:color w:val="000000"/>
          <w:szCs w:val="28"/>
        </w:rPr>
        <w:t>»</w:t>
      </w:r>
      <w:r>
        <w:rPr>
          <w:color w:val="000000"/>
          <w:szCs w:val="28"/>
          <w:lang w:val="ru-RU"/>
        </w:rPr>
        <w:t xml:space="preserve">. Актуализированная редакция СНиП </w:t>
      </w:r>
      <w:r>
        <w:rPr>
          <w:color w:val="000000"/>
          <w:szCs w:val="28"/>
          <w:lang w:val="en-US"/>
        </w:rPr>
        <w:t>II</w:t>
      </w:r>
      <w:r>
        <w:rPr>
          <w:color w:val="000000"/>
          <w:szCs w:val="28"/>
          <w:lang w:val="ru-RU"/>
        </w:rPr>
        <w:t>-7-81</w:t>
      </w:r>
      <w:r>
        <w:rPr>
          <w:color w:val="000000"/>
          <w:szCs w:val="28"/>
        </w:rPr>
        <w:t xml:space="preserve"> (утв. приказом Министерства строительства и жилищно-коммунального хозяйства РФ от 24 мая 2018 г. № 309/пр). </w:t>
      </w:r>
    </w:p>
    <w:p>
      <w:pPr>
        <w:pStyle w:val="Normal"/>
        <w:numPr>
          <w:ilvl w:val="0"/>
          <w:numId w:val="17"/>
        </w:numPr>
        <w:tabs>
          <w:tab w:val="clear" w:pos="709"/>
          <w:tab w:val="left" w:pos="-140" w:leader="none"/>
          <w:tab w:val="left" w:pos="1120" w:leader="none"/>
          <w:tab w:val="left" w:pos="2340" w:leader="none"/>
        </w:tabs>
        <w:ind w:left="0" w:right="-1" w:firstLine="700"/>
        <w:jc w:val="both"/>
        <w:rPr/>
      </w:pPr>
      <w:r>
        <w:rPr>
          <w:color w:val="000000"/>
          <w:szCs w:val="28"/>
        </w:rPr>
        <w:t xml:space="preserve">Свод правил </w:t>
      </w:r>
      <w:r>
        <w:rPr>
          <w:bCs/>
          <w:color w:val="000000"/>
          <w:szCs w:val="28"/>
          <w:lang w:val="ru-RU"/>
        </w:rPr>
        <w:t xml:space="preserve">СП 115.13330.2016 </w:t>
      </w:r>
      <w:r>
        <w:rPr>
          <w:bCs/>
          <w:color w:val="000000"/>
          <w:szCs w:val="28"/>
        </w:rPr>
        <w:t>«</w:t>
      </w:r>
      <w:r>
        <w:rPr>
          <w:bCs/>
          <w:color w:val="000000"/>
          <w:szCs w:val="28"/>
          <w:lang w:val="ru-RU"/>
        </w:rPr>
        <w:t>Геофизика опасных природных воздействий</w:t>
      </w:r>
      <w:r>
        <w:rPr>
          <w:bCs/>
          <w:color w:val="000000"/>
          <w:szCs w:val="28"/>
        </w:rPr>
        <w:t>»</w:t>
      </w:r>
      <w:r>
        <w:rPr>
          <w:bCs/>
          <w:color w:val="000000"/>
          <w:szCs w:val="28"/>
          <w:lang w:val="ru-RU"/>
        </w:rPr>
        <w:t>. Актуализированная редакция СНиП 22-01-95</w:t>
      </w:r>
      <w:r>
        <w:rPr>
          <w:bCs/>
          <w:color w:val="000000"/>
          <w:szCs w:val="28"/>
        </w:rPr>
        <w:t xml:space="preserve"> (утв. приказом Министерства </w:t>
      </w:r>
      <w:r>
        <w:rPr>
          <w:color w:val="000000"/>
          <w:szCs w:val="28"/>
        </w:rPr>
        <w:t>строительства и жилищно-коммунального хозяйства РФ</w:t>
      </w:r>
      <w:r>
        <w:rPr>
          <w:bCs/>
          <w:color w:val="000000"/>
          <w:szCs w:val="28"/>
        </w:rPr>
        <w:t xml:space="preserve"> от 16 декабря 2016 г. № 956/пр).</w:t>
      </w:r>
    </w:p>
    <w:p>
      <w:pPr>
        <w:pStyle w:val="Normal"/>
        <w:numPr>
          <w:ilvl w:val="0"/>
          <w:numId w:val="17"/>
        </w:numPr>
        <w:tabs>
          <w:tab w:val="clear" w:pos="709"/>
          <w:tab w:val="left" w:pos="-140" w:leader="none"/>
          <w:tab w:val="left" w:pos="1120" w:leader="none"/>
          <w:tab w:val="left" w:pos="2340" w:leader="none"/>
        </w:tabs>
        <w:ind w:left="0" w:right="-1" w:firstLine="700"/>
        <w:jc w:val="both"/>
        <w:rPr/>
      </w:pPr>
      <w:r>
        <w:rPr>
          <w:color w:val="000000"/>
          <w:szCs w:val="28"/>
        </w:rPr>
        <w:t xml:space="preserve">Свод правил </w:t>
      </w:r>
      <w:r>
        <w:rPr>
          <w:color w:val="000000"/>
          <w:szCs w:val="28"/>
          <w:lang w:val="ru-RU"/>
        </w:rPr>
        <w:t>СП 31.13330.2021</w:t>
      </w:r>
      <w:r>
        <w:rPr>
          <w:color w:val="000000"/>
          <w:szCs w:val="28"/>
        </w:rPr>
        <w:t xml:space="preserve"> «</w:t>
      </w:r>
      <w:r>
        <w:rPr>
          <w:bCs/>
          <w:color w:val="000000"/>
          <w:szCs w:val="28"/>
        </w:rPr>
        <w:t xml:space="preserve">Водоснабжение. Наружные сети и сооружения». Актуализированная редакция СНиП 2.04.02-84 (утв. приказом </w:t>
      </w:r>
      <w:r>
        <w:rPr>
          <w:color w:val="000000"/>
        </w:rPr>
        <w:t>Министерства строительства и жилищно-коммунального хозяйства РФ от 27.12.2021г. № 1016/пр</w:t>
      </w:r>
      <w:r>
        <w:rPr>
          <w:bCs/>
          <w:color w:val="000000"/>
          <w:szCs w:val="28"/>
        </w:rPr>
        <w:t>).</w:t>
      </w:r>
    </w:p>
    <w:p>
      <w:pPr>
        <w:pStyle w:val="Normal"/>
        <w:numPr>
          <w:ilvl w:val="0"/>
          <w:numId w:val="17"/>
        </w:numPr>
        <w:tabs>
          <w:tab w:val="clear" w:pos="709"/>
          <w:tab w:val="left" w:pos="-140" w:leader="none"/>
          <w:tab w:val="left" w:pos="1120" w:leader="none"/>
          <w:tab w:val="left" w:pos="2340" w:leader="none"/>
        </w:tabs>
        <w:ind w:left="0" w:right="-1" w:firstLine="700"/>
        <w:jc w:val="both"/>
        <w:rPr>
          <w:color w:val="000000"/>
        </w:rPr>
      </w:pPr>
      <w:r>
        <w:rPr>
          <w:color w:val="000000"/>
        </w:rPr>
        <w:t>Свод правил СП 8.13130.2020 «Системы противопожарной защиты. Наружное противопожарное водоснабжение. Требование пожарной безопасности» (утв. Министерством РФ по делам гражданской обороны, чрезвычайным ситуациям и ликвидации последствий стихийных бедствий от 30.03.2020г. №225).</w:t>
      </w:r>
    </w:p>
    <w:p>
      <w:pPr>
        <w:pStyle w:val="Normal"/>
        <w:numPr>
          <w:ilvl w:val="0"/>
          <w:numId w:val="17"/>
        </w:numPr>
        <w:tabs>
          <w:tab w:val="clear" w:pos="709"/>
          <w:tab w:val="left" w:pos="-140" w:leader="none"/>
          <w:tab w:val="left" w:pos="1120" w:leader="none"/>
          <w:tab w:val="left" w:pos="2340" w:leader="none"/>
        </w:tabs>
        <w:ind w:left="0" w:right="-1" w:firstLine="700"/>
        <w:jc w:val="both"/>
        <w:rPr/>
      </w:pPr>
      <w:r>
        <w:rPr>
          <w:bCs/>
          <w:color w:val="000000"/>
          <w:szCs w:val="28"/>
          <w:lang w:val="ru-RU"/>
        </w:rPr>
        <w:t>П 70.0010.09-90 Пособие по проектированию систем внутреннего и наружного пожаротушения технически несложных объектов</w:t>
      </w:r>
      <w:r>
        <w:rPr>
          <w:bCs/>
          <w:color w:val="000000"/>
          <w:szCs w:val="28"/>
        </w:rPr>
        <w:t>.</w:t>
      </w:r>
    </w:p>
    <w:p>
      <w:pPr>
        <w:pStyle w:val="Normal"/>
        <w:numPr>
          <w:ilvl w:val="0"/>
          <w:numId w:val="17"/>
        </w:numPr>
        <w:tabs>
          <w:tab w:val="clear" w:pos="709"/>
          <w:tab w:val="left" w:pos="-140" w:leader="none"/>
          <w:tab w:val="left" w:pos="1120" w:leader="none"/>
          <w:tab w:val="left" w:pos="2340" w:leader="none"/>
        </w:tabs>
        <w:ind w:left="0" w:firstLine="700"/>
        <w:jc w:val="both"/>
        <w:rPr/>
      </w:pPr>
      <w:r>
        <w:rPr>
          <w:bCs/>
          <w:color w:val="000000"/>
          <w:szCs w:val="28"/>
        </w:rPr>
        <w:t xml:space="preserve">Свод правил </w:t>
      </w:r>
      <w:r>
        <w:rPr>
          <w:bCs/>
          <w:color w:val="000000"/>
          <w:szCs w:val="28"/>
          <w:lang w:val="ru-RU"/>
        </w:rPr>
        <w:t xml:space="preserve">СП 30.13330.2020 Внутренний водопровод и канализация зданий </w:t>
      </w:r>
      <w:r>
        <w:rPr>
          <w:bCs/>
          <w:color w:val="000000"/>
          <w:szCs w:val="28"/>
        </w:rPr>
        <w:t xml:space="preserve">(утв. приказом </w:t>
      </w:r>
      <w:r>
        <w:rPr>
          <w:color w:val="000000"/>
          <w:szCs w:val="28"/>
        </w:rPr>
        <w:t>Министерства строительства и жилищно-коммунального хозяйства РФ</w:t>
      </w:r>
      <w:r>
        <w:rPr>
          <w:bCs/>
          <w:color w:val="000000"/>
          <w:szCs w:val="28"/>
        </w:rPr>
        <w:t xml:space="preserve"> от 30 декабря 2020 г. № 920/пр).</w:t>
      </w:r>
    </w:p>
    <w:p>
      <w:pPr>
        <w:pStyle w:val="Normal"/>
        <w:numPr>
          <w:ilvl w:val="0"/>
          <w:numId w:val="17"/>
        </w:numPr>
        <w:tabs>
          <w:tab w:val="clear" w:pos="709"/>
          <w:tab w:val="left" w:pos="-140" w:leader="none"/>
          <w:tab w:val="left" w:pos="1120" w:leader="none"/>
          <w:tab w:val="left" w:pos="2340" w:leader="none"/>
        </w:tabs>
        <w:ind w:left="0" w:right="-1" w:firstLine="700"/>
        <w:jc w:val="both"/>
        <w:rPr/>
      </w:pPr>
      <w:r>
        <w:rPr>
          <w:bCs/>
          <w:color w:val="000000"/>
          <w:szCs w:val="28"/>
        </w:rPr>
        <w:t xml:space="preserve">Свод правил </w:t>
      </w:r>
      <w:r>
        <w:rPr>
          <w:bCs/>
          <w:color w:val="000000"/>
          <w:szCs w:val="28"/>
          <w:lang w:val="ru-RU"/>
        </w:rPr>
        <w:t xml:space="preserve">СП 116.13330.2012 </w:t>
      </w:r>
      <w:r>
        <w:rPr>
          <w:bCs/>
          <w:color w:val="000000"/>
          <w:szCs w:val="28"/>
        </w:rPr>
        <w:t>«</w:t>
      </w:r>
      <w:r>
        <w:rPr>
          <w:bCs/>
          <w:color w:val="000000"/>
          <w:szCs w:val="28"/>
          <w:lang w:val="ru-RU"/>
        </w:rPr>
        <w:t>Инженерная защита территорий, зданий и сооружений от опасных геологических процессов. Основные положения</w:t>
      </w:r>
      <w:r>
        <w:rPr>
          <w:bCs/>
          <w:color w:val="000000"/>
          <w:szCs w:val="28"/>
        </w:rPr>
        <w:t>»</w:t>
      </w:r>
      <w:r>
        <w:rPr>
          <w:bCs/>
          <w:color w:val="000000"/>
          <w:szCs w:val="28"/>
          <w:lang w:val="ru-RU"/>
        </w:rPr>
        <w:t>. Актуализированная редакция СНиП 22-02-2003</w:t>
      </w:r>
      <w:r>
        <w:rPr>
          <w:bCs/>
          <w:color w:val="000000"/>
          <w:szCs w:val="28"/>
        </w:rPr>
        <w:t xml:space="preserve"> (утв. приказом Министерства регионального развития РФ от 30 июня 2012 № 274).</w:t>
      </w:r>
    </w:p>
    <w:p>
      <w:pPr>
        <w:pStyle w:val="Normal"/>
        <w:numPr>
          <w:ilvl w:val="0"/>
          <w:numId w:val="17"/>
        </w:numPr>
        <w:tabs>
          <w:tab w:val="clear" w:pos="709"/>
          <w:tab w:val="left" w:pos="-140" w:leader="none"/>
          <w:tab w:val="left" w:pos="1120" w:leader="none"/>
          <w:tab w:val="left" w:pos="2340" w:leader="none"/>
        </w:tabs>
        <w:ind w:left="0" w:right="-1" w:firstLine="700"/>
        <w:jc w:val="both"/>
        <w:rPr/>
      </w:pPr>
      <w:r>
        <w:rPr>
          <w:color w:val="000000"/>
          <w:szCs w:val="28"/>
        </w:rPr>
        <w:t xml:space="preserve">Свод правил </w:t>
      </w:r>
      <w:r>
        <w:rPr>
          <w:bCs/>
          <w:color w:val="000000"/>
          <w:szCs w:val="28"/>
        </w:rPr>
        <w:t xml:space="preserve">СП 20.13330.2016 «Нагрузки и воздействия». Актуализированная редакция СНиП 2.01.07-85 (утв. приказом </w:t>
      </w:r>
      <w:r>
        <w:rPr>
          <w:color w:val="000000"/>
          <w:szCs w:val="28"/>
        </w:rPr>
        <w:t>Министерства строительства и жилищно-коммунального хозяйства РФ</w:t>
      </w:r>
      <w:r>
        <w:rPr>
          <w:bCs/>
          <w:color w:val="000000"/>
          <w:szCs w:val="28"/>
        </w:rPr>
        <w:t xml:space="preserve"> о 3 декабря 2016 г. №891/пр) (с изменениями и дополнениями).</w:t>
      </w:r>
    </w:p>
    <w:p>
      <w:pPr>
        <w:pStyle w:val="Normal"/>
        <w:numPr>
          <w:ilvl w:val="0"/>
          <w:numId w:val="17"/>
        </w:numPr>
        <w:tabs>
          <w:tab w:val="clear" w:pos="709"/>
          <w:tab w:val="left" w:pos="-140" w:leader="none"/>
          <w:tab w:val="left" w:pos="1120" w:leader="none"/>
          <w:tab w:val="left" w:pos="2340" w:leader="none"/>
        </w:tabs>
        <w:ind w:left="0" w:right="-1" w:firstLine="700"/>
        <w:jc w:val="both"/>
        <w:rPr/>
      </w:pPr>
      <w:r>
        <w:rPr>
          <w:bCs/>
          <w:color w:val="000000"/>
          <w:szCs w:val="28"/>
          <w:lang w:val="ru-RU"/>
        </w:rPr>
        <w:t xml:space="preserve">ГОСТ Р 22.2.10-2016 </w:t>
      </w:r>
      <w:r>
        <w:rPr>
          <w:bCs/>
          <w:color w:val="000000"/>
          <w:szCs w:val="28"/>
        </w:rPr>
        <w:t>«</w:t>
      </w:r>
      <w:r>
        <w:rPr>
          <w:bCs/>
          <w:color w:val="000000"/>
          <w:szCs w:val="28"/>
          <w:lang w:val="ru-RU"/>
        </w:rPr>
        <w:t>Безопасность в чрезвычайных ситуациях. Порядок обоснования и учета мероприятий по гражданской обороне, мероприятий по предупреждению чрезвычайных ситуаций природного и техногенного характера при разработке документов территориального планирования</w:t>
      </w:r>
      <w:r>
        <w:rPr>
          <w:bCs/>
          <w:color w:val="000000"/>
          <w:szCs w:val="28"/>
        </w:rPr>
        <w:t>» (утв. приказом Федерального агентства по техническому регулированию и метрологии от 29 июня 2016 г. № 727-ст).</w:t>
      </w:r>
    </w:p>
    <w:p>
      <w:pPr>
        <w:pStyle w:val="Normal"/>
        <w:numPr>
          <w:ilvl w:val="0"/>
          <w:numId w:val="17"/>
        </w:numPr>
        <w:tabs>
          <w:tab w:val="clear" w:pos="709"/>
          <w:tab w:val="left" w:pos="-140" w:leader="none"/>
          <w:tab w:val="left" w:pos="1120" w:leader="none"/>
          <w:tab w:val="left" w:pos="2340" w:leader="none"/>
        </w:tabs>
        <w:ind w:left="0" w:right="-1" w:firstLine="700"/>
        <w:jc w:val="both"/>
        <w:rPr/>
      </w:pPr>
      <w:r>
        <w:rPr>
          <w:bCs/>
          <w:color w:val="000000"/>
          <w:szCs w:val="28"/>
        </w:rPr>
        <w:t xml:space="preserve">Свод правил </w:t>
      </w:r>
      <w:r>
        <w:rPr>
          <w:bCs/>
          <w:color w:val="000000"/>
          <w:szCs w:val="28"/>
          <w:lang w:val="ru-RU"/>
        </w:rPr>
        <w:t xml:space="preserve">СП 165.1325800.2014 </w:t>
      </w:r>
      <w:r>
        <w:rPr>
          <w:bCs/>
          <w:color w:val="000000"/>
          <w:szCs w:val="28"/>
        </w:rPr>
        <w:t>«</w:t>
      </w:r>
      <w:r>
        <w:rPr>
          <w:bCs/>
          <w:color w:val="000000"/>
          <w:szCs w:val="28"/>
          <w:lang w:val="ru-RU"/>
        </w:rPr>
        <w:t>Инженерно-технические мероприятия по гражданской обороне</w:t>
      </w:r>
      <w:r>
        <w:rPr>
          <w:bCs/>
          <w:color w:val="000000"/>
          <w:szCs w:val="28"/>
        </w:rPr>
        <w:t>»</w:t>
      </w:r>
      <w:r>
        <w:rPr>
          <w:bCs/>
          <w:color w:val="000000"/>
          <w:szCs w:val="28"/>
          <w:lang w:val="ru-RU"/>
        </w:rPr>
        <w:t>. Актуализированная редакция СНиП 2.01.51-90</w:t>
      </w:r>
      <w:r>
        <w:rPr>
          <w:bCs/>
          <w:color w:val="000000"/>
          <w:szCs w:val="28"/>
        </w:rPr>
        <w:t xml:space="preserve"> (утв. приказом </w:t>
      </w:r>
      <w:r>
        <w:rPr>
          <w:color w:val="000000"/>
          <w:szCs w:val="28"/>
        </w:rPr>
        <w:t>Министерства строительства и жилищно-коммунального хозяйства РФ</w:t>
      </w:r>
      <w:r>
        <w:rPr>
          <w:bCs/>
          <w:color w:val="000000"/>
          <w:szCs w:val="28"/>
        </w:rPr>
        <w:t xml:space="preserve"> от 12 ноября 2014 г. №705/пр) (с изменениями и дополнениями).</w:t>
      </w:r>
    </w:p>
    <w:p>
      <w:pPr>
        <w:pStyle w:val="Normal"/>
        <w:numPr>
          <w:ilvl w:val="0"/>
          <w:numId w:val="17"/>
        </w:numPr>
        <w:tabs>
          <w:tab w:val="clear" w:pos="709"/>
          <w:tab w:val="left" w:pos="-140" w:leader="none"/>
          <w:tab w:val="left" w:pos="1120" w:leader="none"/>
          <w:tab w:val="left" w:pos="2340" w:leader="none"/>
        </w:tabs>
        <w:ind w:left="0" w:right="-1" w:firstLine="700"/>
        <w:jc w:val="both"/>
        <w:rPr/>
      </w:pPr>
      <w:r>
        <w:rPr>
          <w:bCs/>
          <w:color w:val="000000"/>
          <w:szCs w:val="28"/>
        </w:rPr>
        <w:t xml:space="preserve">Свод правил </w:t>
      </w:r>
      <w:r>
        <w:rPr>
          <w:bCs/>
          <w:color w:val="000000"/>
          <w:szCs w:val="28"/>
          <w:lang w:val="ru-RU"/>
        </w:rPr>
        <w:t xml:space="preserve">СП 4.13130.2013 </w:t>
      </w:r>
      <w:r>
        <w:rPr>
          <w:bCs/>
          <w:color w:val="000000"/>
          <w:szCs w:val="28"/>
        </w:rPr>
        <w:t>«</w:t>
      </w:r>
      <w:r>
        <w:rPr>
          <w:bCs/>
          <w:color w:val="000000"/>
          <w:szCs w:val="28"/>
          <w:lang w:val="ru-RU"/>
        </w:rPr>
        <w:t>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Pr>
          <w:bCs/>
          <w:color w:val="000000"/>
          <w:szCs w:val="28"/>
        </w:rPr>
        <w:t>» (утв. приказом Министерства Российской Федерации по делам гражданской обороны, чрезвычайным ситуациям и ликвидации последствий стихийных бедствий (МЧС России) от 24 апреля 2013 г. N 288) (с изменениями и дополнениями).</w:t>
      </w:r>
    </w:p>
    <w:p>
      <w:pPr>
        <w:pStyle w:val="Normal"/>
        <w:numPr>
          <w:ilvl w:val="0"/>
          <w:numId w:val="17"/>
        </w:numPr>
        <w:tabs>
          <w:tab w:val="clear" w:pos="709"/>
          <w:tab w:val="left" w:pos="-140" w:leader="none"/>
          <w:tab w:val="left" w:pos="1120" w:leader="none"/>
          <w:tab w:val="left" w:pos="2340" w:leader="none"/>
        </w:tabs>
        <w:ind w:left="0" w:right="-1" w:firstLine="700"/>
        <w:jc w:val="both"/>
        <w:rPr/>
      </w:pPr>
      <w:r>
        <w:rPr>
          <w:color w:val="000000"/>
          <w:szCs w:val="28"/>
        </w:rPr>
        <w:t xml:space="preserve">Перечень населенных пунктов Республики, попадающих в зоны возможного затопления (подтопления) в паводковый период. (утв. </w:t>
      </w:r>
      <w:r>
        <w:rPr>
          <w:bCs/>
          <w:color w:val="000000"/>
          <w:szCs w:val="28"/>
        </w:rPr>
        <w:t xml:space="preserve">Распоряжением Кабинета Министров № 1625-р от 29.08.2013 г.) </w:t>
      </w:r>
      <w:r>
        <w:rPr>
          <w:color w:val="000000"/>
          <w:szCs w:val="28"/>
        </w:rPr>
        <w:t>(с изменениями и дополнениями)</w:t>
      </w:r>
      <w:r>
        <w:rPr>
          <w:bCs/>
          <w:color w:val="000000"/>
          <w:szCs w:val="28"/>
        </w:rPr>
        <w:t>.</w:t>
      </w:r>
    </w:p>
    <w:p>
      <w:pPr>
        <w:pStyle w:val="Normal"/>
        <w:numPr>
          <w:ilvl w:val="0"/>
          <w:numId w:val="17"/>
        </w:numPr>
        <w:tabs>
          <w:tab w:val="clear" w:pos="709"/>
          <w:tab w:val="left" w:pos="-140" w:leader="none"/>
          <w:tab w:val="left" w:pos="1120" w:leader="none"/>
          <w:tab w:val="left" w:pos="2340" w:leader="none"/>
        </w:tabs>
        <w:ind w:left="0" w:right="-1" w:firstLine="700"/>
        <w:jc w:val="both"/>
        <w:rPr/>
      </w:pPr>
      <w:r>
        <w:rPr>
          <w:color w:val="000000"/>
          <w:szCs w:val="28"/>
        </w:rPr>
        <w:t>Перечень особо ценных продуктивных сельскохозяйственных угодий (утв. Распоряжением Кабинета Министров Республики Татарстан №3056-р от 23.12.2016) (с изменениями и дополнениями)</w:t>
      </w:r>
      <w:r>
        <w:rPr>
          <w:bCs/>
          <w:color w:val="000000"/>
          <w:szCs w:val="28"/>
        </w:rPr>
        <w:t>.</w:t>
      </w:r>
    </w:p>
    <w:p>
      <w:pPr>
        <w:pStyle w:val="Normal"/>
        <w:numPr>
          <w:ilvl w:val="0"/>
          <w:numId w:val="17"/>
        </w:numPr>
        <w:tabs>
          <w:tab w:val="clear" w:pos="709"/>
          <w:tab w:val="left" w:pos="0" w:leader="none"/>
          <w:tab w:val="left" w:pos="1120" w:leader="none"/>
          <w:tab w:val="left" w:pos="2340" w:leader="none"/>
        </w:tabs>
        <w:ind w:left="0" w:right="-1" w:firstLine="709"/>
        <w:jc w:val="both"/>
        <w:rPr>
          <w:color w:val="000000"/>
          <w:szCs w:val="28"/>
        </w:rPr>
      </w:pPr>
      <w:r>
        <w:rPr>
          <w:color w:val="000000"/>
          <w:szCs w:val="28"/>
        </w:rPr>
        <w:t xml:space="preserve">ИТС 10-2019 Информационно-технический справочник по наилучшим доступным технологиям. Очистка сточных вод с использованием централизованных систем водоотведения поселений, городских округов. </w:t>
      </w:r>
    </w:p>
    <w:p>
      <w:pPr>
        <w:pStyle w:val="Normal"/>
        <w:numPr>
          <w:ilvl w:val="0"/>
          <w:numId w:val="17"/>
        </w:numPr>
        <w:tabs>
          <w:tab w:val="clear" w:pos="709"/>
          <w:tab w:val="left" w:pos="1120" w:leader="none"/>
          <w:tab w:val="left" w:pos="2340" w:leader="none"/>
        </w:tabs>
        <w:ind w:left="0" w:right="-1" w:firstLine="709"/>
        <w:jc w:val="both"/>
        <w:rPr/>
      </w:pPr>
      <w:r>
        <w:rPr>
          <w:bCs/>
          <w:color w:val="000000"/>
          <w:szCs w:val="28"/>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 Постановлением Главного государственного санитарного врача Российской Федерации от 28 января 2021 г. №3) (с изменениями и дополнениями).</w:t>
      </w:r>
    </w:p>
    <w:p>
      <w:pPr>
        <w:pStyle w:val="Normal"/>
        <w:numPr>
          <w:ilvl w:val="0"/>
          <w:numId w:val="17"/>
        </w:numPr>
        <w:tabs>
          <w:tab w:val="clear" w:pos="709"/>
          <w:tab w:val="left" w:pos="1120" w:leader="none"/>
          <w:tab w:val="left" w:pos="2340" w:leader="none"/>
        </w:tabs>
        <w:ind w:left="0" w:right="-1" w:firstLine="709"/>
        <w:jc w:val="both"/>
        <w:rPr>
          <w:color w:val="000000"/>
          <w:szCs w:val="28"/>
        </w:rPr>
      </w:pPr>
      <w:r>
        <w:rPr>
          <w:color w:val="000000"/>
          <w:szCs w:val="28"/>
        </w:rPr>
        <w:t>Перечень зон экстренного оповещения населения (территорий, подверженных риску возникновения быстроразвивающихся опасных природных явлений и техногенных процессов, представляющих непосредственную угрозу жизни и здоровью находящихся на них людей) (утв. Постановлением Кабинета Министров № 899 от 21.11.2013 г.).</w:t>
      </w:r>
    </w:p>
    <w:p>
      <w:pPr>
        <w:pStyle w:val="Normal"/>
        <w:ind w:left="700" w:hanging="0"/>
        <w:jc w:val="both"/>
        <w:rPr>
          <w:color w:val="FF0066"/>
          <w:szCs w:val="28"/>
        </w:rPr>
      </w:pPr>
      <w:r>
        <w:rPr>
          <w:color w:val="FF0066"/>
          <w:szCs w:val="28"/>
        </w:rPr>
      </w:r>
    </w:p>
    <w:p>
      <w:pPr>
        <w:pStyle w:val="Style72"/>
        <w:tabs>
          <w:tab w:val="clear" w:pos="709"/>
          <w:tab w:val="left" w:pos="600" w:leader="none"/>
        </w:tabs>
        <w:ind w:hanging="0"/>
        <w:jc w:val="both"/>
        <w:rPr>
          <w:color w:val="000000"/>
          <w:szCs w:val="28"/>
        </w:rPr>
      </w:pPr>
      <w:r>
        <w:rPr>
          <w:color w:val="000000"/>
          <w:szCs w:val="28"/>
        </w:rPr>
        <w:t>Федеральные программы</w:t>
      </w:r>
    </w:p>
    <w:p>
      <w:pPr>
        <w:pStyle w:val="Style90"/>
        <w:numPr>
          <w:ilvl w:val="0"/>
          <w:numId w:val="18"/>
        </w:numPr>
        <w:ind w:left="0" w:firstLine="900"/>
        <w:jc w:val="both"/>
        <w:rPr/>
      </w:pPr>
      <w:r>
        <w:rPr>
          <w:color w:val="000000"/>
          <w:szCs w:val="28"/>
        </w:rPr>
        <w:t xml:space="preserve">Стратегия пространственного развития Российской Федерации на период до 2025 года, утвержденная </w:t>
      </w:r>
      <w:hyperlink r:id="rId157">
        <w:r>
          <w:rPr>
            <w:rStyle w:val="-"/>
            <w:color w:val="000000"/>
            <w:szCs w:val="28"/>
          </w:rPr>
          <w:t>Распоряжение</w:t>
        </w:r>
        <w:r>
          <w:rPr>
            <w:rStyle w:val="-"/>
            <w:color w:val="000000"/>
            <w:szCs w:val="28"/>
            <w:lang w:val="ru-RU"/>
          </w:rPr>
          <w:t>м</w:t>
        </w:r>
        <w:r>
          <w:rPr>
            <w:rStyle w:val="-"/>
            <w:color w:val="000000"/>
            <w:szCs w:val="28"/>
          </w:rPr>
          <w:t xml:space="preserve"> Правительства Российской Федерации от 13 февраля 2019 г. N 207-р</w:t>
        </w:r>
      </w:hyperlink>
      <w:r>
        <w:rPr>
          <w:color w:val="000000"/>
          <w:szCs w:val="28"/>
          <w:lang w:val="ru-RU"/>
        </w:rPr>
        <w:t xml:space="preserve"> (с изменениями и дополнениями)</w:t>
      </w:r>
      <w:r>
        <w:rPr>
          <w:color w:val="000000"/>
          <w:szCs w:val="28"/>
        </w:rPr>
        <w:t>.</w:t>
      </w:r>
    </w:p>
    <w:p>
      <w:pPr>
        <w:pStyle w:val="Style90"/>
        <w:numPr>
          <w:ilvl w:val="0"/>
          <w:numId w:val="18"/>
        </w:numPr>
        <w:ind w:left="0" w:firstLine="900"/>
        <w:jc w:val="both"/>
        <w:rPr>
          <w:color w:val="000000"/>
          <w:szCs w:val="28"/>
        </w:rPr>
      </w:pPr>
      <w:r>
        <w:rPr>
          <w:color w:val="000000"/>
          <w:szCs w:val="28"/>
        </w:rPr>
        <w:t>Стратегия экономической безопасности Российской Федерации на период до 2030 года, утвержденная Указом Президента РФ от 13 мая 2017 г. №208.</w:t>
      </w:r>
    </w:p>
    <w:p>
      <w:pPr>
        <w:pStyle w:val="Style90"/>
        <w:numPr>
          <w:ilvl w:val="0"/>
          <w:numId w:val="18"/>
        </w:numPr>
        <w:ind w:left="0" w:firstLine="900"/>
        <w:jc w:val="both"/>
        <w:rPr/>
      </w:pPr>
      <w:r>
        <w:rPr>
          <w:color w:val="000000"/>
          <w:szCs w:val="28"/>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r>
        <w:rPr>
          <w:color w:val="000000"/>
          <w:szCs w:val="28"/>
          <w:lang w:val="ru-RU"/>
        </w:rPr>
        <w:t xml:space="preserve">, утвержденная </w:t>
      </w:r>
      <w:hyperlink r:id="rId158">
        <w:r>
          <w:rPr>
            <w:rStyle w:val="-"/>
            <w:color w:val="000000"/>
            <w:szCs w:val="28"/>
          </w:rPr>
          <w:t>Распоряжение</w:t>
        </w:r>
        <w:r>
          <w:rPr>
            <w:rStyle w:val="-"/>
            <w:color w:val="000000"/>
            <w:szCs w:val="28"/>
            <w:lang w:val="ru-RU"/>
          </w:rPr>
          <w:t>м</w:t>
        </w:r>
        <w:r>
          <w:rPr>
            <w:rStyle w:val="-"/>
            <w:color w:val="000000"/>
            <w:szCs w:val="28"/>
          </w:rPr>
          <w:t xml:space="preserve"> Правительства Российской Федерации от 1</w:t>
        </w:r>
        <w:r>
          <w:rPr>
            <w:rStyle w:val="-"/>
            <w:color w:val="000000"/>
            <w:szCs w:val="28"/>
            <w:lang w:val="ru-RU"/>
          </w:rPr>
          <w:t>9.03.2013</w:t>
        </w:r>
        <w:r>
          <w:rPr>
            <w:rStyle w:val="-"/>
            <w:color w:val="000000"/>
            <w:szCs w:val="28"/>
          </w:rPr>
          <w:t xml:space="preserve"> г. </w:t>
        </w:r>
        <w:r>
          <w:rPr>
            <w:rStyle w:val="-"/>
            <w:color w:val="000000"/>
            <w:szCs w:val="28"/>
            <w:lang w:val="ru-RU"/>
          </w:rPr>
          <w:t>№</w:t>
        </w:r>
        <w:r>
          <w:rPr>
            <w:rStyle w:val="-"/>
            <w:color w:val="000000"/>
            <w:szCs w:val="28"/>
          </w:rPr>
          <w:t> </w:t>
        </w:r>
        <w:r>
          <w:rPr>
            <w:rStyle w:val="-"/>
            <w:color w:val="000000"/>
            <w:szCs w:val="28"/>
            <w:lang w:val="ru-RU"/>
          </w:rPr>
          <w:t>384</w:t>
        </w:r>
        <w:r>
          <w:rPr>
            <w:rStyle w:val="-"/>
            <w:color w:val="000000"/>
            <w:szCs w:val="28"/>
          </w:rPr>
          <w:t>-р</w:t>
        </w:r>
      </w:hyperlink>
      <w:r>
        <w:rPr>
          <w:color w:val="000000"/>
          <w:szCs w:val="28"/>
          <w:lang w:val="ru-RU"/>
        </w:rPr>
        <w:t xml:space="preserve"> </w:t>
      </w:r>
      <w:r>
        <w:rPr>
          <w:color w:val="000000"/>
          <w:szCs w:val="28"/>
        </w:rPr>
        <w:t>(в редакции Распоряжения Правительства Российской Федерации от 07.</w:t>
      </w:r>
      <w:r>
        <w:rPr>
          <w:color w:val="000000"/>
          <w:szCs w:val="28"/>
          <w:lang w:val="ru-RU"/>
        </w:rPr>
        <w:t>07</w:t>
      </w:r>
      <w:r>
        <w:rPr>
          <w:color w:val="000000"/>
          <w:szCs w:val="28"/>
        </w:rPr>
        <w:t>.2022г. №1867-р)</w:t>
      </w:r>
      <w:r>
        <w:rPr>
          <w:color w:val="000000"/>
          <w:szCs w:val="28"/>
          <w:lang w:val="ru-RU"/>
        </w:rPr>
        <w:t xml:space="preserve">. </w:t>
      </w:r>
    </w:p>
    <w:p>
      <w:pPr>
        <w:pStyle w:val="Style90"/>
        <w:numPr>
          <w:ilvl w:val="0"/>
          <w:numId w:val="18"/>
        </w:numPr>
        <w:ind w:left="0" w:firstLine="900"/>
        <w:jc w:val="both"/>
        <w:rPr/>
      </w:pPr>
      <w:r>
        <w:rPr>
          <w:color w:val="000000"/>
          <w:szCs w:val="28"/>
        </w:rPr>
        <w:t>Схема территориального планирования Российской Федерации в области федерального транспорта (в части трубопроводного транспорта), утвержденн</w:t>
      </w:r>
      <w:r>
        <w:rPr>
          <w:color w:val="000000"/>
          <w:szCs w:val="28"/>
          <w:lang w:val="ru-RU"/>
        </w:rPr>
        <w:t>ая</w:t>
      </w:r>
      <w:r>
        <w:rPr>
          <w:color w:val="000000"/>
          <w:szCs w:val="28"/>
        </w:rPr>
        <w:t xml:space="preserve"> Распоряжением Правительства Российской Федерации от 06.05.2015 г. № 816-р (в редакции Распоряжения Правительства Российской Федерации от 10.02.2022 г. №220-р)</w:t>
      </w:r>
    </w:p>
    <w:p>
      <w:pPr>
        <w:pStyle w:val="Style90"/>
        <w:numPr>
          <w:ilvl w:val="0"/>
          <w:numId w:val="18"/>
        </w:numPr>
        <w:ind w:left="0" w:firstLine="900"/>
        <w:jc w:val="both"/>
        <w:rPr/>
      </w:pPr>
      <w:r>
        <w:rPr>
          <w:color w:val="000000"/>
          <w:szCs w:val="28"/>
          <w:lang w:val="ru-RU"/>
        </w:rPr>
        <w:t xml:space="preserve">Схема территориального планирования Российской Федерации в области энергетики, утвержденная </w:t>
      </w:r>
      <w:hyperlink r:id="rId159">
        <w:r>
          <w:rPr>
            <w:rStyle w:val="-"/>
            <w:color w:val="000000"/>
            <w:szCs w:val="28"/>
            <w:lang w:val="ru-RU"/>
          </w:rPr>
          <w:t>Распоряжением Правительства Российской Федерации от 01.08.2016 года №1634-р</w:t>
        </w:r>
      </w:hyperlink>
      <w:r>
        <w:rPr>
          <w:color w:val="000000"/>
          <w:szCs w:val="28"/>
          <w:lang w:val="ru-RU"/>
        </w:rPr>
        <w:t xml:space="preserve"> </w:t>
      </w:r>
      <w:r>
        <w:rPr>
          <w:color w:val="000000"/>
          <w:szCs w:val="28"/>
        </w:rPr>
        <w:t>(в редакции Распоряжения Правительства Российской Федерации от 09.03.2022г. №463-р).</w:t>
      </w:r>
    </w:p>
    <w:p>
      <w:pPr>
        <w:pStyle w:val="Style90"/>
        <w:numPr>
          <w:ilvl w:val="0"/>
          <w:numId w:val="18"/>
        </w:numPr>
        <w:ind w:left="0" w:firstLine="900"/>
        <w:jc w:val="both"/>
        <w:rPr/>
      </w:pPr>
      <w:r>
        <w:rPr>
          <w:color w:val="000000"/>
          <w:szCs w:val="28"/>
        </w:rPr>
        <w:t>Схема территориального планирования Российской Федерации в области</w:t>
      </w:r>
      <w:r>
        <w:rPr>
          <w:color w:val="000000"/>
          <w:szCs w:val="28"/>
          <w:lang w:val="ru-RU"/>
        </w:rPr>
        <w:t xml:space="preserve"> здравоохранения, утвержденная  </w:t>
      </w:r>
      <w:hyperlink r:id="rId160">
        <w:r>
          <w:rPr>
            <w:rStyle w:val="-"/>
            <w:color w:val="000000"/>
            <w:szCs w:val="28"/>
            <w:lang w:val="ru-RU"/>
          </w:rPr>
          <w:t>Распоряжением Правительства Российской Федерации от 28.12.2012 года №2607-р</w:t>
        </w:r>
      </w:hyperlink>
      <w:r>
        <w:rPr>
          <w:color w:val="000000"/>
          <w:szCs w:val="28"/>
          <w:lang w:val="ru-RU"/>
        </w:rPr>
        <w:t xml:space="preserve"> </w:t>
      </w:r>
      <w:r>
        <w:rPr>
          <w:color w:val="000000"/>
          <w:szCs w:val="28"/>
        </w:rPr>
        <w:t>(в редакции Распоряжения Правительства Российской Федерации от 23.11.2016г. №2481-р)</w:t>
      </w:r>
      <w:r>
        <w:rPr>
          <w:color w:val="000000"/>
          <w:szCs w:val="28"/>
          <w:lang w:val="ru-RU"/>
        </w:rPr>
        <w:t>.</w:t>
      </w:r>
    </w:p>
    <w:p>
      <w:pPr>
        <w:pStyle w:val="Style90"/>
        <w:numPr>
          <w:ilvl w:val="0"/>
          <w:numId w:val="18"/>
        </w:numPr>
        <w:ind w:left="0" w:firstLine="900"/>
        <w:jc w:val="both"/>
        <w:rPr/>
      </w:pPr>
      <w:r>
        <w:rPr>
          <w:color w:val="000000"/>
          <w:szCs w:val="28"/>
        </w:rPr>
        <w:t>Схема территориального планирования Российской Федерации в области</w:t>
      </w:r>
      <w:r>
        <w:rPr>
          <w:color w:val="000000"/>
          <w:szCs w:val="28"/>
          <w:lang w:val="ru-RU"/>
        </w:rPr>
        <w:t xml:space="preserve"> высшего профессионального образования,  утвержденная </w:t>
      </w:r>
      <w:hyperlink r:id="rId161">
        <w:r>
          <w:rPr>
            <w:rStyle w:val="-"/>
            <w:color w:val="000000"/>
            <w:szCs w:val="28"/>
            <w:lang w:val="ru-RU"/>
          </w:rPr>
          <w:t>Распоряжением Правительства Российской Федерации от 26.02.2013 года №247-р</w:t>
        </w:r>
      </w:hyperlink>
      <w:r>
        <w:rPr>
          <w:color w:val="000000"/>
          <w:szCs w:val="28"/>
          <w:lang w:val="ru-RU"/>
        </w:rPr>
        <w:t xml:space="preserve"> </w:t>
      </w:r>
      <w:r>
        <w:rPr>
          <w:color w:val="000000"/>
          <w:szCs w:val="28"/>
        </w:rPr>
        <w:t>(в редакции Распоряжения Правительства Российской Федерации от 30.07.2021г. №2105-р)</w:t>
      </w:r>
      <w:r>
        <w:rPr>
          <w:color w:val="000000"/>
          <w:szCs w:val="28"/>
          <w:lang w:val="ru-RU"/>
        </w:rPr>
        <w:t>.</w:t>
      </w:r>
    </w:p>
    <w:p>
      <w:pPr>
        <w:pStyle w:val="Normal"/>
        <w:tabs>
          <w:tab w:val="clear" w:pos="709"/>
          <w:tab w:val="left" w:pos="800" w:leader="none"/>
        </w:tabs>
        <w:ind w:firstLine="900"/>
        <w:jc w:val="both"/>
        <w:rPr>
          <w:color w:val="FF0066"/>
          <w:szCs w:val="28"/>
          <w:lang w:val="ru-RU"/>
        </w:rPr>
      </w:pPr>
      <w:r>
        <w:rPr>
          <w:color w:val="FF0066"/>
          <w:szCs w:val="28"/>
          <w:lang w:val="ru-RU"/>
        </w:rPr>
      </w:r>
    </w:p>
    <w:p>
      <w:pPr>
        <w:pStyle w:val="Style72"/>
        <w:tabs>
          <w:tab w:val="clear" w:pos="709"/>
          <w:tab w:val="left" w:pos="600" w:leader="none"/>
        </w:tabs>
        <w:ind w:hanging="0"/>
        <w:jc w:val="both"/>
        <w:rPr>
          <w:color w:val="000000"/>
          <w:szCs w:val="28"/>
        </w:rPr>
      </w:pPr>
      <w:r>
        <w:rPr>
          <w:color w:val="000000"/>
          <w:szCs w:val="28"/>
        </w:rPr>
        <w:t>Республиканские программы</w:t>
      </w:r>
    </w:p>
    <w:p>
      <w:pPr>
        <w:pStyle w:val="Normal"/>
        <w:numPr>
          <w:ilvl w:val="0"/>
          <w:numId w:val="19"/>
        </w:numPr>
        <w:tabs>
          <w:tab w:val="clear" w:pos="709"/>
          <w:tab w:val="left" w:pos="0" w:leader="none"/>
          <w:tab w:val="left" w:pos="1260" w:leader="none"/>
          <w:tab w:val="left" w:pos="10440" w:leader="none"/>
        </w:tabs>
        <w:ind w:left="0" w:firstLine="700"/>
        <w:jc w:val="both"/>
        <w:rPr>
          <w:color w:val="000000"/>
          <w:szCs w:val="28"/>
        </w:rPr>
      </w:pPr>
      <w:r>
        <w:rPr>
          <w:color w:val="000000"/>
          <w:szCs w:val="28"/>
        </w:rPr>
        <w:t>Закон Республики Татарстан от 17 июня 2015 г. №40-ЗРТ</w:t>
        <w:br/>
        <w:t>«Об утверждении Стратегии социально-экономического развития Республики Татарстан до 2030 года» (с изменениями и дополнениями).</w:t>
      </w:r>
    </w:p>
    <w:p>
      <w:pPr>
        <w:pStyle w:val="Normal"/>
        <w:numPr>
          <w:ilvl w:val="0"/>
          <w:numId w:val="19"/>
        </w:numPr>
        <w:tabs>
          <w:tab w:val="clear" w:pos="709"/>
          <w:tab w:val="left" w:pos="0" w:leader="none"/>
          <w:tab w:val="left" w:pos="1260" w:leader="none"/>
          <w:tab w:val="left" w:pos="10440" w:leader="none"/>
        </w:tabs>
        <w:ind w:left="0" w:firstLine="700"/>
        <w:jc w:val="both"/>
        <w:rPr>
          <w:color w:val="000000"/>
          <w:szCs w:val="28"/>
        </w:rPr>
      </w:pPr>
      <w:r>
        <w:rPr>
          <w:color w:val="000000"/>
          <w:szCs w:val="28"/>
        </w:rPr>
        <w:t>Постановление Кабинета Министров Республики Татарстан от 25 сентября 2015 г. № 707 «Об утверждении Плана мероприятий по реализации Стратегии социально-экономического развития Республики Татарстан до 2030 года» (с изменениями и дополнениями).</w:t>
      </w:r>
    </w:p>
    <w:p>
      <w:pPr>
        <w:pStyle w:val="Normal"/>
        <w:numPr>
          <w:ilvl w:val="0"/>
          <w:numId w:val="19"/>
        </w:numPr>
        <w:tabs>
          <w:tab w:val="clear" w:pos="709"/>
          <w:tab w:val="left" w:pos="0" w:leader="none"/>
          <w:tab w:val="left" w:pos="1260" w:leader="none"/>
          <w:tab w:val="left" w:pos="10440" w:leader="none"/>
        </w:tabs>
        <w:ind w:left="0" w:firstLine="700"/>
        <w:jc w:val="both"/>
        <w:rPr>
          <w:color w:val="000000"/>
          <w:szCs w:val="28"/>
        </w:rPr>
      </w:pPr>
      <w:r>
        <w:rPr>
          <w:color w:val="000000"/>
          <w:szCs w:val="28"/>
        </w:rPr>
        <w:t>Программа «Развитие и размещение производительных сил Республики Татарстан на основе кластерного подхода до 2020 г. и на период до 2030 г.», утвержденная Постановлением Кабинета Министров РТ от 22.10.2008г. №763 (в редакции Постановления Кабинета Министров Республики Татарстан от 26.09.2015г. N 711).</w:t>
      </w:r>
    </w:p>
    <w:p>
      <w:pPr>
        <w:pStyle w:val="Normal"/>
        <w:numPr>
          <w:ilvl w:val="0"/>
          <w:numId w:val="19"/>
        </w:numPr>
        <w:tabs>
          <w:tab w:val="clear" w:pos="709"/>
          <w:tab w:val="left" w:pos="0" w:leader="none"/>
          <w:tab w:val="left" w:pos="1260" w:leader="none"/>
          <w:tab w:val="left" w:pos="10440" w:leader="none"/>
        </w:tabs>
        <w:ind w:left="0" w:firstLine="700"/>
        <w:jc w:val="both"/>
        <w:rPr/>
      </w:pPr>
      <w:r>
        <w:rPr>
          <w:color w:val="000000"/>
          <w:szCs w:val="28"/>
        </w:rPr>
        <w:t>Схема территориального планирования Республики Татарстан, утверждённая постановлением Кабинета Министров Республики Татарстан от 21.02.2011 г. № 134 (в редакции Постановления Кабинета Министров от 15.03.2022г. №235).</w:t>
      </w:r>
    </w:p>
    <w:p>
      <w:pPr>
        <w:pStyle w:val="Normal"/>
        <w:tabs>
          <w:tab w:val="clear" w:pos="709"/>
          <w:tab w:val="left" w:pos="1260" w:leader="none"/>
          <w:tab w:val="left" w:pos="10440" w:leader="none"/>
        </w:tabs>
        <w:ind w:hanging="0"/>
        <w:jc w:val="both"/>
        <w:rPr>
          <w:color w:val="FF0066"/>
          <w:szCs w:val="28"/>
        </w:rPr>
      </w:pPr>
      <w:r>
        <w:rPr>
          <w:color w:val="FF0066"/>
          <w:szCs w:val="28"/>
        </w:rPr>
      </w:r>
    </w:p>
    <w:p>
      <w:pPr>
        <w:pStyle w:val="Normal"/>
        <w:tabs>
          <w:tab w:val="clear" w:pos="709"/>
          <w:tab w:val="left" w:pos="600" w:leader="none"/>
        </w:tabs>
        <w:ind w:hanging="0"/>
        <w:jc w:val="both"/>
        <w:rPr>
          <w:color w:val="000000"/>
          <w:szCs w:val="28"/>
        </w:rPr>
      </w:pPr>
      <w:r>
        <w:rPr>
          <w:color w:val="000000"/>
          <w:szCs w:val="28"/>
        </w:rPr>
        <w:t>Муниципальные программы</w:t>
      </w:r>
    </w:p>
    <w:p>
      <w:pPr>
        <w:pStyle w:val="Normal"/>
        <w:numPr>
          <w:ilvl w:val="0"/>
          <w:numId w:val="20"/>
        </w:numPr>
        <w:tabs>
          <w:tab w:val="clear" w:pos="709"/>
          <w:tab w:val="left" w:pos="540" w:leader="none"/>
          <w:tab w:val="left" w:pos="1260" w:leader="none"/>
          <w:tab w:val="left" w:pos="10440" w:leader="none"/>
        </w:tabs>
        <w:ind w:left="0" w:firstLine="720"/>
        <w:jc w:val="both"/>
        <w:rPr/>
      </w:pPr>
      <w:r>
        <w:rPr>
          <w:color w:val="000000"/>
          <w:szCs w:val="28"/>
        </w:rPr>
        <w:t>Схема территориального планирования Верхнеуслонского муниципального района Республики Татарстан (внесение изменений), утвержденная Решением Совета Верхнеуслонского муниципального района Республики Татарстан от 20.11.2020 г. № 30.</w:t>
      </w:r>
    </w:p>
    <w:p>
      <w:pPr>
        <w:pStyle w:val="Normal"/>
        <w:numPr>
          <w:ilvl w:val="0"/>
          <w:numId w:val="20"/>
        </w:numPr>
        <w:tabs>
          <w:tab w:val="clear" w:pos="709"/>
          <w:tab w:val="left" w:pos="540" w:leader="none"/>
          <w:tab w:val="left" w:pos="1260" w:leader="none"/>
          <w:tab w:val="left" w:pos="10440" w:leader="none"/>
        </w:tabs>
        <w:ind w:left="0" w:firstLine="720"/>
        <w:jc w:val="both"/>
        <w:rPr/>
      </w:pPr>
      <w:r>
        <w:rPr>
          <w:color w:val="000000"/>
          <w:szCs w:val="28"/>
        </w:rPr>
        <w:t>Программа комплексного развития транспортной инфраструктуры муниципального образования «Вахитовского сельского поселения» Верхнеуслонского района Республики Татарстан на 2022-2030 годы, утвержденная Постановлением исполнительного комитета Вахитовского сельского поселения Верхнеуслонского муниципального района от 20.12.2021 №113.</w:t>
      </w:r>
    </w:p>
    <w:p>
      <w:pPr>
        <w:pStyle w:val="Normal"/>
        <w:tabs>
          <w:tab w:val="clear" w:pos="709"/>
          <w:tab w:val="left" w:pos="1260" w:leader="none"/>
          <w:tab w:val="left" w:pos="10440" w:leader="none"/>
        </w:tabs>
        <w:ind w:hanging="0"/>
        <w:jc w:val="both"/>
        <w:rPr>
          <w:color w:val="FF0066"/>
          <w:szCs w:val="28"/>
        </w:rPr>
      </w:pPr>
      <w:r>
        <w:rPr>
          <w:color w:val="FF0066"/>
          <w:szCs w:val="28"/>
        </w:rPr>
      </w:r>
    </w:p>
    <w:p>
      <w:pPr>
        <w:pStyle w:val="Normal"/>
        <w:tabs>
          <w:tab w:val="clear" w:pos="709"/>
          <w:tab w:val="left" w:pos="600" w:leader="none"/>
        </w:tabs>
        <w:ind w:hanging="0"/>
        <w:jc w:val="both"/>
        <w:rPr>
          <w:color w:val="000000"/>
          <w:szCs w:val="28"/>
        </w:rPr>
      </w:pPr>
      <w:r>
        <w:rPr>
          <w:color w:val="000000"/>
          <w:szCs w:val="28"/>
        </w:rPr>
        <w:t>Иная литература</w:t>
      </w:r>
    </w:p>
    <w:p>
      <w:pPr>
        <w:pStyle w:val="Normal"/>
        <w:numPr>
          <w:ilvl w:val="0"/>
          <w:numId w:val="21"/>
        </w:numPr>
        <w:tabs>
          <w:tab w:val="clear" w:pos="709"/>
          <w:tab w:val="left" w:pos="540" w:leader="none"/>
          <w:tab w:val="left" w:pos="1260" w:leader="none"/>
          <w:tab w:val="left" w:pos="10440" w:leader="none"/>
        </w:tabs>
        <w:ind w:left="0" w:firstLine="720"/>
        <w:jc w:val="both"/>
        <w:rPr/>
      </w:pPr>
      <w:r>
        <w:rPr>
          <w:color w:val="000000"/>
          <w:szCs w:val="28"/>
        </w:rPr>
        <w:t>Свод памятников истории и культуры Республики Татарстан. – Т.I. – Административные районы. – Казань: Изд-во «Мастер Лайн», 1999. – 460 с.</w:t>
      </w:r>
    </w:p>
    <w:p>
      <w:pPr>
        <w:pStyle w:val="Normal"/>
        <w:numPr>
          <w:ilvl w:val="0"/>
          <w:numId w:val="21"/>
        </w:numPr>
        <w:tabs>
          <w:tab w:val="clear" w:pos="709"/>
          <w:tab w:val="left" w:pos="540" w:leader="none"/>
          <w:tab w:val="left" w:pos="1260" w:leader="none"/>
          <w:tab w:val="left" w:pos="10440" w:leader="none"/>
        </w:tabs>
        <w:ind w:left="0" w:firstLine="720"/>
        <w:jc w:val="both"/>
        <w:rPr/>
      </w:pPr>
      <w:r>
        <w:rPr>
          <w:color w:val="000000"/>
          <w:szCs w:val="28"/>
        </w:rPr>
        <w:t>Перечень существующих объектов культуры и искусства в населенных пунктах муниципальных образований РТ, список объектов и список выявленных объектов культурного наследия Республики Татарстан, список объектов, обладающих признаками объекта культурного наследия Республики Татарстан, предоставленные Министерством культуры Республики Татарстан от 12.04.2014г.</w:t>
      </w:r>
    </w:p>
    <w:p>
      <w:pPr>
        <w:pStyle w:val="Normal"/>
        <w:numPr>
          <w:ilvl w:val="0"/>
          <w:numId w:val="21"/>
        </w:numPr>
        <w:tabs>
          <w:tab w:val="clear" w:pos="709"/>
          <w:tab w:val="left" w:pos="540" w:leader="none"/>
          <w:tab w:val="left" w:pos="1260" w:leader="none"/>
          <w:tab w:val="left" w:pos="10440" w:leader="none"/>
        </w:tabs>
        <w:ind w:left="0" w:firstLine="720"/>
        <w:jc w:val="both"/>
        <w:rPr/>
      </w:pPr>
      <w:r>
        <w:rPr>
          <w:color w:val="000000"/>
          <w:szCs w:val="28"/>
        </w:rPr>
        <w:t>Изучение, охрана, реставрация и использование недвижимых памятников истории и культуры в Республике Татарстан: Информационный сборник. Вып. 2-3. Памятники истории и культуры. Историко-культурные территории. Исторические города. – Казань: «Карпол», 2001. – 335 с.</w:t>
      </w:r>
    </w:p>
    <w:p>
      <w:pPr>
        <w:pStyle w:val="Normal"/>
        <w:numPr>
          <w:ilvl w:val="0"/>
          <w:numId w:val="21"/>
        </w:numPr>
        <w:tabs>
          <w:tab w:val="clear" w:pos="709"/>
          <w:tab w:val="left" w:pos="540" w:leader="none"/>
          <w:tab w:val="left" w:pos="1260" w:leader="none"/>
          <w:tab w:val="left" w:pos="10440" w:leader="none"/>
        </w:tabs>
        <w:ind w:left="0" w:firstLine="720"/>
        <w:jc w:val="both"/>
        <w:rPr>
          <w:color w:val="000000"/>
          <w:szCs w:val="28"/>
        </w:rPr>
      </w:pPr>
      <w:r>
        <w:rPr>
          <w:color w:val="000000"/>
          <w:szCs w:val="28"/>
        </w:rPr>
        <w:t>Справочник «Санитарная очистка территории и уборка населенных мест» (Москва, 1990г.).</w:t>
      </w:r>
    </w:p>
    <w:p>
      <w:pPr>
        <w:pStyle w:val="Normal"/>
        <w:tabs>
          <w:tab w:val="clear" w:pos="709"/>
          <w:tab w:val="left" w:pos="1100" w:leader="none"/>
        </w:tabs>
        <w:ind w:right="-1" w:hanging="0"/>
        <w:jc w:val="both"/>
        <w:rPr>
          <w:color w:val="000000"/>
          <w:szCs w:val="28"/>
          <w:lang w:val="ru-RU"/>
        </w:rPr>
      </w:pPr>
      <w:r>
        <w:rPr>
          <w:color w:val="000000"/>
          <w:szCs w:val="28"/>
          <w:lang w:val="ru-RU"/>
        </w:rPr>
      </w:r>
    </w:p>
    <w:p>
      <w:pPr>
        <w:pStyle w:val="Normal"/>
        <w:tabs>
          <w:tab w:val="clear" w:pos="709"/>
          <w:tab w:val="left" w:pos="600" w:leader="none"/>
        </w:tabs>
        <w:ind w:hanging="0"/>
        <w:jc w:val="both"/>
        <w:rPr>
          <w:color w:val="000000"/>
          <w:szCs w:val="28"/>
        </w:rPr>
      </w:pPr>
      <w:r>
        <w:rPr>
          <w:color w:val="000000"/>
          <w:szCs w:val="28"/>
        </w:rPr>
        <w:t>Фондовые материалы</w:t>
      </w:r>
    </w:p>
    <w:p>
      <w:pPr>
        <w:pStyle w:val="Normal"/>
        <w:numPr>
          <w:ilvl w:val="0"/>
          <w:numId w:val="22"/>
        </w:numPr>
        <w:tabs>
          <w:tab w:val="clear" w:pos="709"/>
          <w:tab w:val="left" w:pos="180" w:leader="none"/>
          <w:tab w:val="left" w:pos="1100" w:leader="none"/>
        </w:tabs>
        <w:ind w:left="0" w:right="-1" w:firstLine="720"/>
        <w:jc w:val="both"/>
        <w:rPr/>
      </w:pPr>
      <w:r>
        <w:rPr>
          <w:color w:val="000000"/>
          <w:szCs w:val="28"/>
          <w:lang w:val="ru-RU"/>
        </w:rPr>
        <w:t xml:space="preserve">Анкетные данные, предоставленные </w:t>
      </w:r>
      <w:r>
        <w:rPr>
          <w:color w:val="000000"/>
          <w:szCs w:val="28"/>
        </w:rPr>
        <w:t>исполнительным комитетом Вахитовского</w:t>
      </w:r>
      <w:r>
        <w:rPr>
          <w:color w:val="000000"/>
          <w:szCs w:val="28"/>
          <w:lang w:val="ru-RU"/>
        </w:rPr>
        <w:t xml:space="preserve"> сельского поселения </w:t>
      </w:r>
      <w:r>
        <w:rPr>
          <w:color w:val="000000"/>
          <w:szCs w:val="28"/>
        </w:rPr>
        <w:t>Верхнеуслонского</w:t>
      </w:r>
      <w:r>
        <w:rPr>
          <w:color w:val="000000"/>
          <w:szCs w:val="28"/>
          <w:lang w:val="ru-RU"/>
        </w:rPr>
        <w:t xml:space="preserve"> муниципального района.</w:t>
      </w:r>
    </w:p>
    <w:p>
      <w:pPr>
        <w:pStyle w:val="1"/>
        <w:numPr>
          <w:ilvl w:val="0"/>
          <w:numId w:val="7"/>
        </w:numPr>
        <w:jc w:val="both"/>
        <w:rPr>
          <w:color w:val="000000"/>
          <w:lang w:val="ru-RU" w:eastAsia="ru-RU"/>
        </w:rPr>
      </w:pPr>
      <w:bookmarkStart w:id="348" w:name="__RefHeading___Toc156489442"/>
      <w:bookmarkEnd w:id="348"/>
      <w:r>
        <w:rPr>
          <w:color w:val="000000"/>
          <w:lang w:val="ru-RU" w:eastAsia="ru-RU"/>
        </w:rPr>
        <w:t>ПРИЛОЖЕНИЯ</w:t>
      </w:r>
    </w:p>
    <w:p>
      <w:pPr>
        <w:pStyle w:val="Normal"/>
        <w:ind w:firstLine="720"/>
        <w:jc w:val="both"/>
        <w:rPr>
          <w:color w:val="FF0066"/>
          <w:lang w:val="ru-RU" w:eastAsia="ru-RU"/>
        </w:rPr>
      </w:pPr>
      <w:r>
        <w:rPr>
          <w:color w:val="FF0066"/>
          <w:lang w:val="ru-RU" w:eastAsia="ru-RU"/>
        </w:rPr>
      </w:r>
    </w:p>
    <w:p>
      <w:pPr>
        <w:pStyle w:val="Normal"/>
        <w:widowControl w:val="false"/>
        <w:ind w:hanging="0"/>
        <w:jc w:val="both"/>
        <w:textAlignment w:val="baseline"/>
        <w:rPr>
          <w:color w:val="000000"/>
          <w:szCs w:val="28"/>
        </w:rPr>
      </w:pPr>
      <w:r>
        <w:rPr>
          <w:color w:val="000000"/>
          <w:szCs w:val="28"/>
        </w:rPr>
        <w:t>Приложение 1</w:t>
      </w:r>
    </w:p>
    <w:p>
      <w:pPr>
        <w:pStyle w:val="Normal"/>
        <w:ind w:left="708" w:hanging="0"/>
        <w:jc w:val="both"/>
        <w:rPr/>
      </w:pPr>
      <w:r>
        <w:rPr>
          <w:color w:val="000000"/>
          <w:szCs w:val="28"/>
        </w:rPr>
        <w:t>Постановление исполнительного комитета Верхнеуслонского муниципального района Республики Татарстан о разработке проекта Генерального плана Вахитовского сельского поселения Верхнеуслонского муниципального района Республики Татарстан №842 от 05.07.2023.</w:t>
      </w:r>
    </w:p>
    <w:p>
      <w:pPr>
        <w:pStyle w:val="Normal"/>
        <w:widowControl w:val="false"/>
        <w:ind w:hanging="0"/>
        <w:jc w:val="both"/>
        <w:textAlignment w:val="baseline"/>
        <w:rPr/>
      </w:pPr>
      <w:r>
        <w:rPr>
          <w:color w:val="000000"/>
          <w:szCs w:val="28"/>
        </w:rPr>
        <w:t>Приложение 2</w:t>
      </w:r>
    </w:p>
    <w:p>
      <w:pPr>
        <w:pStyle w:val="Normal"/>
        <w:widowControl w:val="false"/>
        <w:ind w:left="708" w:hanging="0"/>
        <w:jc w:val="both"/>
        <w:textAlignment w:val="baseline"/>
        <w:rPr/>
      </w:pPr>
      <w:r>
        <w:rPr>
          <w:color w:val="000000"/>
          <w:szCs w:val="28"/>
        </w:rPr>
        <w:t>Письмо Руководителя Исполнительного комитета Верхнеуслонского муниципального района Республики Татарстан от 22.11.2023 №ИСХ-7447 о размещении планируемых и существующих объектов в генеральном плане поселения и об изменении разрешенного вида использования.</w:t>
      </w:r>
    </w:p>
    <w:p>
      <w:pPr>
        <w:pStyle w:val="Normal"/>
        <w:widowControl w:val="false"/>
        <w:ind w:hanging="0"/>
        <w:jc w:val="both"/>
        <w:textAlignment w:val="baseline"/>
        <w:rPr/>
      </w:pPr>
      <w:r>
        <w:rPr>
          <w:color w:val="000000"/>
          <w:szCs w:val="28"/>
        </w:rPr>
        <w:t>Приложение 3</w:t>
      </w:r>
    </w:p>
    <w:p>
      <w:pPr>
        <w:pStyle w:val="Normal"/>
        <w:widowControl w:val="false"/>
        <w:ind w:left="708" w:hanging="0"/>
        <w:jc w:val="both"/>
        <w:textAlignment w:val="baseline"/>
        <w:rPr>
          <w:color w:val="000000"/>
          <w:szCs w:val="28"/>
        </w:rPr>
      </w:pPr>
      <w:r>
        <w:rPr>
          <w:color w:val="000000"/>
          <w:szCs w:val="28"/>
        </w:rPr>
        <w:t>Постановление Исполнительного комитета Верхнеуслонского муниципального района Республики Татарстан от 20.10.2022 №1216 об утверждении перечня автомобильных дорог местного значения на территории Верхнеуслонского муниципального района.</w:t>
      </w:r>
    </w:p>
    <w:p>
      <w:pPr>
        <w:pStyle w:val="Normal"/>
        <w:widowControl w:val="false"/>
        <w:ind w:hanging="0"/>
        <w:jc w:val="both"/>
        <w:textAlignment w:val="baseline"/>
        <w:rPr/>
      </w:pPr>
      <w:r>
        <w:rPr>
          <w:color w:val="000000"/>
          <w:szCs w:val="28"/>
        </w:rPr>
        <w:t>Приложение 4</w:t>
      </w:r>
    </w:p>
    <w:p>
      <w:pPr>
        <w:pStyle w:val="Normal"/>
        <w:widowControl w:val="false"/>
        <w:ind w:left="708" w:hanging="0"/>
        <w:jc w:val="both"/>
        <w:textAlignment w:val="baseline"/>
        <w:rPr/>
      </w:pPr>
      <w:r>
        <w:rPr>
          <w:color w:val="000000"/>
          <w:szCs w:val="28"/>
        </w:rPr>
        <w:t xml:space="preserve">Письмо Исполнительного комитета Верхнеуслонского муниципального района Республики Татарстан </w:t>
      </w:r>
      <w:r>
        <w:rPr>
          <w:szCs w:val="28"/>
        </w:rPr>
        <w:t xml:space="preserve">от 24.05.2023 № ИСХ-2911 </w:t>
      </w:r>
      <w:r>
        <w:rPr>
          <w:color w:val="000000"/>
          <w:szCs w:val="28"/>
        </w:rPr>
        <w:t>об отнесении участка с кадастровым номером 16:15:000000:2717 к зоне рекреации для размещения сервисной зоны.</w:t>
      </w:r>
    </w:p>
    <w:p>
      <w:pPr>
        <w:pStyle w:val="Normal"/>
        <w:ind w:hanging="0"/>
        <w:jc w:val="both"/>
        <w:rPr>
          <w:color w:val="FF0066"/>
          <w:szCs w:val="28"/>
        </w:rPr>
      </w:pPr>
      <w:r>
        <w:rPr>
          <w:color w:val="FF0066"/>
          <w:szCs w:val="28"/>
        </w:rPr>
      </w:r>
    </w:p>
    <w:p>
      <w:pPr>
        <w:pStyle w:val="Normal"/>
        <w:ind w:hanging="0"/>
        <w:jc w:val="both"/>
        <w:rPr>
          <w:color w:val="FF0066"/>
          <w:szCs w:val="28"/>
        </w:rPr>
      </w:pPr>
      <w:r>
        <w:rPr>
          <w:color w:val="FF0066"/>
          <w:szCs w:val="28"/>
        </w:rPr>
      </w:r>
      <w:r>
        <w:br w:type="page"/>
      </w:r>
    </w:p>
    <w:p>
      <w:pPr>
        <w:pStyle w:val="Normal"/>
        <w:widowControl w:val="false"/>
        <w:ind w:hanging="0"/>
        <w:jc w:val="right"/>
        <w:textAlignment w:val="baseline"/>
        <w:rPr>
          <w:color w:val="000000"/>
          <w:szCs w:val="28"/>
        </w:rPr>
      </w:pPr>
      <w:r>
        <w:rPr>
          <w:color w:val="000000"/>
          <w:szCs w:val="28"/>
        </w:rPr>
        <w:t>Приложение 1</w:t>
      </w:r>
    </w:p>
    <w:p>
      <w:pPr>
        <w:pStyle w:val="Normal"/>
        <w:ind w:hanging="0"/>
        <w:jc w:val="center"/>
        <w:rPr>
          <w:color w:val="FF0066"/>
          <w:szCs w:val="28"/>
        </w:rPr>
      </w:pPr>
      <w:r>
        <w:rPr>
          <w:color w:val="FF0066"/>
          <w:szCs w:val="28"/>
        </w:rPr>
      </w:r>
    </w:p>
    <w:p>
      <w:pPr>
        <w:pStyle w:val="Normal"/>
        <w:ind w:hanging="0"/>
        <w:jc w:val="center"/>
        <w:rPr>
          <w:color w:val="FF0066"/>
          <w:szCs w:val="28"/>
          <w:lang w:val="ru-RU" w:eastAsia="ru-RU"/>
        </w:rPr>
      </w:pPr>
      <w:r>
        <w:rPr>
          <w:color w:val="FF0066"/>
          <w:szCs w:val="28"/>
          <w:lang w:val="ru-RU" w:eastAsia="ru-RU"/>
        </w:rPr>
        <w:drawing>
          <wp:inline distT="0" distB="0" distL="0" distR="0">
            <wp:extent cx="5287010" cy="7468870"/>
            <wp:effectExtent l="0" t="0" r="0" b="0"/>
            <wp:docPr id="64"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1" descr=""/>
                    <pic:cNvPicPr>
                      <a:picLocks noChangeAspect="1" noChangeArrowheads="1"/>
                    </pic:cNvPicPr>
                  </pic:nvPicPr>
                  <pic:blipFill>
                    <a:blip r:embed="rId162"/>
                    <a:srcRect l="-7" t="-5" r="-7" b="-5"/>
                    <a:stretch>
                      <a:fillRect/>
                    </a:stretch>
                  </pic:blipFill>
                  <pic:spPr bwMode="auto">
                    <a:xfrm>
                      <a:off x="0" y="0"/>
                      <a:ext cx="5287010" cy="7468870"/>
                    </a:xfrm>
                    <a:prstGeom prst="rect">
                      <a:avLst/>
                    </a:prstGeom>
                  </pic:spPr>
                </pic:pic>
              </a:graphicData>
            </a:graphic>
          </wp:inline>
        </w:drawing>
      </w:r>
    </w:p>
    <w:p>
      <w:pPr>
        <w:pStyle w:val="Normal"/>
        <w:ind w:hanging="0"/>
        <w:jc w:val="center"/>
        <w:rPr>
          <w:color w:val="FF0066"/>
          <w:szCs w:val="28"/>
        </w:rPr>
      </w:pPr>
      <w:r>
        <w:rPr>
          <w:color w:val="FF0066"/>
          <w:szCs w:val="28"/>
        </w:rPr>
      </w:r>
      <w:r>
        <w:br w:type="page"/>
      </w:r>
    </w:p>
    <w:p>
      <w:pPr>
        <w:pStyle w:val="Normal"/>
        <w:widowControl w:val="false"/>
        <w:ind w:hanging="0"/>
        <w:jc w:val="right"/>
        <w:textAlignment w:val="baseline"/>
        <w:rPr>
          <w:color w:val="000000"/>
          <w:szCs w:val="28"/>
        </w:rPr>
      </w:pPr>
      <w:r>
        <w:rPr>
          <w:color w:val="000000"/>
          <w:szCs w:val="28"/>
        </w:rPr>
        <w:t>Приложение 2</w:t>
      </w:r>
    </w:p>
    <w:p>
      <w:pPr>
        <w:pStyle w:val="Normal"/>
        <w:ind w:hanging="0"/>
        <w:jc w:val="center"/>
        <w:rPr>
          <w:color w:val="FF0066"/>
          <w:szCs w:val="28"/>
          <w:lang w:val="ru-RU" w:eastAsia="ru-RU"/>
        </w:rPr>
      </w:pPr>
      <w:r>
        <w:rPr>
          <w:color w:val="FF0066"/>
          <w:szCs w:val="28"/>
          <w:lang w:val="ru-RU" w:eastAsia="ru-RU"/>
        </w:rPr>
        <w:drawing>
          <wp:inline distT="0" distB="0" distL="0" distR="0">
            <wp:extent cx="6149340" cy="8714105"/>
            <wp:effectExtent l="0" t="0" r="0" b="0"/>
            <wp:docPr id="65"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2" descr=""/>
                    <pic:cNvPicPr>
                      <a:picLocks noChangeAspect="1" noChangeArrowheads="1"/>
                    </pic:cNvPicPr>
                  </pic:nvPicPr>
                  <pic:blipFill>
                    <a:blip r:embed="rId163"/>
                    <a:srcRect l="-5" t="-4" r="-5" b="-4"/>
                    <a:stretch>
                      <a:fillRect/>
                    </a:stretch>
                  </pic:blipFill>
                  <pic:spPr bwMode="auto">
                    <a:xfrm>
                      <a:off x="0" y="0"/>
                      <a:ext cx="6149340" cy="8714105"/>
                    </a:xfrm>
                    <a:prstGeom prst="rect">
                      <a:avLst/>
                    </a:prstGeom>
                  </pic:spPr>
                </pic:pic>
              </a:graphicData>
            </a:graphic>
          </wp:inline>
        </w:drawing>
      </w:r>
    </w:p>
    <w:p>
      <w:pPr>
        <w:pStyle w:val="Normal"/>
        <w:ind w:hanging="0"/>
        <w:jc w:val="right"/>
        <w:rPr>
          <w:color w:val="000000"/>
          <w:szCs w:val="28"/>
        </w:rPr>
      </w:pPr>
      <w:r>
        <w:rPr>
          <w:color w:val="000000"/>
          <w:szCs w:val="28"/>
        </w:rPr>
        <w:t>Приложение 3</w:t>
      </w:r>
    </w:p>
    <w:p>
      <w:pPr>
        <w:pStyle w:val="Normal"/>
        <w:ind w:hanging="0"/>
        <w:jc w:val="center"/>
        <w:rPr>
          <w:color w:val="FF0066"/>
          <w:szCs w:val="28"/>
          <w:lang w:val="ru-RU" w:eastAsia="ru-RU"/>
        </w:rPr>
      </w:pPr>
      <w:r>
        <w:rPr>
          <w:color w:val="FF0066"/>
          <w:szCs w:val="28"/>
          <w:lang w:val="ru-RU" w:eastAsia="ru-RU"/>
        </w:rPr>
        <w:drawing>
          <wp:inline distT="0" distB="0" distL="0" distR="0">
            <wp:extent cx="6299200" cy="8905875"/>
            <wp:effectExtent l="0" t="0" r="0" b="0"/>
            <wp:docPr id="66"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Изображение3" descr=""/>
                    <pic:cNvPicPr>
                      <a:picLocks noChangeAspect="1" noChangeArrowheads="1"/>
                    </pic:cNvPicPr>
                  </pic:nvPicPr>
                  <pic:blipFill>
                    <a:blip r:embed="rId164"/>
                    <a:srcRect l="-5" t="-3" r="-5" b="-3"/>
                    <a:stretch>
                      <a:fillRect/>
                    </a:stretch>
                  </pic:blipFill>
                  <pic:spPr bwMode="auto">
                    <a:xfrm>
                      <a:off x="0" y="0"/>
                      <a:ext cx="6299200" cy="8905875"/>
                    </a:xfrm>
                    <a:prstGeom prst="rect">
                      <a:avLst/>
                    </a:prstGeom>
                  </pic:spPr>
                </pic:pic>
              </a:graphicData>
            </a:graphic>
          </wp:inline>
        </w:drawing>
      </w:r>
    </w:p>
    <w:p>
      <w:pPr>
        <w:pStyle w:val="Normal"/>
        <w:ind w:hanging="0"/>
        <w:jc w:val="right"/>
        <w:rPr>
          <w:color w:val="000000"/>
          <w:szCs w:val="28"/>
        </w:rPr>
      </w:pPr>
      <w:r>
        <w:rPr>
          <w:color w:val="000000"/>
          <w:szCs w:val="28"/>
        </w:rPr>
      </w:r>
    </w:p>
    <w:p>
      <w:pPr>
        <w:pStyle w:val="Normal"/>
        <w:ind w:hanging="0"/>
        <w:jc w:val="right"/>
        <w:rPr>
          <w:color w:val="000000"/>
          <w:szCs w:val="28"/>
        </w:rPr>
      </w:pPr>
      <w:r>
        <w:rPr>
          <w:color w:val="000000"/>
          <w:szCs w:val="28"/>
        </w:rPr>
      </w:r>
    </w:p>
    <w:p>
      <w:pPr>
        <w:pStyle w:val="Normal"/>
        <w:ind w:hanging="0"/>
        <w:jc w:val="right"/>
        <w:rPr>
          <w:color w:val="000000"/>
          <w:szCs w:val="28"/>
        </w:rPr>
      </w:pPr>
      <w:r>
        <w:rPr>
          <w:color w:val="000000"/>
          <w:szCs w:val="28"/>
        </w:rPr>
      </w:r>
    </w:p>
    <w:p>
      <w:pPr>
        <w:pStyle w:val="Normal"/>
        <w:ind w:hanging="0"/>
        <w:jc w:val="right"/>
        <w:rPr>
          <w:color w:val="000000"/>
          <w:szCs w:val="28"/>
        </w:rPr>
      </w:pPr>
      <w:r>
        <w:rPr>
          <w:color w:val="000000"/>
          <w:szCs w:val="28"/>
        </w:rPr>
        <w:t>Приложение 4</w:t>
      </w:r>
    </w:p>
    <w:p>
      <w:pPr>
        <w:pStyle w:val="Normal"/>
        <w:ind w:hanging="0"/>
        <w:jc w:val="right"/>
        <w:rPr>
          <w:color w:val="000000"/>
          <w:szCs w:val="28"/>
          <w:lang w:val="ru-RU" w:eastAsia="ru-RU"/>
        </w:rPr>
      </w:pPr>
      <w:r>
        <w:rPr>
          <w:rFonts w:eastAsia="Times New Roman" w:cs="Arial" w:ascii="Liberation Sans" w:hAnsi="Liberation Sans"/>
          <w:b/>
          <w:bCs/>
          <w:color w:val="000000"/>
          <w:sz w:val="24"/>
          <w:szCs w:val="24"/>
          <w:lang w:val="ru-RU" w:eastAsia="ru-RU"/>
        </w:rPr>
        <w:drawing>
          <wp:inline distT="0" distB="0" distL="0" distR="0">
            <wp:extent cx="6191250" cy="8792845"/>
            <wp:effectExtent l="0" t="0" r="0" b="0"/>
            <wp:docPr id="67"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Изображение4" descr=""/>
                    <pic:cNvPicPr>
                      <a:picLocks noChangeAspect="1" noChangeArrowheads="1"/>
                    </pic:cNvPicPr>
                  </pic:nvPicPr>
                  <pic:blipFill>
                    <a:blip r:embed="rId165"/>
                    <a:srcRect l="-5" t="-4" r="-5" b="-4"/>
                    <a:stretch>
                      <a:fillRect/>
                    </a:stretch>
                  </pic:blipFill>
                  <pic:spPr bwMode="auto">
                    <a:xfrm>
                      <a:off x="0" y="0"/>
                      <a:ext cx="6191250" cy="8792845"/>
                    </a:xfrm>
                    <a:prstGeom prst="rect">
                      <a:avLst/>
                    </a:prstGeom>
                  </pic:spPr>
                </pic:pic>
              </a:graphicData>
            </a:graphic>
          </wp:inline>
        </w:drawing>
      </w:r>
    </w:p>
    <w:p>
      <w:pPr>
        <w:pStyle w:val="Style72"/>
        <w:tabs>
          <w:tab w:val="clear" w:pos="709"/>
          <w:tab w:val="left" w:pos="600" w:leader="none"/>
        </w:tabs>
        <w:ind w:hanging="0"/>
        <w:rPr>
          <w:rFonts w:ascii="Liberation Sans" w:hAnsi="Liberation Sans" w:eastAsia="Times New Roman" w:cs="Arial"/>
          <w:b/>
          <w:bCs/>
          <w:sz w:val="24"/>
          <w:szCs w:val="24"/>
          <w:lang w:eastAsia="ru-RU"/>
        </w:rPr>
      </w:pPr>
      <w:r>
        <w:rPr/>
      </w:r>
    </w:p>
    <w:p>
      <w:pPr>
        <w:pStyle w:val="Style72"/>
        <w:tabs>
          <w:tab w:val="clear" w:pos="709"/>
          <w:tab w:val="left" w:pos="600" w:leader="none"/>
        </w:tabs>
        <w:ind w:hanging="0"/>
        <w:rPr>
          <w:rFonts w:ascii="Liberation Sans" w:hAnsi="Liberation Sans" w:eastAsia="Times New Roman" w:cs="Arial"/>
          <w:b/>
          <w:bCs/>
          <w:sz w:val="24"/>
          <w:szCs w:val="24"/>
          <w:lang w:eastAsia="ru-RU"/>
        </w:rPr>
      </w:pPr>
      <w:r>
        <w:rPr/>
      </w:r>
    </w:p>
    <w:sectPr>
      <w:footerReference w:type="default" r:id="rId166"/>
      <w:footerReference w:type="first" r:id="rId167"/>
      <w:footnotePr>
        <w:numFmt w:val="decimal"/>
      </w:footnotePr>
      <w:type w:val="nextPage"/>
      <w:pgSz w:w="11906" w:h="16838"/>
      <w:pgMar w:left="1134" w:right="851" w:gutter="0" w:header="0" w:top="851" w:footer="0" w:bottom="708"/>
      <w:pgNumType w:fmt="decimal"/>
      <w:formProt w:val="false"/>
      <w:textDirection w:val="lrTb"/>
      <w:docGrid w:type="default" w:linePitch="360" w:charSpace="0"/>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comment w:id="0" w:author="Лейсан Фахрисламова" w:date="2023-10-09T14:47:00Z" w:initials="ЛФ">
    <w:p>
      <w:pPr>
        <w:jc w:val="left"/>
        <w:rPr/>
      </w:pPr>
      <w:r>
        <w:rPr>
          <w:rFonts w:ascii="Liberation Serif" w:hAnsi="Liberation Serif" w:eastAsia="Tahoma" w:cs="Tahoma"/>
          <w:kern w:val="0"/>
          <w:sz w:val="24"/>
          <w:lang w:val="en-US" w:eastAsia="en-US" w:bidi="en-US"/>
        </w:rPr>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erif">
    <w:altName w:val="Times New Roman"/>
    <w:charset w:val="01"/>
    <w:family w:val="roman"/>
    <w:pitch w:val="default"/>
  </w:font>
  <w:font w:name="PT Astra Serif">
    <w:charset w:val="01"/>
    <w:family w:val="roman"/>
    <w:pitch w:val="default"/>
  </w:font>
  <w:font w:name="OpenSymbol">
    <w:altName w:val="Arial Unicode MS"/>
    <w:charset w:val="01"/>
    <w:family w:val="roman"/>
    <w:pitch w:val="default"/>
  </w:font>
  <w:font w:name="Liberation Mono">
    <w:altName w:val="Courier New"/>
    <w:charset w:val="01"/>
    <w:family w:val="roman"/>
    <w:pitch w:val="default"/>
  </w:font>
  <w:font w:name="Times New Roman">
    <w:charset w:val="cc"/>
    <w:family w:val="roman"/>
    <w:pitch w:val="variable"/>
  </w:font>
  <w:font w:name="Courier New">
    <w:charset w:val="cc"/>
    <w:family w:val="modern"/>
    <w:pitch w:val="default"/>
  </w:font>
  <w:font w:name="Wingdings">
    <w:charset w:val="02"/>
    <w:family w:val="auto"/>
    <w:pitch w:val="variable"/>
  </w:font>
  <w:font w:name="Times New Roman">
    <w:charset w:val="01"/>
    <w:family w:val="roman"/>
    <w:pitch w:val="default"/>
  </w:font>
  <w:font w:name="Calibri">
    <w:charset w:val="01"/>
    <w:family w:val="roman"/>
    <w:pitch w:val="default"/>
  </w:font>
  <w:font w:name="Arial">
    <w:charset w:val="01"/>
    <w:family w:val="roman"/>
    <w:pitch w:val="default"/>
  </w:font>
  <w:font w:name="Arial">
    <w:charset w:val="cc"/>
    <w:family w:val="swiss"/>
    <w:pitch w:val="variable"/>
  </w:font>
  <w:font w:name="Calibri">
    <w:charset w:val="cc"/>
    <w:family w:val="swiss"/>
    <w:pitch w:val="variable"/>
  </w:font>
  <w:font w:name="Tahoma">
    <w:charset w:val="01"/>
    <w:family w:val="roman"/>
    <w:pitch w:val="default"/>
  </w:font>
  <w:font w:name="Liberation Sans">
    <w:altName w:val="Arial"/>
    <w:charset w:val="01"/>
    <w:family w:val="roman"/>
    <w:pitch w:val="default"/>
  </w:font>
  <w:font w:name="Symbol">
    <w:charset w:val="02"/>
    <w:family w:val="roman"/>
    <w:pitch w:val="default"/>
  </w:font>
  <w:font w:name="Segoe UI">
    <w:charset w:val="01"/>
    <w:family w:val="roman"/>
    <w:pitch w:val="default"/>
  </w:font>
  <w:font w:name="PT Astra Serif">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 w:name="Courier New">
    <w:charset w:val="cc"/>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bidi w:val="0"/>
      <w:jc w:val="center"/>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ind w:right="360" w:hanging="0"/>
      <w:rPr/>
    </w:pPr>
    <w:r>
      <w:rPr/>
    </w:r>
    <w:r>
      <mc:AlternateContent>
        <mc:Choice Requires="wps">
          <w:drawing>
            <wp:anchor behindDoc="0" distT="0" distB="0" distL="0" distR="0" simplePos="0" locked="0" layoutInCell="0" allowOverlap="1" relativeHeight="71">
              <wp:simplePos x="0" y="0"/>
              <wp:positionH relativeFrom="margin">
                <wp:align>right</wp:align>
              </wp:positionH>
              <wp:positionV relativeFrom="paragraph">
                <wp:posOffset>635</wp:posOffset>
              </wp:positionV>
              <wp:extent cx="9203055" cy="408940"/>
              <wp:effectExtent l="0" t="0" r="0" b="0"/>
              <wp:wrapSquare wrapText="largest"/>
              <wp:docPr id="43" name="Врезка19"/>
              <a:graphic xmlns:a="http://schemas.openxmlformats.org/drawingml/2006/main">
                <a:graphicData uri="http://schemas.microsoft.com/office/word/2010/wordprocessingShape">
                  <wps:wsp>
                    <wps:cNvSpPr txBox="1"/>
                    <wps:spPr>
                      <a:xfrm>
                        <a:off x="0" y="0"/>
                        <a:ext cx="9203055" cy="408940"/>
                      </a:xfrm>
                      <a:prstGeom prst="rect"/>
                      <a:solidFill>
                        <a:srgbClr val="FFFFFF">
                          <a:alpha val="0"/>
                        </a:srgbClr>
                      </a:solidFill>
                    </wps:spPr>
                    <wps:txbx>
                      <w:txbxContent>
                        <w:p>
                          <w:pPr>
                            <w:pStyle w:val="Style52"/>
                            <w:jc w:val="right"/>
                            <w:rPr/>
                          </w:pPr>
                          <w:r>
                            <w:rPr>
                              <w:rStyle w:val="Style9"/>
                            </w:rPr>
                            <w:fldChar w:fldCharType="begin"/>
                          </w:r>
                          <w:r>
                            <w:rPr>
                              <w:rStyle w:val="Style9"/>
                            </w:rPr>
                            <w:instrText xml:space="preserve"> PAGE </w:instrText>
                          </w:r>
                          <w:r>
                            <w:rPr>
                              <w:rStyle w:val="Style9"/>
                            </w:rPr>
                            <w:fldChar w:fldCharType="separate"/>
                          </w:r>
                          <w:r>
                            <w:rPr>
                              <w:rStyle w:val="Style9"/>
                            </w:rPr>
                            <w:t>176</w:t>
                          </w:r>
                          <w:r>
                            <w:rPr>
                              <w:rStyle w:val="Style9"/>
                            </w:rPr>
                            <w:fldChar w:fldCharType="end"/>
                          </w:r>
                        </w:p>
                        <w:p>
                          <w:pPr>
                            <w:pStyle w:val="Style52"/>
                            <w:ind w:right="360" w:hanging="0"/>
                            <w:rPr>
                              <w:rStyle w:val="Style9"/>
                            </w:rPr>
                          </w:pPr>
                          <w:r>
                            <w:rPr/>
                          </w:r>
                        </w:p>
                      </w:txbxContent>
                    </wps:txbx>
                    <wps:bodyPr anchor="t" lIns="0" tIns="0" rIns="0" bIns="0">
                      <a:noAutofit/>
                    </wps:bodyPr>
                  </wps:wsp>
                </a:graphicData>
              </a:graphic>
            </wp:anchor>
          </w:drawing>
        </mc:Choice>
        <mc:Fallback>
          <w:pict>
            <v:rect fillcolor="#FFFFFF" style="position:absolute;rotation:-0;width:724.65pt;height:32.2pt;mso-wrap-distance-left:0pt;mso-wrap-distance-right:0pt;mso-wrap-distance-top:0pt;mso-wrap-distance-bottom:0pt;margin-top:0.05pt;mso-position-vertical-relative:text;margin-left:18pt;mso-position-horizontal:right;mso-position-horizontal-relative:margin">
              <v:fill opacity="0f"/>
              <v:textbox inset="0in,0in,0in,0in">
                <w:txbxContent>
                  <w:p>
                    <w:pPr>
                      <w:pStyle w:val="Style52"/>
                      <w:jc w:val="right"/>
                      <w:rPr/>
                    </w:pPr>
                    <w:r>
                      <w:rPr>
                        <w:rStyle w:val="Style9"/>
                      </w:rPr>
                      <w:fldChar w:fldCharType="begin"/>
                    </w:r>
                    <w:r>
                      <w:rPr>
                        <w:rStyle w:val="Style9"/>
                      </w:rPr>
                      <w:instrText xml:space="preserve"> PAGE </w:instrText>
                    </w:r>
                    <w:r>
                      <w:rPr>
                        <w:rStyle w:val="Style9"/>
                      </w:rPr>
                      <w:fldChar w:fldCharType="separate"/>
                    </w:r>
                    <w:r>
                      <w:rPr>
                        <w:rStyle w:val="Style9"/>
                      </w:rPr>
                      <w:t>176</w:t>
                    </w:r>
                    <w:r>
                      <w:rPr>
                        <w:rStyle w:val="Style9"/>
                      </w:rPr>
                      <w:fldChar w:fldCharType="end"/>
                    </w:r>
                  </w:p>
                  <w:p>
                    <w:pPr>
                      <w:pStyle w:val="Style52"/>
                      <w:ind w:right="360" w:hanging="0"/>
                      <w:rPr>
                        <w:rStyle w:val="Style9"/>
                      </w:rPr>
                    </w:pPr>
                    <w:r>
                      <w:rPr/>
                    </w:r>
                  </w:p>
                </w:txbxContent>
              </v:textbox>
              <w10:wrap type="square" side="largest"/>
            </v:rect>
          </w:pict>
        </mc:Fallback>
      </mc:AlternateContent>
    </w:r>
  </w:p>
  <w:p>
    <w:pPr>
      <w:pStyle w:val="Normal"/>
      <w:rPr/>
    </w:pPr>
    <w:r>
      <w:rPr/>
    </w:r>
  </w:p>
  <w:p>
    <w:pPr>
      <w:pStyle w:val="Normal"/>
      <w:rPr/>
    </w:pPr>
    <w:r>
      <w:rPr/>
    </w:r>
  </w:p>
</w:ftr>
</file>

<file path=word/footer1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ind w:right="360" w:hanging="0"/>
      <w:rPr/>
    </w:pPr>
    <w:r>
      <w:rPr/>
    </w:r>
    <w:r>
      <mc:AlternateContent>
        <mc:Choice Requires="wps">
          <w:drawing>
            <wp:anchor behindDoc="0" distT="0" distB="0" distL="0" distR="0" simplePos="0" locked="0" layoutInCell="0" allowOverlap="1" relativeHeight="72">
              <wp:simplePos x="0" y="0"/>
              <wp:positionH relativeFrom="margin">
                <wp:align>right</wp:align>
              </wp:positionH>
              <wp:positionV relativeFrom="paragraph">
                <wp:posOffset>635</wp:posOffset>
              </wp:positionV>
              <wp:extent cx="6071235" cy="408940"/>
              <wp:effectExtent l="0" t="0" r="0" b="0"/>
              <wp:wrapSquare wrapText="largest"/>
              <wp:docPr id="44" name="Врезка20"/>
              <a:graphic xmlns:a="http://schemas.openxmlformats.org/drawingml/2006/main">
                <a:graphicData uri="http://schemas.microsoft.com/office/word/2010/wordprocessingShape">
                  <wps:wsp>
                    <wps:cNvSpPr txBox="1"/>
                    <wps:spPr>
                      <a:xfrm>
                        <a:off x="0" y="0"/>
                        <a:ext cx="6071235" cy="408940"/>
                      </a:xfrm>
                      <a:prstGeom prst="rect"/>
                      <a:solidFill>
                        <a:srgbClr val="FFFFFF">
                          <a:alpha val="0"/>
                        </a:srgbClr>
                      </a:solidFill>
                    </wps:spPr>
                    <wps:txbx>
                      <w:txbxContent>
                        <w:p>
                          <w:pPr>
                            <w:pStyle w:val="Style52"/>
                            <w:jc w:val="right"/>
                            <w:rPr/>
                          </w:pPr>
                          <w:r>
                            <w:rPr>
                              <w:rStyle w:val="Style9"/>
                            </w:rPr>
                            <w:fldChar w:fldCharType="begin"/>
                          </w:r>
                          <w:r>
                            <w:rPr>
                              <w:rStyle w:val="Style9"/>
                            </w:rPr>
                            <w:instrText xml:space="preserve"> PAGE </w:instrText>
                          </w:r>
                          <w:r>
                            <w:rPr>
                              <w:rStyle w:val="Style9"/>
                            </w:rPr>
                            <w:fldChar w:fldCharType="separate"/>
                          </w:r>
                          <w:r>
                            <w:rPr>
                              <w:rStyle w:val="Style9"/>
                            </w:rPr>
                            <w:t>177</w:t>
                          </w:r>
                          <w:r>
                            <w:rPr>
                              <w:rStyle w:val="Style9"/>
                            </w:rPr>
                            <w:fldChar w:fldCharType="end"/>
                          </w:r>
                        </w:p>
                        <w:p>
                          <w:pPr>
                            <w:pStyle w:val="Style52"/>
                            <w:ind w:right="360" w:hanging="0"/>
                            <w:rPr>
                              <w:rStyle w:val="Style9"/>
                            </w:rPr>
                          </w:pPr>
                          <w:r>
                            <w:rPr/>
                          </w:r>
                        </w:p>
                      </w:txbxContent>
                    </wps:txbx>
                    <wps:bodyPr anchor="t" lIns="0" tIns="0" rIns="0" bIns="0">
                      <a:noAutofit/>
                    </wps:bodyPr>
                  </wps:wsp>
                </a:graphicData>
              </a:graphic>
            </wp:anchor>
          </w:drawing>
        </mc:Choice>
        <mc:Fallback>
          <w:pict>
            <v:rect fillcolor="#FFFFFF" style="position:absolute;rotation:-0;width:478.05pt;height:32.2pt;mso-wrap-distance-left:0pt;mso-wrap-distance-right:0pt;mso-wrap-distance-top:0pt;mso-wrap-distance-bottom:0pt;margin-top:0.05pt;mso-position-vertical-relative:text;margin-left:18pt;mso-position-horizontal:right;mso-position-horizontal-relative:margin">
              <v:fill opacity="0f"/>
              <v:textbox inset="0in,0in,0in,0in">
                <w:txbxContent>
                  <w:p>
                    <w:pPr>
                      <w:pStyle w:val="Style52"/>
                      <w:jc w:val="right"/>
                      <w:rPr/>
                    </w:pPr>
                    <w:r>
                      <w:rPr>
                        <w:rStyle w:val="Style9"/>
                      </w:rPr>
                      <w:fldChar w:fldCharType="begin"/>
                    </w:r>
                    <w:r>
                      <w:rPr>
                        <w:rStyle w:val="Style9"/>
                      </w:rPr>
                      <w:instrText xml:space="preserve"> PAGE </w:instrText>
                    </w:r>
                    <w:r>
                      <w:rPr>
                        <w:rStyle w:val="Style9"/>
                      </w:rPr>
                      <w:fldChar w:fldCharType="separate"/>
                    </w:r>
                    <w:r>
                      <w:rPr>
                        <w:rStyle w:val="Style9"/>
                      </w:rPr>
                      <w:t>177</w:t>
                    </w:r>
                    <w:r>
                      <w:rPr>
                        <w:rStyle w:val="Style9"/>
                      </w:rPr>
                      <w:fldChar w:fldCharType="end"/>
                    </w:r>
                  </w:p>
                  <w:p>
                    <w:pPr>
                      <w:pStyle w:val="Style52"/>
                      <w:ind w:right="360" w:hanging="0"/>
                      <w:rPr>
                        <w:rStyle w:val="Style9"/>
                      </w:rPr>
                    </w:pPr>
                    <w:r>
                      <w:rPr/>
                    </w:r>
                  </w:p>
                </w:txbxContent>
              </v:textbox>
              <w10:wrap type="square" side="largest"/>
            </v:rect>
          </w:pict>
        </mc:Fallback>
      </mc:AlternateContent>
    </w:r>
  </w:p>
  <w:p>
    <w:pPr>
      <w:pStyle w:val="Normal"/>
      <w:rPr/>
    </w:pPr>
    <w:r>
      <w:rPr/>
    </w:r>
  </w:p>
  <w:p>
    <w:pPr>
      <w:pStyle w:val="Normal"/>
      <w:rPr/>
    </w:pPr>
    <w:r>
      <w:rPr/>
    </w:r>
  </w:p>
</w:ftr>
</file>

<file path=word/footer1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ind w:right="360" w:hanging="0"/>
      <w:rPr/>
    </w:pPr>
    <w:r>
      <w:rPr/>
    </w:r>
    <w:r>
      <mc:AlternateContent>
        <mc:Choice Requires="wps">
          <w:drawing>
            <wp:anchor behindDoc="0" distT="0" distB="0" distL="0" distR="0" simplePos="0" locked="0" layoutInCell="0" allowOverlap="1" relativeHeight="75">
              <wp:simplePos x="0" y="0"/>
              <wp:positionH relativeFrom="margin">
                <wp:align>right</wp:align>
              </wp:positionH>
              <wp:positionV relativeFrom="paragraph">
                <wp:posOffset>635</wp:posOffset>
              </wp:positionV>
              <wp:extent cx="9203055" cy="408940"/>
              <wp:effectExtent l="0" t="0" r="0" b="0"/>
              <wp:wrapSquare wrapText="largest"/>
              <wp:docPr id="45" name="Врезка21"/>
              <a:graphic xmlns:a="http://schemas.openxmlformats.org/drawingml/2006/main">
                <a:graphicData uri="http://schemas.microsoft.com/office/word/2010/wordprocessingShape">
                  <wps:wsp>
                    <wps:cNvSpPr txBox="1"/>
                    <wps:spPr>
                      <a:xfrm>
                        <a:off x="0" y="0"/>
                        <a:ext cx="9203055" cy="408940"/>
                      </a:xfrm>
                      <a:prstGeom prst="rect"/>
                      <a:solidFill>
                        <a:srgbClr val="FFFFFF">
                          <a:alpha val="0"/>
                        </a:srgbClr>
                      </a:solidFill>
                    </wps:spPr>
                    <wps:txbx>
                      <w:txbxContent>
                        <w:p>
                          <w:pPr>
                            <w:pStyle w:val="Style52"/>
                            <w:jc w:val="right"/>
                            <w:rPr/>
                          </w:pPr>
                          <w:r>
                            <w:rPr>
                              <w:rStyle w:val="Style9"/>
                            </w:rPr>
                            <w:fldChar w:fldCharType="begin"/>
                          </w:r>
                          <w:r>
                            <w:rPr>
                              <w:rStyle w:val="Style9"/>
                            </w:rPr>
                            <w:instrText xml:space="preserve"> PAGE </w:instrText>
                          </w:r>
                          <w:r>
                            <w:rPr>
                              <w:rStyle w:val="Style9"/>
                            </w:rPr>
                            <w:fldChar w:fldCharType="separate"/>
                          </w:r>
                          <w:r>
                            <w:rPr>
                              <w:rStyle w:val="Style9"/>
                            </w:rPr>
                            <w:t>180</w:t>
                          </w:r>
                          <w:r>
                            <w:rPr>
                              <w:rStyle w:val="Style9"/>
                            </w:rPr>
                            <w:fldChar w:fldCharType="end"/>
                          </w:r>
                        </w:p>
                        <w:p>
                          <w:pPr>
                            <w:pStyle w:val="Style52"/>
                            <w:ind w:right="360" w:hanging="0"/>
                            <w:rPr>
                              <w:rStyle w:val="Style9"/>
                            </w:rPr>
                          </w:pPr>
                          <w:r>
                            <w:rPr/>
                          </w:r>
                        </w:p>
                      </w:txbxContent>
                    </wps:txbx>
                    <wps:bodyPr anchor="t" lIns="0" tIns="0" rIns="0" bIns="0">
                      <a:noAutofit/>
                    </wps:bodyPr>
                  </wps:wsp>
                </a:graphicData>
              </a:graphic>
            </wp:anchor>
          </w:drawing>
        </mc:Choice>
        <mc:Fallback>
          <w:pict>
            <v:rect fillcolor="#FFFFFF" style="position:absolute;rotation:-0;width:724.65pt;height:32.2pt;mso-wrap-distance-left:0pt;mso-wrap-distance-right:0pt;mso-wrap-distance-top:0pt;mso-wrap-distance-bottom:0pt;margin-top:0.05pt;mso-position-vertical-relative:text;margin-left:18pt;mso-position-horizontal:right;mso-position-horizontal-relative:margin">
              <v:fill opacity="0f"/>
              <v:textbox inset="0in,0in,0in,0in">
                <w:txbxContent>
                  <w:p>
                    <w:pPr>
                      <w:pStyle w:val="Style52"/>
                      <w:jc w:val="right"/>
                      <w:rPr/>
                    </w:pPr>
                    <w:r>
                      <w:rPr>
                        <w:rStyle w:val="Style9"/>
                      </w:rPr>
                      <w:fldChar w:fldCharType="begin"/>
                    </w:r>
                    <w:r>
                      <w:rPr>
                        <w:rStyle w:val="Style9"/>
                      </w:rPr>
                      <w:instrText xml:space="preserve"> PAGE </w:instrText>
                    </w:r>
                    <w:r>
                      <w:rPr>
                        <w:rStyle w:val="Style9"/>
                      </w:rPr>
                      <w:fldChar w:fldCharType="separate"/>
                    </w:r>
                    <w:r>
                      <w:rPr>
                        <w:rStyle w:val="Style9"/>
                      </w:rPr>
                      <w:t>180</w:t>
                    </w:r>
                    <w:r>
                      <w:rPr>
                        <w:rStyle w:val="Style9"/>
                      </w:rPr>
                      <w:fldChar w:fldCharType="end"/>
                    </w:r>
                  </w:p>
                  <w:p>
                    <w:pPr>
                      <w:pStyle w:val="Style52"/>
                      <w:ind w:right="360" w:hanging="0"/>
                      <w:rPr>
                        <w:rStyle w:val="Style9"/>
                      </w:rPr>
                    </w:pPr>
                    <w:r>
                      <w:rPr/>
                    </w:r>
                  </w:p>
                </w:txbxContent>
              </v:textbox>
              <w10:wrap type="square" side="largest"/>
            </v:rect>
          </w:pict>
        </mc:Fallback>
      </mc:AlternateContent>
    </w:r>
  </w:p>
  <w:p>
    <w:pPr>
      <w:pStyle w:val="Normal"/>
      <w:rPr/>
    </w:pPr>
    <w:r>
      <w:rPr/>
    </w:r>
  </w:p>
  <w:p>
    <w:pPr>
      <w:pStyle w:val="Normal"/>
      <w:rPr/>
    </w:pPr>
    <w:r>
      <w:rPr/>
    </w:r>
  </w:p>
</w:ftr>
</file>

<file path=word/footer1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ind w:right="360" w:hanging="0"/>
      <w:rPr/>
    </w:pPr>
    <w:r>
      <w:rPr/>
    </w:r>
    <w:r>
      <mc:AlternateContent>
        <mc:Choice Requires="wps">
          <w:drawing>
            <wp:anchor behindDoc="0" distT="0" distB="0" distL="0" distR="0" simplePos="0" locked="0" layoutInCell="0" allowOverlap="1" relativeHeight="78">
              <wp:simplePos x="0" y="0"/>
              <wp:positionH relativeFrom="margin">
                <wp:align>right</wp:align>
              </wp:positionH>
              <wp:positionV relativeFrom="paragraph">
                <wp:posOffset>635</wp:posOffset>
              </wp:positionV>
              <wp:extent cx="9203055" cy="408940"/>
              <wp:effectExtent l="0" t="0" r="0" b="0"/>
              <wp:wrapSquare wrapText="largest"/>
              <wp:docPr id="46" name="Врезка22"/>
              <a:graphic xmlns:a="http://schemas.openxmlformats.org/drawingml/2006/main">
                <a:graphicData uri="http://schemas.microsoft.com/office/word/2010/wordprocessingShape">
                  <wps:wsp>
                    <wps:cNvSpPr txBox="1"/>
                    <wps:spPr>
                      <a:xfrm>
                        <a:off x="0" y="0"/>
                        <a:ext cx="9203055" cy="408940"/>
                      </a:xfrm>
                      <a:prstGeom prst="rect"/>
                      <a:solidFill>
                        <a:srgbClr val="FFFFFF">
                          <a:alpha val="0"/>
                        </a:srgbClr>
                      </a:solidFill>
                    </wps:spPr>
                    <wps:txbx>
                      <w:txbxContent>
                        <w:p>
                          <w:pPr>
                            <w:pStyle w:val="Style52"/>
                            <w:jc w:val="right"/>
                            <w:rPr/>
                          </w:pPr>
                          <w:r>
                            <w:rPr>
                              <w:rStyle w:val="Style9"/>
                            </w:rPr>
                            <w:fldChar w:fldCharType="begin"/>
                          </w:r>
                          <w:r>
                            <w:rPr>
                              <w:rStyle w:val="Style9"/>
                            </w:rPr>
                            <w:instrText xml:space="preserve"> PAGE </w:instrText>
                          </w:r>
                          <w:r>
                            <w:rPr>
                              <w:rStyle w:val="Style9"/>
                            </w:rPr>
                            <w:fldChar w:fldCharType="separate"/>
                          </w:r>
                          <w:r>
                            <w:rPr>
                              <w:rStyle w:val="Style9"/>
                            </w:rPr>
                            <w:t>183</w:t>
                          </w:r>
                          <w:r>
                            <w:rPr>
                              <w:rStyle w:val="Style9"/>
                            </w:rPr>
                            <w:fldChar w:fldCharType="end"/>
                          </w:r>
                        </w:p>
                        <w:p>
                          <w:pPr>
                            <w:pStyle w:val="Style52"/>
                            <w:ind w:right="360" w:hanging="0"/>
                            <w:rPr>
                              <w:rStyle w:val="Style9"/>
                            </w:rPr>
                          </w:pPr>
                          <w:r>
                            <w:rPr/>
                          </w:r>
                        </w:p>
                      </w:txbxContent>
                    </wps:txbx>
                    <wps:bodyPr anchor="t" lIns="0" tIns="0" rIns="0" bIns="0">
                      <a:noAutofit/>
                    </wps:bodyPr>
                  </wps:wsp>
                </a:graphicData>
              </a:graphic>
            </wp:anchor>
          </w:drawing>
        </mc:Choice>
        <mc:Fallback>
          <w:pict>
            <v:rect fillcolor="#FFFFFF" style="position:absolute;rotation:-0;width:724.65pt;height:32.2pt;mso-wrap-distance-left:0pt;mso-wrap-distance-right:0pt;mso-wrap-distance-top:0pt;mso-wrap-distance-bottom:0pt;margin-top:0.05pt;mso-position-vertical-relative:text;margin-left:18pt;mso-position-horizontal:right;mso-position-horizontal-relative:margin">
              <v:fill opacity="0f"/>
              <v:textbox inset="0in,0in,0in,0in">
                <w:txbxContent>
                  <w:p>
                    <w:pPr>
                      <w:pStyle w:val="Style52"/>
                      <w:jc w:val="right"/>
                      <w:rPr/>
                    </w:pPr>
                    <w:r>
                      <w:rPr>
                        <w:rStyle w:val="Style9"/>
                      </w:rPr>
                      <w:fldChar w:fldCharType="begin"/>
                    </w:r>
                    <w:r>
                      <w:rPr>
                        <w:rStyle w:val="Style9"/>
                      </w:rPr>
                      <w:instrText xml:space="preserve"> PAGE </w:instrText>
                    </w:r>
                    <w:r>
                      <w:rPr>
                        <w:rStyle w:val="Style9"/>
                      </w:rPr>
                      <w:fldChar w:fldCharType="separate"/>
                    </w:r>
                    <w:r>
                      <w:rPr>
                        <w:rStyle w:val="Style9"/>
                      </w:rPr>
                      <w:t>183</w:t>
                    </w:r>
                    <w:r>
                      <w:rPr>
                        <w:rStyle w:val="Style9"/>
                      </w:rPr>
                      <w:fldChar w:fldCharType="end"/>
                    </w:r>
                  </w:p>
                  <w:p>
                    <w:pPr>
                      <w:pStyle w:val="Style52"/>
                      <w:ind w:right="360" w:hanging="0"/>
                      <w:rPr>
                        <w:rStyle w:val="Style9"/>
                      </w:rPr>
                    </w:pPr>
                    <w:r>
                      <w:rPr/>
                    </w:r>
                  </w:p>
                </w:txbxContent>
              </v:textbox>
              <w10:wrap type="square" side="largest"/>
            </v:rect>
          </w:pict>
        </mc:Fallback>
      </mc:AlternateContent>
    </w:r>
  </w:p>
  <w:p>
    <w:pPr>
      <w:pStyle w:val="Normal"/>
      <w:rPr/>
    </w:pPr>
    <w:r>
      <w:rPr/>
    </w:r>
  </w:p>
  <w:p>
    <w:pPr>
      <w:pStyle w:val="Normal"/>
      <w:rPr/>
    </w:pPr>
    <w:r>
      <w:rPr/>
    </w:r>
  </w:p>
</w:ftr>
</file>

<file path=word/footer1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0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ind w:right="360" w:hanging="0"/>
      <w:rPr/>
    </w:pPr>
    <w:r>
      <w:rPr/>
    </w:r>
    <w:r>
      <mc:AlternateContent>
        <mc:Choice Requires="wps">
          <w:drawing>
            <wp:anchor behindDoc="0" distT="0" distB="0" distL="0" distR="0" simplePos="0" locked="0" layoutInCell="0" allowOverlap="1" relativeHeight="80">
              <wp:simplePos x="0" y="0"/>
              <wp:positionH relativeFrom="margin">
                <wp:align>right</wp:align>
              </wp:positionH>
              <wp:positionV relativeFrom="paragraph">
                <wp:posOffset>635</wp:posOffset>
              </wp:positionV>
              <wp:extent cx="6071235" cy="408940"/>
              <wp:effectExtent l="0" t="0" r="0" b="0"/>
              <wp:wrapSquare wrapText="largest"/>
              <wp:docPr id="47" name="Врезка23"/>
              <a:graphic xmlns:a="http://schemas.openxmlformats.org/drawingml/2006/main">
                <a:graphicData uri="http://schemas.microsoft.com/office/word/2010/wordprocessingShape">
                  <wps:wsp>
                    <wps:cNvSpPr txBox="1"/>
                    <wps:spPr>
                      <a:xfrm>
                        <a:off x="0" y="0"/>
                        <a:ext cx="6071235" cy="408940"/>
                      </a:xfrm>
                      <a:prstGeom prst="rect"/>
                      <a:solidFill>
                        <a:srgbClr val="FFFFFF">
                          <a:alpha val="0"/>
                        </a:srgbClr>
                      </a:solidFill>
                    </wps:spPr>
                    <wps:txbx>
                      <w:txbxContent>
                        <w:p>
                          <w:pPr>
                            <w:pStyle w:val="Style52"/>
                            <w:jc w:val="right"/>
                            <w:rPr/>
                          </w:pPr>
                          <w:r>
                            <w:rPr>
                              <w:rStyle w:val="Style9"/>
                            </w:rPr>
                            <w:fldChar w:fldCharType="begin"/>
                          </w:r>
                          <w:r>
                            <w:rPr>
                              <w:rStyle w:val="Style9"/>
                            </w:rPr>
                            <w:instrText xml:space="preserve"> PAGE </w:instrText>
                          </w:r>
                          <w:r>
                            <w:rPr>
                              <w:rStyle w:val="Style9"/>
                            </w:rPr>
                            <w:fldChar w:fldCharType="separate"/>
                          </w:r>
                          <w:r>
                            <w:rPr>
                              <w:rStyle w:val="Style9"/>
                            </w:rPr>
                            <w:t>185</w:t>
                          </w:r>
                          <w:r>
                            <w:rPr>
                              <w:rStyle w:val="Style9"/>
                            </w:rPr>
                            <w:fldChar w:fldCharType="end"/>
                          </w:r>
                        </w:p>
                        <w:p>
                          <w:pPr>
                            <w:pStyle w:val="Style52"/>
                            <w:ind w:right="360" w:hanging="0"/>
                            <w:rPr>
                              <w:rStyle w:val="Style9"/>
                            </w:rPr>
                          </w:pPr>
                          <w:r>
                            <w:rPr/>
                          </w:r>
                        </w:p>
                      </w:txbxContent>
                    </wps:txbx>
                    <wps:bodyPr anchor="t" lIns="0" tIns="0" rIns="0" bIns="0">
                      <a:noAutofit/>
                    </wps:bodyPr>
                  </wps:wsp>
                </a:graphicData>
              </a:graphic>
            </wp:anchor>
          </w:drawing>
        </mc:Choice>
        <mc:Fallback>
          <w:pict>
            <v:rect fillcolor="#FFFFFF" style="position:absolute;rotation:-0;width:478.05pt;height:32.2pt;mso-wrap-distance-left:0pt;mso-wrap-distance-right:0pt;mso-wrap-distance-top:0pt;mso-wrap-distance-bottom:0pt;margin-top:0.05pt;mso-position-vertical-relative:text;margin-left:18pt;mso-position-horizontal:right;mso-position-horizontal-relative:margin">
              <v:fill opacity="0f"/>
              <v:textbox inset="0in,0in,0in,0in">
                <w:txbxContent>
                  <w:p>
                    <w:pPr>
                      <w:pStyle w:val="Style52"/>
                      <w:jc w:val="right"/>
                      <w:rPr/>
                    </w:pPr>
                    <w:r>
                      <w:rPr>
                        <w:rStyle w:val="Style9"/>
                      </w:rPr>
                      <w:fldChar w:fldCharType="begin"/>
                    </w:r>
                    <w:r>
                      <w:rPr>
                        <w:rStyle w:val="Style9"/>
                      </w:rPr>
                      <w:instrText xml:space="preserve"> PAGE </w:instrText>
                    </w:r>
                    <w:r>
                      <w:rPr>
                        <w:rStyle w:val="Style9"/>
                      </w:rPr>
                      <w:fldChar w:fldCharType="separate"/>
                    </w:r>
                    <w:r>
                      <w:rPr>
                        <w:rStyle w:val="Style9"/>
                      </w:rPr>
                      <w:t>185</w:t>
                    </w:r>
                    <w:r>
                      <w:rPr>
                        <w:rStyle w:val="Style9"/>
                      </w:rPr>
                      <w:fldChar w:fldCharType="end"/>
                    </w:r>
                  </w:p>
                  <w:p>
                    <w:pPr>
                      <w:pStyle w:val="Style52"/>
                      <w:ind w:right="360" w:hanging="0"/>
                      <w:rPr>
                        <w:rStyle w:val="Style9"/>
                      </w:rPr>
                    </w:pPr>
                    <w:r>
                      <w:rPr/>
                    </w:r>
                  </w:p>
                </w:txbxContent>
              </v:textbox>
              <w10:wrap type="square" side="largest"/>
            </v:rect>
          </w:pict>
        </mc:Fallback>
      </mc:AlternateContent>
    </w:r>
  </w:p>
  <w:p>
    <w:pPr>
      <w:pStyle w:val="Normal"/>
      <w:rPr/>
    </w:pPr>
    <w:r>
      <w:rPr/>
    </w:r>
  </w:p>
  <w:p>
    <w:pPr>
      <w:pStyle w:val="Normal"/>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ind w:right="360" w:hanging="0"/>
      <w:rPr/>
    </w:pPr>
    <w:r>
      <w:rPr/>
    </w:r>
    <w:r>
      <mc:AlternateContent>
        <mc:Choice Requires="wps">
          <w:drawing>
            <wp:anchor behindDoc="0" distT="0" distB="0" distL="0" distR="0" simplePos="0" locked="0" layoutInCell="0" allowOverlap="1" relativeHeight="82">
              <wp:simplePos x="0" y="0"/>
              <wp:positionH relativeFrom="margin">
                <wp:align>right</wp:align>
              </wp:positionH>
              <wp:positionV relativeFrom="paragraph">
                <wp:posOffset>635</wp:posOffset>
              </wp:positionV>
              <wp:extent cx="9203055" cy="408940"/>
              <wp:effectExtent l="0" t="0" r="0" b="0"/>
              <wp:wrapSquare wrapText="largest"/>
              <wp:docPr id="48" name="Врезка24"/>
              <a:graphic xmlns:a="http://schemas.openxmlformats.org/drawingml/2006/main">
                <a:graphicData uri="http://schemas.microsoft.com/office/word/2010/wordprocessingShape">
                  <wps:wsp>
                    <wps:cNvSpPr txBox="1"/>
                    <wps:spPr>
                      <a:xfrm>
                        <a:off x="0" y="0"/>
                        <a:ext cx="9203055" cy="408940"/>
                      </a:xfrm>
                      <a:prstGeom prst="rect"/>
                      <a:solidFill>
                        <a:srgbClr val="FFFFFF">
                          <a:alpha val="0"/>
                        </a:srgbClr>
                      </a:solidFill>
                    </wps:spPr>
                    <wps:txbx>
                      <w:txbxContent>
                        <w:p>
                          <w:pPr>
                            <w:pStyle w:val="Style52"/>
                            <w:jc w:val="right"/>
                            <w:rPr/>
                          </w:pPr>
                          <w:r>
                            <w:rPr>
                              <w:rStyle w:val="Style9"/>
                            </w:rPr>
                            <w:fldChar w:fldCharType="begin"/>
                          </w:r>
                          <w:r>
                            <w:rPr>
                              <w:rStyle w:val="Style9"/>
                            </w:rPr>
                            <w:instrText xml:space="preserve"> PAGE </w:instrText>
                          </w:r>
                          <w:r>
                            <w:rPr>
                              <w:rStyle w:val="Style9"/>
                            </w:rPr>
                            <w:fldChar w:fldCharType="separate"/>
                          </w:r>
                          <w:r>
                            <w:rPr>
                              <w:rStyle w:val="Style9"/>
                            </w:rPr>
                            <w:t>187</w:t>
                          </w:r>
                          <w:r>
                            <w:rPr>
                              <w:rStyle w:val="Style9"/>
                            </w:rPr>
                            <w:fldChar w:fldCharType="end"/>
                          </w:r>
                        </w:p>
                        <w:p>
                          <w:pPr>
                            <w:pStyle w:val="Style52"/>
                            <w:ind w:right="360" w:hanging="0"/>
                            <w:rPr>
                              <w:rStyle w:val="Style9"/>
                            </w:rPr>
                          </w:pPr>
                          <w:r>
                            <w:rPr/>
                          </w:r>
                        </w:p>
                      </w:txbxContent>
                    </wps:txbx>
                    <wps:bodyPr anchor="t" lIns="0" tIns="0" rIns="0" bIns="0">
                      <a:noAutofit/>
                    </wps:bodyPr>
                  </wps:wsp>
                </a:graphicData>
              </a:graphic>
            </wp:anchor>
          </w:drawing>
        </mc:Choice>
        <mc:Fallback>
          <w:pict>
            <v:rect fillcolor="#FFFFFF" style="position:absolute;rotation:-0;width:724.65pt;height:32.2pt;mso-wrap-distance-left:0pt;mso-wrap-distance-right:0pt;mso-wrap-distance-top:0pt;mso-wrap-distance-bottom:0pt;margin-top:0.05pt;mso-position-vertical-relative:text;margin-left:18pt;mso-position-horizontal:right;mso-position-horizontal-relative:margin">
              <v:fill opacity="0f"/>
              <v:textbox inset="0in,0in,0in,0in">
                <w:txbxContent>
                  <w:p>
                    <w:pPr>
                      <w:pStyle w:val="Style52"/>
                      <w:jc w:val="right"/>
                      <w:rPr/>
                    </w:pPr>
                    <w:r>
                      <w:rPr>
                        <w:rStyle w:val="Style9"/>
                      </w:rPr>
                      <w:fldChar w:fldCharType="begin"/>
                    </w:r>
                    <w:r>
                      <w:rPr>
                        <w:rStyle w:val="Style9"/>
                      </w:rPr>
                      <w:instrText xml:space="preserve"> PAGE </w:instrText>
                    </w:r>
                    <w:r>
                      <w:rPr>
                        <w:rStyle w:val="Style9"/>
                      </w:rPr>
                      <w:fldChar w:fldCharType="separate"/>
                    </w:r>
                    <w:r>
                      <w:rPr>
                        <w:rStyle w:val="Style9"/>
                      </w:rPr>
                      <w:t>187</w:t>
                    </w:r>
                    <w:r>
                      <w:rPr>
                        <w:rStyle w:val="Style9"/>
                      </w:rPr>
                      <w:fldChar w:fldCharType="end"/>
                    </w:r>
                  </w:p>
                  <w:p>
                    <w:pPr>
                      <w:pStyle w:val="Style52"/>
                      <w:ind w:right="360" w:hanging="0"/>
                      <w:rPr>
                        <w:rStyle w:val="Style9"/>
                      </w:rPr>
                    </w:pPr>
                    <w:r>
                      <w:rPr/>
                    </w:r>
                  </w:p>
                </w:txbxContent>
              </v:textbox>
              <w10:wrap type="square" side="largest"/>
            </v:rect>
          </w:pict>
        </mc:Fallback>
      </mc:AlternateContent>
    </w:r>
  </w:p>
  <w:p>
    <w:pPr>
      <w:pStyle w:val="Normal"/>
      <w:rPr/>
    </w:pPr>
    <w:r>
      <w:rPr/>
    </w:r>
  </w:p>
  <w:p>
    <w:pPr>
      <w:pStyle w:val="Normal"/>
      <w:rPr/>
    </w:pPr>
    <w:r>
      <w:rPr/>
    </w:r>
  </w:p>
</w:ftr>
</file>

<file path=word/footer1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ind w:right="360" w:hanging="0"/>
      <w:rPr/>
    </w:pPr>
    <w:r>
      <w:rPr/>
    </w:r>
    <w:r>
      <mc:AlternateContent>
        <mc:Choice Requires="wps">
          <w:drawing>
            <wp:anchor behindDoc="0" distT="0" distB="0" distL="0" distR="0" simplePos="0" locked="0" layoutInCell="0" allowOverlap="1" relativeHeight="83">
              <wp:simplePos x="0" y="0"/>
              <wp:positionH relativeFrom="margin">
                <wp:align>right</wp:align>
              </wp:positionH>
              <wp:positionV relativeFrom="paragraph">
                <wp:posOffset>635</wp:posOffset>
              </wp:positionV>
              <wp:extent cx="6071235" cy="408940"/>
              <wp:effectExtent l="0" t="0" r="0" b="0"/>
              <wp:wrapSquare wrapText="largest"/>
              <wp:docPr id="49" name="Врезка25"/>
              <a:graphic xmlns:a="http://schemas.openxmlformats.org/drawingml/2006/main">
                <a:graphicData uri="http://schemas.microsoft.com/office/word/2010/wordprocessingShape">
                  <wps:wsp>
                    <wps:cNvSpPr txBox="1"/>
                    <wps:spPr>
                      <a:xfrm>
                        <a:off x="0" y="0"/>
                        <a:ext cx="6071235" cy="408940"/>
                      </a:xfrm>
                      <a:prstGeom prst="rect"/>
                      <a:solidFill>
                        <a:srgbClr val="FFFFFF">
                          <a:alpha val="0"/>
                        </a:srgbClr>
                      </a:solidFill>
                    </wps:spPr>
                    <wps:txbx>
                      <w:txbxContent>
                        <w:p>
                          <w:pPr>
                            <w:pStyle w:val="Style52"/>
                            <w:jc w:val="right"/>
                            <w:rPr/>
                          </w:pPr>
                          <w:r>
                            <w:rPr>
                              <w:rStyle w:val="Style9"/>
                            </w:rPr>
                            <w:fldChar w:fldCharType="begin"/>
                          </w:r>
                          <w:r>
                            <w:rPr>
                              <w:rStyle w:val="Style9"/>
                            </w:rPr>
                            <w:instrText xml:space="preserve"> PAGE </w:instrText>
                          </w:r>
                          <w:r>
                            <w:rPr>
                              <w:rStyle w:val="Style9"/>
                            </w:rPr>
                            <w:fldChar w:fldCharType="separate"/>
                          </w:r>
                          <w:r>
                            <w:rPr>
                              <w:rStyle w:val="Style9"/>
                            </w:rPr>
                            <w:t>188</w:t>
                          </w:r>
                          <w:r>
                            <w:rPr>
                              <w:rStyle w:val="Style9"/>
                            </w:rPr>
                            <w:fldChar w:fldCharType="end"/>
                          </w:r>
                        </w:p>
                        <w:p>
                          <w:pPr>
                            <w:pStyle w:val="Style52"/>
                            <w:ind w:right="360" w:hanging="0"/>
                            <w:rPr>
                              <w:rStyle w:val="Style9"/>
                            </w:rPr>
                          </w:pPr>
                          <w:r>
                            <w:rPr/>
                          </w:r>
                        </w:p>
                      </w:txbxContent>
                    </wps:txbx>
                    <wps:bodyPr anchor="t" lIns="0" tIns="0" rIns="0" bIns="0">
                      <a:noAutofit/>
                    </wps:bodyPr>
                  </wps:wsp>
                </a:graphicData>
              </a:graphic>
            </wp:anchor>
          </w:drawing>
        </mc:Choice>
        <mc:Fallback>
          <w:pict>
            <v:rect fillcolor="#FFFFFF" style="position:absolute;rotation:-0;width:478.05pt;height:32.2pt;mso-wrap-distance-left:0pt;mso-wrap-distance-right:0pt;mso-wrap-distance-top:0pt;mso-wrap-distance-bottom:0pt;margin-top:0.05pt;mso-position-vertical-relative:text;margin-left:18pt;mso-position-horizontal:right;mso-position-horizontal-relative:margin">
              <v:fill opacity="0f"/>
              <v:textbox inset="0in,0in,0in,0in">
                <w:txbxContent>
                  <w:p>
                    <w:pPr>
                      <w:pStyle w:val="Style52"/>
                      <w:jc w:val="right"/>
                      <w:rPr/>
                    </w:pPr>
                    <w:r>
                      <w:rPr>
                        <w:rStyle w:val="Style9"/>
                      </w:rPr>
                      <w:fldChar w:fldCharType="begin"/>
                    </w:r>
                    <w:r>
                      <w:rPr>
                        <w:rStyle w:val="Style9"/>
                      </w:rPr>
                      <w:instrText xml:space="preserve"> PAGE </w:instrText>
                    </w:r>
                    <w:r>
                      <w:rPr>
                        <w:rStyle w:val="Style9"/>
                      </w:rPr>
                      <w:fldChar w:fldCharType="separate"/>
                    </w:r>
                    <w:r>
                      <w:rPr>
                        <w:rStyle w:val="Style9"/>
                      </w:rPr>
                      <w:t>188</w:t>
                    </w:r>
                    <w:r>
                      <w:rPr>
                        <w:rStyle w:val="Style9"/>
                      </w:rPr>
                      <w:fldChar w:fldCharType="end"/>
                    </w:r>
                  </w:p>
                  <w:p>
                    <w:pPr>
                      <w:pStyle w:val="Style52"/>
                      <w:ind w:right="360" w:hanging="0"/>
                      <w:rPr>
                        <w:rStyle w:val="Style9"/>
                      </w:rPr>
                    </w:pPr>
                    <w:r>
                      <w:rPr/>
                    </w:r>
                  </w:p>
                </w:txbxContent>
              </v:textbox>
              <w10:wrap type="square" side="largest"/>
            </v:rect>
          </w:pict>
        </mc:Fallback>
      </mc:AlternateContent>
    </w:r>
  </w:p>
  <w:p>
    <w:pPr>
      <w:pStyle w:val="Normal"/>
      <w:rPr/>
    </w:pPr>
    <w:r>
      <w:rPr/>
    </w:r>
  </w:p>
  <w:p>
    <w:pPr>
      <w:pStyle w:val="Normal"/>
      <w:rPr/>
    </w:pPr>
    <w:r>
      <w:rPr/>
    </w:r>
  </w:p>
</w:ftr>
</file>

<file path=word/footer1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ind w:right="360" w:hanging="0"/>
      <w:rPr/>
    </w:pPr>
    <w:r>
      <w:rPr/>
    </w:r>
    <w:r>
      <mc:AlternateContent>
        <mc:Choice Requires="wps">
          <w:drawing>
            <wp:anchor behindDoc="0" distT="0" distB="0" distL="0" distR="0" simplePos="0" locked="0" layoutInCell="0" allowOverlap="1" relativeHeight="86">
              <wp:simplePos x="0" y="0"/>
              <wp:positionH relativeFrom="margin">
                <wp:align>right</wp:align>
              </wp:positionH>
              <wp:positionV relativeFrom="paragraph">
                <wp:posOffset>635</wp:posOffset>
              </wp:positionV>
              <wp:extent cx="9203055" cy="408940"/>
              <wp:effectExtent l="0" t="0" r="0" b="0"/>
              <wp:wrapSquare wrapText="largest"/>
              <wp:docPr id="50" name="Врезка26"/>
              <a:graphic xmlns:a="http://schemas.openxmlformats.org/drawingml/2006/main">
                <a:graphicData uri="http://schemas.microsoft.com/office/word/2010/wordprocessingShape">
                  <wps:wsp>
                    <wps:cNvSpPr txBox="1"/>
                    <wps:spPr>
                      <a:xfrm>
                        <a:off x="0" y="0"/>
                        <a:ext cx="9203055" cy="408940"/>
                      </a:xfrm>
                      <a:prstGeom prst="rect"/>
                      <a:solidFill>
                        <a:srgbClr val="FFFFFF">
                          <a:alpha val="0"/>
                        </a:srgbClr>
                      </a:solidFill>
                    </wps:spPr>
                    <wps:txbx>
                      <w:txbxContent>
                        <w:p>
                          <w:pPr>
                            <w:pStyle w:val="Style52"/>
                            <w:jc w:val="right"/>
                            <w:rPr/>
                          </w:pPr>
                          <w:r>
                            <w:rPr>
                              <w:rStyle w:val="Style9"/>
                            </w:rPr>
                            <w:fldChar w:fldCharType="begin"/>
                          </w:r>
                          <w:r>
                            <w:rPr>
                              <w:rStyle w:val="Style9"/>
                            </w:rPr>
                            <w:instrText xml:space="preserve"> PAGE </w:instrText>
                          </w:r>
                          <w:r>
                            <w:rPr>
                              <w:rStyle w:val="Style9"/>
                            </w:rPr>
                            <w:fldChar w:fldCharType="separate"/>
                          </w:r>
                          <w:r>
                            <w:rPr>
                              <w:rStyle w:val="Style9"/>
                            </w:rPr>
                            <w:t>191</w:t>
                          </w:r>
                          <w:r>
                            <w:rPr>
                              <w:rStyle w:val="Style9"/>
                            </w:rPr>
                            <w:fldChar w:fldCharType="end"/>
                          </w:r>
                        </w:p>
                        <w:p>
                          <w:pPr>
                            <w:pStyle w:val="Style52"/>
                            <w:ind w:right="360" w:hanging="0"/>
                            <w:rPr>
                              <w:rStyle w:val="Style9"/>
                            </w:rPr>
                          </w:pPr>
                          <w:r>
                            <w:rPr/>
                          </w:r>
                        </w:p>
                      </w:txbxContent>
                    </wps:txbx>
                    <wps:bodyPr anchor="t" lIns="0" tIns="0" rIns="0" bIns="0">
                      <a:noAutofit/>
                    </wps:bodyPr>
                  </wps:wsp>
                </a:graphicData>
              </a:graphic>
            </wp:anchor>
          </w:drawing>
        </mc:Choice>
        <mc:Fallback>
          <w:pict>
            <v:rect fillcolor="#FFFFFF" style="position:absolute;rotation:-0;width:724.65pt;height:32.2pt;mso-wrap-distance-left:0pt;mso-wrap-distance-right:0pt;mso-wrap-distance-top:0pt;mso-wrap-distance-bottom:0pt;margin-top:0.05pt;mso-position-vertical-relative:text;margin-left:18pt;mso-position-horizontal:right;mso-position-horizontal-relative:margin">
              <v:fill opacity="0f"/>
              <v:textbox inset="0in,0in,0in,0in">
                <w:txbxContent>
                  <w:p>
                    <w:pPr>
                      <w:pStyle w:val="Style52"/>
                      <w:jc w:val="right"/>
                      <w:rPr/>
                    </w:pPr>
                    <w:r>
                      <w:rPr>
                        <w:rStyle w:val="Style9"/>
                      </w:rPr>
                      <w:fldChar w:fldCharType="begin"/>
                    </w:r>
                    <w:r>
                      <w:rPr>
                        <w:rStyle w:val="Style9"/>
                      </w:rPr>
                      <w:instrText xml:space="preserve"> PAGE </w:instrText>
                    </w:r>
                    <w:r>
                      <w:rPr>
                        <w:rStyle w:val="Style9"/>
                      </w:rPr>
                      <w:fldChar w:fldCharType="separate"/>
                    </w:r>
                    <w:r>
                      <w:rPr>
                        <w:rStyle w:val="Style9"/>
                      </w:rPr>
                      <w:t>191</w:t>
                    </w:r>
                    <w:r>
                      <w:rPr>
                        <w:rStyle w:val="Style9"/>
                      </w:rPr>
                      <w:fldChar w:fldCharType="end"/>
                    </w:r>
                  </w:p>
                  <w:p>
                    <w:pPr>
                      <w:pStyle w:val="Style52"/>
                      <w:ind w:right="360" w:hanging="0"/>
                      <w:rPr>
                        <w:rStyle w:val="Style9"/>
                      </w:rPr>
                    </w:pPr>
                    <w:r>
                      <w:rPr/>
                    </w:r>
                  </w:p>
                </w:txbxContent>
              </v:textbox>
              <w10:wrap type="square" side="largest"/>
            </v:rect>
          </w:pict>
        </mc:Fallback>
      </mc:AlternateContent>
    </w:r>
  </w:p>
  <w:p>
    <w:pPr>
      <w:pStyle w:val="Normal"/>
      <w:rPr/>
    </w:pPr>
    <w:r>
      <w:rPr/>
    </w:r>
  </w:p>
  <w:p>
    <w:pPr>
      <w:pStyle w:val="Normal"/>
      <w:rPr/>
    </w:pPr>
    <w:r>
      <w:rPr/>
    </w:r>
  </w:p>
</w:ftr>
</file>

<file path=word/footer1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ind w:right="360" w:hanging="0"/>
      <w:rPr/>
    </w:pPr>
    <w:r>
      <w:rPr/>
    </w:r>
    <w:r>
      <mc:AlternateContent>
        <mc:Choice Requires="wps">
          <w:drawing>
            <wp:anchor behindDoc="0" distT="0" distB="0" distL="0" distR="0" simplePos="0" locked="0" layoutInCell="0" allowOverlap="1" relativeHeight="87">
              <wp:simplePos x="0" y="0"/>
              <wp:positionH relativeFrom="margin">
                <wp:align>right</wp:align>
              </wp:positionH>
              <wp:positionV relativeFrom="paragraph">
                <wp:posOffset>635</wp:posOffset>
              </wp:positionV>
              <wp:extent cx="6071235" cy="408940"/>
              <wp:effectExtent l="0" t="0" r="0" b="0"/>
              <wp:wrapSquare wrapText="largest"/>
              <wp:docPr id="51" name="Врезка27"/>
              <a:graphic xmlns:a="http://schemas.openxmlformats.org/drawingml/2006/main">
                <a:graphicData uri="http://schemas.microsoft.com/office/word/2010/wordprocessingShape">
                  <wps:wsp>
                    <wps:cNvSpPr txBox="1"/>
                    <wps:spPr>
                      <a:xfrm>
                        <a:off x="0" y="0"/>
                        <a:ext cx="6071235" cy="408940"/>
                      </a:xfrm>
                      <a:prstGeom prst="rect"/>
                      <a:solidFill>
                        <a:srgbClr val="FFFFFF">
                          <a:alpha val="0"/>
                        </a:srgbClr>
                      </a:solidFill>
                    </wps:spPr>
                    <wps:txbx>
                      <w:txbxContent>
                        <w:p>
                          <w:pPr>
                            <w:pStyle w:val="Style52"/>
                            <w:jc w:val="right"/>
                            <w:rPr/>
                          </w:pPr>
                          <w:r>
                            <w:rPr>
                              <w:rStyle w:val="Style9"/>
                            </w:rPr>
                            <w:fldChar w:fldCharType="begin"/>
                          </w:r>
                          <w:r>
                            <w:rPr>
                              <w:rStyle w:val="Style9"/>
                            </w:rPr>
                            <w:instrText xml:space="preserve"> PAGE </w:instrText>
                          </w:r>
                          <w:r>
                            <w:rPr>
                              <w:rStyle w:val="Style9"/>
                            </w:rPr>
                            <w:fldChar w:fldCharType="separate"/>
                          </w:r>
                          <w:r>
                            <w:rPr>
                              <w:rStyle w:val="Style9"/>
                            </w:rPr>
                            <w:t>192</w:t>
                          </w:r>
                          <w:r>
                            <w:rPr>
                              <w:rStyle w:val="Style9"/>
                            </w:rPr>
                            <w:fldChar w:fldCharType="end"/>
                          </w:r>
                        </w:p>
                        <w:p>
                          <w:pPr>
                            <w:pStyle w:val="Style52"/>
                            <w:ind w:right="360" w:hanging="0"/>
                            <w:rPr>
                              <w:rStyle w:val="Style9"/>
                            </w:rPr>
                          </w:pPr>
                          <w:r>
                            <w:rPr/>
                          </w:r>
                        </w:p>
                      </w:txbxContent>
                    </wps:txbx>
                    <wps:bodyPr anchor="t" lIns="0" tIns="0" rIns="0" bIns="0">
                      <a:noAutofit/>
                    </wps:bodyPr>
                  </wps:wsp>
                </a:graphicData>
              </a:graphic>
            </wp:anchor>
          </w:drawing>
        </mc:Choice>
        <mc:Fallback>
          <w:pict>
            <v:rect fillcolor="#FFFFFF" style="position:absolute;rotation:-0;width:478.05pt;height:32.2pt;mso-wrap-distance-left:0pt;mso-wrap-distance-right:0pt;mso-wrap-distance-top:0pt;mso-wrap-distance-bottom:0pt;margin-top:0.05pt;mso-position-vertical-relative:text;margin-left:18pt;mso-position-horizontal:right;mso-position-horizontal-relative:margin">
              <v:fill opacity="0f"/>
              <v:textbox inset="0in,0in,0in,0in">
                <w:txbxContent>
                  <w:p>
                    <w:pPr>
                      <w:pStyle w:val="Style52"/>
                      <w:jc w:val="right"/>
                      <w:rPr/>
                    </w:pPr>
                    <w:r>
                      <w:rPr>
                        <w:rStyle w:val="Style9"/>
                      </w:rPr>
                      <w:fldChar w:fldCharType="begin"/>
                    </w:r>
                    <w:r>
                      <w:rPr>
                        <w:rStyle w:val="Style9"/>
                      </w:rPr>
                      <w:instrText xml:space="preserve"> PAGE </w:instrText>
                    </w:r>
                    <w:r>
                      <w:rPr>
                        <w:rStyle w:val="Style9"/>
                      </w:rPr>
                      <w:fldChar w:fldCharType="separate"/>
                    </w:r>
                    <w:r>
                      <w:rPr>
                        <w:rStyle w:val="Style9"/>
                      </w:rPr>
                      <w:t>192</w:t>
                    </w:r>
                    <w:r>
                      <w:rPr>
                        <w:rStyle w:val="Style9"/>
                      </w:rPr>
                      <w:fldChar w:fldCharType="end"/>
                    </w:r>
                  </w:p>
                  <w:p>
                    <w:pPr>
                      <w:pStyle w:val="Style52"/>
                      <w:ind w:right="360" w:hanging="0"/>
                      <w:rPr>
                        <w:rStyle w:val="Style9"/>
                      </w:rPr>
                    </w:pPr>
                    <w:r>
                      <w:rPr/>
                    </w:r>
                  </w:p>
                </w:txbxContent>
              </v:textbox>
              <w10:wrap type="square" side="largest"/>
            </v:rect>
          </w:pict>
        </mc:Fallback>
      </mc:AlternateContent>
    </w:r>
  </w:p>
  <w:p>
    <w:pPr>
      <w:pStyle w:val="Normal"/>
      <w:rPr/>
    </w:pPr>
    <w:r>
      <w:rPr/>
    </w:r>
  </w:p>
  <w:p>
    <w:pPr>
      <w:pStyle w:val="Normal"/>
      <w:rPr/>
    </w:pPr>
    <w:r>
      <w:rPr/>
    </w:r>
  </w:p>
</w:ftr>
</file>

<file path=word/footer1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ind w:right="360" w:hanging="0"/>
      <w:rPr/>
    </w:pPr>
    <w:r>
      <w:rPr/>
    </w:r>
    <w:r>
      <mc:AlternateContent>
        <mc:Choice Requires="wps">
          <w:drawing>
            <wp:anchor behindDoc="0" distT="0" distB="0" distL="0" distR="0" simplePos="0" locked="0" layoutInCell="0" allowOverlap="1" relativeHeight="88">
              <wp:simplePos x="0" y="0"/>
              <wp:positionH relativeFrom="margin">
                <wp:align>right</wp:align>
              </wp:positionH>
              <wp:positionV relativeFrom="paragraph">
                <wp:posOffset>635</wp:posOffset>
              </wp:positionV>
              <wp:extent cx="9203055" cy="408940"/>
              <wp:effectExtent l="0" t="0" r="0" b="0"/>
              <wp:wrapSquare wrapText="largest"/>
              <wp:docPr id="52" name="Врезка28"/>
              <a:graphic xmlns:a="http://schemas.openxmlformats.org/drawingml/2006/main">
                <a:graphicData uri="http://schemas.microsoft.com/office/word/2010/wordprocessingShape">
                  <wps:wsp>
                    <wps:cNvSpPr txBox="1"/>
                    <wps:spPr>
                      <a:xfrm>
                        <a:off x="0" y="0"/>
                        <a:ext cx="9203055" cy="408940"/>
                      </a:xfrm>
                      <a:prstGeom prst="rect"/>
                      <a:solidFill>
                        <a:srgbClr val="FFFFFF">
                          <a:alpha val="0"/>
                        </a:srgbClr>
                      </a:solidFill>
                    </wps:spPr>
                    <wps:txbx>
                      <w:txbxContent>
                        <w:p>
                          <w:pPr>
                            <w:pStyle w:val="Style52"/>
                            <w:jc w:val="right"/>
                            <w:rPr/>
                          </w:pPr>
                          <w:r>
                            <w:rPr>
                              <w:rStyle w:val="Style9"/>
                            </w:rPr>
                            <w:fldChar w:fldCharType="begin"/>
                          </w:r>
                          <w:r>
                            <w:rPr>
                              <w:rStyle w:val="Style9"/>
                            </w:rPr>
                            <w:instrText xml:space="preserve"> PAGE </w:instrText>
                          </w:r>
                          <w:r>
                            <w:rPr>
                              <w:rStyle w:val="Style9"/>
                            </w:rPr>
                            <w:fldChar w:fldCharType="separate"/>
                          </w:r>
                          <w:r>
                            <w:rPr>
                              <w:rStyle w:val="Style9"/>
                            </w:rPr>
                            <w:t>193</w:t>
                          </w:r>
                          <w:r>
                            <w:rPr>
                              <w:rStyle w:val="Style9"/>
                            </w:rPr>
                            <w:fldChar w:fldCharType="end"/>
                          </w:r>
                        </w:p>
                        <w:p>
                          <w:pPr>
                            <w:pStyle w:val="Style52"/>
                            <w:ind w:right="360" w:hanging="0"/>
                            <w:rPr>
                              <w:rStyle w:val="Style9"/>
                            </w:rPr>
                          </w:pPr>
                          <w:r>
                            <w:rPr/>
                          </w:r>
                        </w:p>
                      </w:txbxContent>
                    </wps:txbx>
                    <wps:bodyPr anchor="t" lIns="0" tIns="0" rIns="0" bIns="0">
                      <a:noAutofit/>
                    </wps:bodyPr>
                  </wps:wsp>
                </a:graphicData>
              </a:graphic>
            </wp:anchor>
          </w:drawing>
        </mc:Choice>
        <mc:Fallback>
          <w:pict>
            <v:rect fillcolor="#FFFFFF" style="position:absolute;rotation:-0;width:724.65pt;height:32.2pt;mso-wrap-distance-left:0pt;mso-wrap-distance-right:0pt;mso-wrap-distance-top:0pt;mso-wrap-distance-bottom:0pt;margin-top:0.05pt;mso-position-vertical-relative:text;margin-left:18pt;mso-position-horizontal:right;mso-position-horizontal-relative:margin">
              <v:fill opacity="0f"/>
              <v:textbox inset="0in,0in,0in,0in">
                <w:txbxContent>
                  <w:p>
                    <w:pPr>
                      <w:pStyle w:val="Style52"/>
                      <w:jc w:val="right"/>
                      <w:rPr/>
                    </w:pPr>
                    <w:r>
                      <w:rPr>
                        <w:rStyle w:val="Style9"/>
                      </w:rPr>
                      <w:fldChar w:fldCharType="begin"/>
                    </w:r>
                    <w:r>
                      <w:rPr>
                        <w:rStyle w:val="Style9"/>
                      </w:rPr>
                      <w:instrText xml:space="preserve"> PAGE </w:instrText>
                    </w:r>
                    <w:r>
                      <w:rPr>
                        <w:rStyle w:val="Style9"/>
                      </w:rPr>
                      <w:fldChar w:fldCharType="separate"/>
                    </w:r>
                    <w:r>
                      <w:rPr>
                        <w:rStyle w:val="Style9"/>
                      </w:rPr>
                      <w:t>193</w:t>
                    </w:r>
                    <w:r>
                      <w:rPr>
                        <w:rStyle w:val="Style9"/>
                      </w:rPr>
                      <w:fldChar w:fldCharType="end"/>
                    </w:r>
                  </w:p>
                  <w:p>
                    <w:pPr>
                      <w:pStyle w:val="Style52"/>
                      <w:ind w:right="360" w:hanging="0"/>
                      <w:rPr>
                        <w:rStyle w:val="Style9"/>
                      </w:rPr>
                    </w:pPr>
                    <w:r>
                      <w:rPr/>
                    </w:r>
                  </w:p>
                </w:txbxContent>
              </v:textbox>
              <w10:wrap type="square" side="largest"/>
            </v:rect>
          </w:pict>
        </mc:Fallback>
      </mc:AlternateContent>
    </w:r>
  </w:p>
  <w:p>
    <w:pPr>
      <w:pStyle w:val="Normal"/>
      <w:rPr/>
    </w:pPr>
    <w:r>
      <w:rPr/>
    </w:r>
  </w:p>
  <w:p>
    <w:pPr>
      <w:pStyle w:val="Normal"/>
      <w:rPr/>
    </w:pPr>
    <w:r>
      <w:rPr/>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ind w:right="360" w:hanging="0"/>
      <w:rPr/>
    </w:pPr>
    <w:r>
      <w:rPr/>
    </w:r>
    <w:r>
      <mc:AlternateContent>
        <mc:Choice Requires="wps">
          <w:drawing>
            <wp:anchor behindDoc="0" distT="0" distB="0" distL="0" distR="0" simplePos="0" locked="0" layoutInCell="0" allowOverlap="1" relativeHeight="90">
              <wp:simplePos x="0" y="0"/>
              <wp:positionH relativeFrom="margin">
                <wp:align>right</wp:align>
              </wp:positionH>
              <wp:positionV relativeFrom="paragraph">
                <wp:posOffset>635</wp:posOffset>
              </wp:positionV>
              <wp:extent cx="6071235" cy="408940"/>
              <wp:effectExtent l="0" t="0" r="0" b="0"/>
              <wp:wrapSquare wrapText="largest"/>
              <wp:docPr id="53" name="Врезка29"/>
              <a:graphic xmlns:a="http://schemas.openxmlformats.org/drawingml/2006/main">
                <a:graphicData uri="http://schemas.microsoft.com/office/word/2010/wordprocessingShape">
                  <wps:wsp>
                    <wps:cNvSpPr txBox="1"/>
                    <wps:spPr>
                      <a:xfrm>
                        <a:off x="0" y="0"/>
                        <a:ext cx="6071235" cy="408940"/>
                      </a:xfrm>
                      <a:prstGeom prst="rect"/>
                      <a:solidFill>
                        <a:srgbClr val="FFFFFF">
                          <a:alpha val="0"/>
                        </a:srgbClr>
                      </a:solidFill>
                    </wps:spPr>
                    <wps:txbx>
                      <w:txbxContent>
                        <w:p>
                          <w:pPr>
                            <w:pStyle w:val="Style52"/>
                            <w:jc w:val="right"/>
                            <w:rPr/>
                          </w:pPr>
                          <w:r>
                            <w:rPr>
                              <w:rStyle w:val="Style9"/>
                            </w:rPr>
                            <w:fldChar w:fldCharType="begin"/>
                          </w:r>
                          <w:r>
                            <w:rPr>
                              <w:rStyle w:val="Style9"/>
                            </w:rPr>
                            <w:instrText xml:space="preserve"> PAGE </w:instrText>
                          </w:r>
                          <w:r>
                            <w:rPr>
                              <w:rStyle w:val="Style9"/>
                            </w:rPr>
                            <w:fldChar w:fldCharType="separate"/>
                          </w:r>
                          <w:r>
                            <w:rPr>
                              <w:rStyle w:val="Style9"/>
                            </w:rPr>
                            <w:t>195</w:t>
                          </w:r>
                          <w:r>
                            <w:rPr>
                              <w:rStyle w:val="Style9"/>
                            </w:rPr>
                            <w:fldChar w:fldCharType="end"/>
                          </w:r>
                        </w:p>
                        <w:p>
                          <w:pPr>
                            <w:pStyle w:val="Style52"/>
                            <w:ind w:right="360" w:hanging="0"/>
                            <w:rPr>
                              <w:rStyle w:val="Style9"/>
                            </w:rPr>
                          </w:pPr>
                          <w:r>
                            <w:rPr/>
                          </w:r>
                        </w:p>
                      </w:txbxContent>
                    </wps:txbx>
                    <wps:bodyPr anchor="t" lIns="0" tIns="0" rIns="0" bIns="0">
                      <a:noAutofit/>
                    </wps:bodyPr>
                  </wps:wsp>
                </a:graphicData>
              </a:graphic>
            </wp:anchor>
          </w:drawing>
        </mc:Choice>
        <mc:Fallback>
          <w:pict>
            <v:rect fillcolor="#FFFFFF" style="position:absolute;rotation:-0;width:478.05pt;height:32.2pt;mso-wrap-distance-left:0pt;mso-wrap-distance-right:0pt;mso-wrap-distance-top:0pt;mso-wrap-distance-bottom:0pt;margin-top:0.05pt;mso-position-vertical-relative:text;margin-left:18pt;mso-position-horizontal:right;mso-position-horizontal-relative:margin">
              <v:fill opacity="0f"/>
              <v:textbox inset="0in,0in,0in,0in">
                <w:txbxContent>
                  <w:p>
                    <w:pPr>
                      <w:pStyle w:val="Style52"/>
                      <w:jc w:val="right"/>
                      <w:rPr/>
                    </w:pPr>
                    <w:r>
                      <w:rPr>
                        <w:rStyle w:val="Style9"/>
                      </w:rPr>
                      <w:fldChar w:fldCharType="begin"/>
                    </w:r>
                    <w:r>
                      <w:rPr>
                        <w:rStyle w:val="Style9"/>
                      </w:rPr>
                      <w:instrText xml:space="preserve"> PAGE </w:instrText>
                    </w:r>
                    <w:r>
                      <w:rPr>
                        <w:rStyle w:val="Style9"/>
                      </w:rPr>
                      <w:fldChar w:fldCharType="separate"/>
                    </w:r>
                    <w:r>
                      <w:rPr>
                        <w:rStyle w:val="Style9"/>
                      </w:rPr>
                      <w:t>195</w:t>
                    </w:r>
                    <w:r>
                      <w:rPr>
                        <w:rStyle w:val="Style9"/>
                      </w:rPr>
                      <w:fldChar w:fldCharType="end"/>
                    </w:r>
                  </w:p>
                  <w:p>
                    <w:pPr>
                      <w:pStyle w:val="Style52"/>
                      <w:ind w:right="360" w:hanging="0"/>
                      <w:rPr>
                        <w:rStyle w:val="Style9"/>
                      </w:rPr>
                    </w:pPr>
                    <w:r>
                      <w:rPr/>
                    </w:r>
                  </w:p>
                </w:txbxContent>
              </v:textbox>
              <w10:wrap type="square" side="largest"/>
            </v:rect>
          </w:pict>
        </mc:Fallback>
      </mc:AlternateContent>
    </w:r>
  </w:p>
  <w:p>
    <w:pPr>
      <w:pStyle w:val="Normal"/>
      <w:rPr/>
    </w:pPr>
    <w:r>
      <w:rPr/>
    </w:r>
  </w:p>
  <w:p>
    <w:pPr>
      <w:pStyle w:val="Normal"/>
      <w:rPr/>
    </w:pPr>
    <w:r>
      <w:rPr/>
    </w:r>
  </w:p>
</w:ftr>
</file>

<file path=word/footer1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ind w:right="360" w:hanging="0"/>
      <w:rPr/>
    </w:pPr>
    <w:r>
      <w:rPr/>
    </w:r>
    <w:r>
      <mc:AlternateContent>
        <mc:Choice Requires="wps">
          <w:drawing>
            <wp:anchor behindDoc="0" distT="0" distB="0" distL="0" distR="0" simplePos="0" locked="0" layoutInCell="0" allowOverlap="1" relativeHeight="91">
              <wp:simplePos x="0" y="0"/>
              <wp:positionH relativeFrom="margin">
                <wp:align>right</wp:align>
              </wp:positionH>
              <wp:positionV relativeFrom="paragraph">
                <wp:posOffset>635</wp:posOffset>
              </wp:positionV>
              <wp:extent cx="9203055" cy="408940"/>
              <wp:effectExtent l="0" t="0" r="0" b="0"/>
              <wp:wrapSquare wrapText="largest"/>
              <wp:docPr id="54" name="Врезка30"/>
              <a:graphic xmlns:a="http://schemas.openxmlformats.org/drawingml/2006/main">
                <a:graphicData uri="http://schemas.microsoft.com/office/word/2010/wordprocessingShape">
                  <wps:wsp>
                    <wps:cNvSpPr txBox="1"/>
                    <wps:spPr>
                      <a:xfrm>
                        <a:off x="0" y="0"/>
                        <a:ext cx="9203055" cy="408940"/>
                      </a:xfrm>
                      <a:prstGeom prst="rect"/>
                      <a:solidFill>
                        <a:srgbClr val="FFFFFF">
                          <a:alpha val="0"/>
                        </a:srgbClr>
                      </a:solidFill>
                    </wps:spPr>
                    <wps:txbx>
                      <w:txbxContent>
                        <w:p>
                          <w:pPr>
                            <w:pStyle w:val="Style52"/>
                            <w:jc w:val="right"/>
                            <w:rPr/>
                          </w:pPr>
                          <w:r>
                            <w:rPr>
                              <w:rStyle w:val="Style9"/>
                            </w:rPr>
                            <w:fldChar w:fldCharType="begin"/>
                          </w:r>
                          <w:r>
                            <w:rPr>
                              <w:rStyle w:val="Style9"/>
                            </w:rPr>
                            <w:instrText xml:space="preserve"> PAGE </w:instrText>
                          </w:r>
                          <w:r>
                            <w:rPr>
                              <w:rStyle w:val="Style9"/>
                            </w:rPr>
                            <w:fldChar w:fldCharType="separate"/>
                          </w:r>
                          <w:r>
                            <w:rPr>
                              <w:rStyle w:val="Style9"/>
                            </w:rPr>
                            <w:t>196</w:t>
                          </w:r>
                          <w:r>
                            <w:rPr>
                              <w:rStyle w:val="Style9"/>
                            </w:rPr>
                            <w:fldChar w:fldCharType="end"/>
                          </w:r>
                        </w:p>
                        <w:p>
                          <w:pPr>
                            <w:pStyle w:val="Style52"/>
                            <w:ind w:right="360" w:hanging="0"/>
                            <w:rPr>
                              <w:rStyle w:val="Style9"/>
                            </w:rPr>
                          </w:pPr>
                          <w:r>
                            <w:rPr/>
                          </w:r>
                        </w:p>
                      </w:txbxContent>
                    </wps:txbx>
                    <wps:bodyPr anchor="t" lIns="0" tIns="0" rIns="0" bIns="0">
                      <a:noAutofit/>
                    </wps:bodyPr>
                  </wps:wsp>
                </a:graphicData>
              </a:graphic>
            </wp:anchor>
          </w:drawing>
        </mc:Choice>
        <mc:Fallback>
          <w:pict>
            <v:rect fillcolor="#FFFFFF" style="position:absolute;rotation:-0;width:724.65pt;height:32.2pt;mso-wrap-distance-left:0pt;mso-wrap-distance-right:0pt;mso-wrap-distance-top:0pt;mso-wrap-distance-bottom:0pt;margin-top:0.05pt;mso-position-vertical-relative:text;margin-left:18pt;mso-position-horizontal:right;mso-position-horizontal-relative:margin">
              <v:fill opacity="0f"/>
              <v:textbox inset="0in,0in,0in,0in">
                <w:txbxContent>
                  <w:p>
                    <w:pPr>
                      <w:pStyle w:val="Style52"/>
                      <w:jc w:val="right"/>
                      <w:rPr/>
                    </w:pPr>
                    <w:r>
                      <w:rPr>
                        <w:rStyle w:val="Style9"/>
                      </w:rPr>
                      <w:fldChar w:fldCharType="begin"/>
                    </w:r>
                    <w:r>
                      <w:rPr>
                        <w:rStyle w:val="Style9"/>
                      </w:rPr>
                      <w:instrText xml:space="preserve"> PAGE </w:instrText>
                    </w:r>
                    <w:r>
                      <w:rPr>
                        <w:rStyle w:val="Style9"/>
                      </w:rPr>
                      <w:fldChar w:fldCharType="separate"/>
                    </w:r>
                    <w:r>
                      <w:rPr>
                        <w:rStyle w:val="Style9"/>
                      </w:rPr>
                      <w:t>196</w:t>
                    </w:r>
                    <w:r>
                      <w:rPr>
                        <w:rStyle w:val="Style9"/>
                      </w:rPr>
                      <w:fldChar w:fldCharType="end"/>
                    </w:r>
                  </w:p>
                  <w:p>
                    <w:pPr>
                      <w:pStyle w:val="Style52"/>
                      <w:ind w:right="360" w:hanging="0"/>
                      <w:rPr>
                        <w:rStyle w:val="Style9"/>
                      </w:rPr>
                    </w:pPr>
                    <w:r>
                      <w:rPr/>
                    </w:r>
                  </w:p>
                </w:txbxContent>
              </v:textbox>
              <w10:wrap type="square" side="largest"/>
            </v:rect>
          </w:pict>
        </mc:Fallback>
      </mc:AlternateContent>
    </w:r>
  </w:p>
  <w:p>
    <w:pPr>
      <w:pStyle w:val="Normal"/>
      <w:rPr/>
    </w:pPr>
    <w:r>
      <w:rPr/>
    </w:r>
  </w:p>
  <w:p>
    <w:pPr>
      <w:pStyle w:val="Normal"/>
      <w:rPr/>
    </w:pPr>
    <w:r>
      <w:rPr/>
    </w:r>
  </w:p>
</w:ftr>
</file>

<file path=word/footer1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ind w:right="360" w:hanging="0"/>
      <w:rPr/>
    </w:pPr>
    <w:r>
      <w:rPr/>
    </w:r>
    <w:r>
      <mc:AlternateContent>
        <mc:Choice Requires="wps">
          <w:drawing>
            <wp:anchor behindDoc="0" distT="0" distB="0" distL="0" distR="0" simplePos="0" locked="0" layoutInCell="0" allowOverlap="1" relativeHeight="92">
              <wp:simplePos x="0" y="0"/>
              <wp:positionH relativeFrom="margin">
                <wp:align>right</wp:align>
              </wp:positionH>
              <wp:positionV relativeFrom="paragraph">
                <wp:posOffset>635</wp:posOffset>
              </wp:positionV>
              <wp:extent cx="6071235" cy="408940"/>
              <wp:effectExtent l="0" t="0" r="0" b="0"/>
              <wp:wrapSquare wrapText="largest"/>
              <wp:docPr id="56" name="Врезка31"/>
              <a:graphic xmlns:a="http://schemas.openxmlformats.org/drawingml/2006/main">
                <a:graphicData uri="http://schemas.microsoft.com/office/word/2010/wordprocessingShape">
                  <wps:wsp>
                    <wps:cNvSpPr txBox="1"/>
                    <wps:spPr>
                      <a:xfrm>
                        <a:off x="0" y="0"/>
                        <a:ext cx="6071235" cy="408940"/>
                      </a:xfrm>
                      <a:prstGeom prst="rect"/>
                      <a:solidFill>
                        <a:srgbClr val="FFFFFF">
                          <a:alpha val="0"/>
                        </a:srgbClr>
                      </a:solidFill>
                    </wps:spPr>
                    <wps:txbx>
                      <w:txbxContent>
                        <w:p>
                          <w:pPr>
                            <w:pStyle w:val="Style52"/>
                            <w:jc w:val="right"/>
                            <w:rPr/>
                          </w:pPr>
                          <w:r>
                            <w:rPr>
                              <w:rStyle w:val="Style9"/>
                            </w:rPr>
                            <w:fldChar w:fldCharType="begin"/>
                          </w:r>
                          <w:r>
                            <w:rPr>
                              <w:rStyle w:val="Style9"/>
                            </w:rPr>
                            <w:instrText xml:space="preserve"> PAGE </w:instrText>
                          </w:r>
                          <w:r>
                            <w:rPr>
                              <w:rStyle w:val="Style9"/>
                            </w:rPr>
                            <w:fldChar w:fldCharType="separate"/>
                          </w:r>
                          <w:r>
                            <w:rPr>
                              <w:rStyle w:val="Style9"/>
                            </w:rPr>
                            <w:t>197</w:t>
                          </w:r>
                          <w:r>
                            <w:rPr>
                              <w:rStyle w:val="Style9"/>
                            </w:rPr>
                            <w:fldChar w:fldCharType="end"/>
                          </w:r>
                        </w:p>
                        <w:p>
                          <w:pPr>
                            <w:pStyle w:val="Style52"/>
                            <w:ind w:right="360" w:hanging="0"/>
                            <w:rPr>
                              <w:rStyle w:val="Style9"/>
                            </w:rPr>
                          </w:pPr>
                          <w:r>
                            <w:rPr/>
                          </w:r>
                        </w:p>
                      </w:txbxContent>
                    </wps:txbx>
                    <wps:bodyPr anchor="t" lIns="0" tIns="0" rIns="0" bIns="0">
                      <a:noAutofit/>
                    </wps:bodyPr>
                  </wps:wsp>
                </a:graphicData>
              </a:graphic>
            </wp:anchor>
          </w:drawing>
        </mc:Choice>
        <mc:Fallback>
          <w:pict>
            <v:rect fillcolor="#FFFFFF" style="position:absolute;rotation:-0;width:478.05pt;height:32.2pt;mso-wrap-distance-left:0pt;mso-wrap-distance-right:0pt;mso-wrap-distance-top:0pt;mso-wrap-distance-bottom:0pt;margin-top:0.05pt;mso-position-vertical-relative:text;margin-left:18pt;mso-position-horizontal:right;mso-position-horizontal-relative:margin">
              <v:fill opacity="0f"/>
              <v:textbox inset="0in,0in,0in,0in">
                <w:txbxContent>
                  <w:p>
                    <w:pPr>
                      <w:pStyle w:val="Style52"/>
                      <w:jc w:val="right"/>
                      <w:rPr/>
                    </w:pPr>
                    <w:r>
                      <w:rPr>
                        <w:rStyle w:val="Style9"/>
                      </w:rPr>
                      <w:fldChar w:fldCharType="begin"/>
                    </w:r>
                    <w:r>
                      <w:rPr>
                        <w:rStyle w:val="Style9"/>
                      </w:rPr>
                      <w:instrText xml:space="preserve"> PAGE </w:instrText>
                    </w:r>
                    <w:r>
                      <w:rPr>
                        <w:rStyle w:val="Style9"/>
                      </w:rPr>
                      <w:fldChar w:fldCharType="separate"/>
                    </w:r>
                    <w:r>
                      <w:rPr>
                        <w:rStyle w:val="Style9"/>
                      </w:rPr>
                      <w:t>197</w:t>
                    </w:r>
                    <w:r>
                      <w:rPr>
                        <w:rStyle w:val="Style9"/>
                      </w:rPr>
                      <w:fldChar w:fldCharType="end"/>
                    </w:r>
                  </w:p>
                  <w:p>
                    <w:pPr>
                      <w:pStyle w:val="Style52"/>
                      <w:ind w:right="360" w:hanging="0"/>
                      <w:rPr>
                        <w:rStyle w:val="Style9"/>
                      </w:rPr>
                    </w:pPr>
                    <w:r>
                      <w:rPr/>
                    </w:r>
                  </w:p>
                </w:txbxContent>
              </v:textbox>
              <w10:wrap type="square" side="largest"/>
            </v:rect>
          </w:pict>
        </mc:Fallback>
      </mc:AlternateContent>
    </w:r>
  </w:p>
  <w:p>
    <w:pPr>
      <w:pStyle w:val="Normal"/>
      <w:rPr/>
    </w:pPr>
    <w:r>
      <w:rPr/>
    </w:r>
  </w:p>
  <w:p>
    <w:pPr>
      <w:pStyle w:val="Normal"/>
      <w:rPr/>
    </w:pPr>
    <w:r>
      <w:rPr/>
    </w:r>
  </w:p>
</w:ftr>
</file>

<file path=word/footer1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ind w:right="360" w:hanging="0"/>
      <w:rPr/>
    </w:pPr>
    <w:r>
      <w:rPr/>
    </w:r>
    <w:r>
      <mc:AlternateContent>
        <mc:Choice Requires="wps">
          <w:drawing>
            <wp:anchor behindDoc="0" distT="0" distB="0" distL="0" distR="0" simplePos="0" locked="0" layoutInCell="0" allowOverlap="1" relativeHeight="96">
              <wp:simplePos x="0" y="0"/>
              <wp:positionH relativeFrom="margin">
                <wp:align>right</wp:align>
              </wp:positionH>
              <wp:positionV relativeFrom="paragraph">
                <wp:posOffset>635</wp:posOffset>
              </wp:positionV>
              <wp:extent cx="9203055" cy="408940"/>
              <wp:effectExtent l="0" t="0" r="0" b="0"/>
              <wp:wrapSquare wrapText="largest"/>
              <wp:docPr id="57" name="Врезка32"/>
              <a:graphic xmlns:a="http://schemas.openxmlformats.org/drawingml/2006/main">
                <a:graphicData uri="http://schemas.microsoft.com/office/word/2010/wordprocessingShape">
                  <wps:wsp>
                    <wps:cNvSpPr txBox="1"/>
                    <wps:spPr>
                      <a:xfrm>
                        <a:off x="0" y="0"/>
                        <a:ext cx="9203055" cy="408940"/>
                      </a:xfrm>
                      <a:prstGeom prst="rect"/>
                      <a:solidFill>
                        <a:srgbClr val="FFFFFF">
                          <a:alpha val="0"/>
                        </a:srgbClr>
                      </a:solidFill>
                    </wps:spPr>
                    <wps:txbx>
                      <w:txbxContent>
                        <w:p>
                          <w:pPr>
                            <w:pStyle w:val="Style52"/>
                            <w:jc w:val="right"/>
                            <w:rPr/>
                          </w:pPr>
                          <w:r>
                            <w:rPr>
                              <w:rStyle w:val="Style9"/>
                            </w:rPr>
                            <w:fldChar w:fldCharType="begin"/>
                          </w:r>
                          <w:r>
                            <w:rPr>
                              <w:rStyle w:val="Style9"/>
                            </w:rPr>
                            <w:instrText xml:space="preserve"> PAGE </w:instrText>
                          </w:r>
                          <w:r>
                            <w:rPr>
                              <w:rStyle w:val="Style9"/>
                            </w:rPr>
                            <w:fldChar w:fldCharType="separate"/>
                          </w:r>
                          <w:r>
                            <w:rPr>
                              <w:rStyle w:val="Style9"/>
                            </w:rPr>
                            <w:t>199</w:t>
                          </w:r>
                          <w:r>
                            <w:rPr>
                              <w:rStyle w:val="Style9"/>
                            </w:rPr>
                            <w:fldChar w:fldCharType="end"/>
                          </w:r>
                        </w:p>
                        <w:p>
                          <w:pPr>
                            <w:pStyle w:val="Style52"/>
                            <w:ind w:right="360" w:hanging="0"/>
                            <w:rPr>
                              <w:rStyle w:val="Style9"/>
                            </w:rPr>
                          </w:pPr>
                          <w:r>
                            <w:rPr/>
                          </w:r>
                        </w:p>
                      </w:txbxContent>
                    </wps:txbx>
                    <wps:bodyPr anchor="t" lIns="0" tIns="0" rIns="0" bIns="0">
                      <a:noAutofit/>
                    </wps:bodyPr>
                  </wps:wsp>
                </a:graphicData>
              </a:graphic>
            </wp:anchor>
          </w:drawing>
        </mc:Choice>
        <mc:Fallback>
          <w:pict>
            <v:rect fillcolor="#FFFFFF" style="position:absolute;rotation:-0;width:724.65pt;height:32.2pt;mso-wrap-distance-left:0pt;mso-wrap-distance-right:0pt;mso-wrap-distance-top:0pt;mso-wrap-distance-bottom:0pt;margin-top:0.05pt;mso-position-vertical-relative:text;margin-left:18pt;mso-position-horizontal:right;mso-position-horizontal-relative:margin">
              <v:fill opacity="0f"/>
              <v:textbox inset="0in,0in,0in,0in">
                <w:txbxContent>
                  <w:p>
                    <w:pPr>
                      <w:pStyle w:val="Style52"/>
                      <w:jc w:val="right"/>
                      <w:rPr/>
                    </w:pPr>
                    <w:r>
                      <w:rPr>
                        <w:rStyle w:val="Style9"/>
                      </w:rPr>
                      <w:fldChar w:fldCharType="begin"/>
                    </w:r>
                    <w:r>
                      <w:rPr>
                        <w:rStyle w:val="Style9"/>
                      </w:rPr>
                      <w:instrText xml:space="preserve"> PAGE </w:instrText>
                    </w:r>
                    <w:r>
                      <w:rPr>
                        <w:rStyle w:val="Style9"/>
                      </w:rPr>
                      <w:fldChar w:fldCharType="separate"/>
                    </w:r>
                    <w:r>
                      <w:rPr>
                        <w:rStyle w:val="Style9"/>
                      </w:rPr>
                      <w:t>199</w:t>
                    </w:r>
                    <w:r>
                      <w:rPr>
                        <w:rStyle w:val="Style9"/>
                      </w:rPr>
                      <w:fldChar w:fldCharType="end"/>
                    </w:r>
                  </w:p>
                  <w:p>
                    <w:pPr>
                      <w:pStyle w:val="Style52"/>
                      <w:ind w:right="360" w:hanging="0"/>
                      <w:rPr>
                        <w:rStyle w:val="Style9"/>
                      </w:rPr>
                    </w:pPr>
                    <w:r>
                      <w:rPr/>
                    </w:r>
                  </w:p>
                </w:txbxContent>
              </v:textbox>
              <w10:wrap type="square" side="largest"/>
            </v:rect>
          </w:pict>
        </mc:Fallback>
      </mc:AlternateContent>
    </w:r>
  </w:p>
  <w:p>
    <w:pPr>
      <w:pStyle w:val="Normal"/>
      <w:rPr/>
    </w:pPr>
    <w:r>
      <w:rPr/>
    </w:r>
  </w:p>
  <w:p>
    <w:pPr>
      <w:pStyle w:val="Normal"/>
      <w:rPr/>
    </w:pPr>
    <w:r>
      <w:rPr/>
    </w:r>
  </w:p>
</w:ftr>
</file>

<file path=word/footer1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rPr/>
    </w:pPr>
    <w:r>
      <w:rPr/>
    </w:r>
  </w:p>
</w:ftr>
</file>

<file path=word/footer1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ind w:right="360" w:hanging="0"/>
      <w:rPr/>
    </w:pPr>
    <w:r>
      <w:rPr/>
    </w:r>
    <w:r>
      <mc:AlternateContent>
        <mc:Choice Requires="wps">
          <w:drawing>
            <wp:anchor behindDoc="0" distT="0" distB="0" distL="0" distR="0" simplePos="0" locked="0" layoutInCell="0" allowOverlap="1" relativeHeight="95">
              <wp:simplePos x="0" y="0"/>
              <wp:positionH relativeFrom="margin">
                <wp:align>right</wp:align>
              </wp:positionH>
              <wp:positionV relativeFrom="paragraph">
                <wp:posOffset>635</wp:posOffset>
              </wp:positionV>
              <wp:extent cx="6071235" cy="408940"/>
              <wp:effectExtent l="0" t="0" r="0" b="0"/>
              <wp:wrapSquare wrapText="largest"/>
              <wp:docPr id="59" name="Врезка33"/>
              <a:graphic xmlns:a="http://schemas.openxmlformats.org/drawingml/2006/main">
                <a:graphicData uri="http://schemas.microsoft.com/office/word/2010/wordprocessingShape">
                  <wps:wsp>
                    <wps:cNvSpPr txBox="1"/>
                    <wps:spPr>
                      <a:xfrm>
                        <a:off x="0" y="0"/>
                        <a:ext cx="6071235" cy="408940"/>
                      </a:xfrm>
                      <a:prstGeom prst="rect"/>
                      <a:solidFill>
                        <a:srgbClr val="FFFFFF">
                          <a:alpha val="0"/>
                        </a:srgbClr>
                      </a:solidFill>
                    </wps:spPr>
                    <wps:txbx>
                      <w:txbxContent>
                        <w:p>
                          <w:pPr>
                            <w:pStyle w:val="Style52"/>
                            <w:jc w:val="right"/>
                            <w:rPr/>
                          </w:pPr>
                          <w:r>
                            <w:rPr>
                              <w:rStyle w:val="Style9"/>
                            </w:rPr>
                            <w:fldChar w:fldCharType="begin"/>
                          </w:r>
                          <w:r>
                            <w:rPr>
                              <w:rStyle w:val="Style9"/>
                            </w:rPr>
                            <w:instrText xml:space="preserve"> PAGE </w:instrText>
                          </w:r>
                          <w:r>
                            <w:rPr>
                              <w:rStyle w:val="Style9"/>
                            </w:rPr>
                            <w:fldChar w:fldCharType="separate"/>
                          </w:r>
                          <w:r>
                            <w:rPr>
                              <w:rStyle w:val="Style9"/>
                            </w:rPr>
                            <w:t>201</w:t>
                          </w:r>
                          <w:r>
                            <w:rPr>
                              <w:rStyle w:val="Style9"/>
                            </w:rPr>
                            <w:fldChar w:fldCharType="end"/>
                          </w:r>
                        </w:p>
                        <w:p>
                          <w:pPr>
                            <w:pStyle w:val="Style52"/>
                            <w:ind w:right="360" w:hanging="0"/>
                            <w:rPr>
                              <w:rStyle w:val="Style9"/>
                            </w:rPr>
                          </w:pPr>
                          <w:r>
                            <w:rPr/>
                          </w:r>
                        </w:p>
                      </w:txbxContent>
                    </wps:txbx>
                    <wps:bodyPr anchor="t" lIns="0" tIns="0" rIns="0" bIns="0">
                      <a:noAutofit/>
                    </wps:bodyPr>
                  </wps:wsp>
                </a:graphicData>
              </a:graphic>
            </wp:anchor>
          </w:drawing>
        </mc:Choice>
        <mc:Fallback>
          <w:pict>
            <v:rect fillcolor="#FFFFFF" style="position:absolute;rotation:-0;width:478.05pt;height:32.2pt;mso-wrap-distance-left:0pt;mso-wrap-distance-right:0pt;mso-wrap-distance-top:0pt;mso-wrap-distance-bottom:0pt;margin-top:0.05pt;mso-position-vertical-relative:text;margin-left:18pt;mso-position-horizontal:right;mso-position-horizontal-relative:margin">
              <v:fill opacity="0f"/>
              <v:textbox inset="0in,0in,0in,0in">
                <w:txbxContent>
                  <w:p>
                    <w:pPr>
                      <w:pStyle w:val="Style52"/>
                      <w:jc w:val="right"/>
                      <w:rPr/>
                    </w:pPr>
                    <w:r>
                      <w:rPr>
                        <w:rStyle w:val="Style9"/>
                      </w:rPr>
                      <w:fldChar w:fldCharType="begin"/>
                    </w:r>
                    <w:r>
                      <w:rPr>
                        <w:rStyle w:val="Style9"/>
                      </w:rPr>
                      <w:instrText xml:space="preserve"> PAGE </w:instrText>
                    </w:r>
                    <w:r>
                      <w:rPr>
                        <w:rStyle w:val="Style9"/>
                      </w:rPr>
                      <w:fldChar w:fldCharType="separate"/>
                    </w:r>
                    <w:r>
                      <w:rPr>
                        <w:rStyle w:val="Style9"/>
                      </w:rPr>
                      <w:t>201</w:t>
                    </w:r>
                    <w:r>
                      <w:rPr>
                        <w:rStyle w:val="Style9"/>
                      </w:rPr>
                      <w:fldChar w:fldCharType="end"/>
                    </w:r>
                  </w:p>
                  <w:p>
                    <w:pPr>
                      <w:pStyle w:val="Style52"/>
                      <w:ind w:right="360" w:hanging="0"/>
                      <w:rPr>
                        <w:rStyle w:val="Style9"/>
                      </w:rPr>
                    </w:pPr>
                    <w:r>
                      <w:rPr/>
                    </w:r>
                  </w:p>
                </w:txbxContent>
              </v:textbox>
              <w10:wrap type="square" side="largest"/>
            </v:rect>
          </w:pict>
        </mc:Fallback>
      </mc:AlternateContent>
    </w:r>
  </w:p>
  <w:p>
    <w:pPr>
      <w:pStyle w:val="Normal"/>
      <w:rPr/>
    </w:pPr>
    <w:r>
      <w:rPr/>
    </w:r>
  </w:p>
  <w:p>
    <w:pPr>
      <w:pStyle w:val="Normal"/>
      <w:rPr/>
    </w:pPr>
    <w:r>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ind w:right="360" w:hanging="0"/>
      <w:rPr/>
    </w:pPr>
    <w:r>
      <w:rPr/>
    </w:r>
    <w:r>
      <mc:AlternateContent>
        <mc:Choice Requires="wps">
          <w:drawing>
            <wp:anchor behindDoc="0" distT="0" distB="0" distL="0" distR="0" simplePos="0" locked="0" layoutInCell="0" allowOverlap="1" relativeHeight="42">
              <wp:simplePos x="0" y="0"/>
              <wp:positionH relativeFrom="margin">
                <wp:align>right</wp:align>
              </wp:positionH>
              <wp:positionV relativeFrom="paragraph">
                <wp:posOffset>635</wp:posOffset>
              </wp:positionV>
              <wp:extent cx="9203055" cy="408940"/>
              <wp:effectExtent l="0" t="0" r="0" b="0"/>
              <wp:wrapSquare wrapText="bothSides"/>
              <wp:docPr id="8" name="Врезка10"/>
              <a:graphic xmlns:a="http://schemas.openxmlformats.org/drawingml/2006/main">
                <a:graphicData uri="http://schemas.microsoft.com/office/word/2010/wordprocessingShape">
                  <wps:wsp>
                    <wps:cNvSpPr txBox="1"/>
                    <wps:spPr>
                      <a:xfrm>
                        <a:off x="0" y="0"/>
                        <a:ext cx="9203055" cy="408940"/>
                      </a:xfrm>
                      <a:prstGeom prst="rect"/>
                      <a:solidFill>
                        <a:srgbClr val="FFFFFF">
                          <a:alpha val="0"/>
                        </a:srgbClr>
                      </a:solidFill>
                    </wps:spPr>
                    <wps:txbx>
                      <w:txbxContent>
                        <w:p>
                          <w:pPr>
                            <w:pStyle w:val="Style52"/>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74</w:t>
                          </w:r>
                          <w:r>
                            <w:rPr>
                              <w:rStyle w:val="Pagenumber"/>
                            </w:rPr>
                            <w:fldChar w:fldCharType="end"/>
                          </w:r>
                        </w:p>
                        <w:p>
                          <w:pPr>
                            <w:pStyle w:val="Style52"/>
                            <w:pBdr/>
                            <w:ind w:right="360" w:hanging="0"/>
                            <w:rPr>
                              <w:rStyle w:val="Pagenumber"/>
                            </w:rPr>
                          </w:pPr>
                          <w:r>
                            <w:rPr/>
                          </w:r>
                        </w:p>
                      </w:txbxContent>
                    </wps:txbx>
                    <wps:bodyPr anchor="t" lIns="0" tIns="0" rIns="0" bIns="0">
                      <a:spAutoFit/>
                    </wps:bodyPr>
                  </wps:wsp>
                </a:graphicData>
              </a:graphic>
            </wp:anchor>
          </w:drawing>
        </mc:Choice>
        <mc:Fallback>
          <w:pict>
            <v:rect fillcolor="#FFFFFF" style="position:absolute;rotation:-0;width:724.65pt;height:32.2pt;mso-wrap-distance-left:0pt;mso-wrap-distance-right:0pt;mso-wrap-distance-top:0pt;mso-wrap-distance-bottom:0pt;margin-top:0.05pt;mso-position-vertical-relative:text;margin-left:18pt;mso-position-horizontal:right;mso-position-horizontal-relative:margin">
              <v:fill opacity="0f"/>
              <v:textbox inset="0in,0in,0in,0in">
                <w:txbxContent>
                  <w:p>
                    <w:pPr>
                      <w:pStyle w:val="Style52"/>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74</w:t>
                    </w:r>
                    <w:r>
                      <w:rPr>
                        <w:rStyle w:val="Pagenumber"/>
                      </w:rPr>
                      <w:fldChar w:fldCharType="end"/>
                    </w:r>
                  </w:p>
                  <w:p>
                    <w:pPr>
                      <w:pStyle w:val="Style52"/>
                      <w:pBdr/>
                      <w:ind w:right="360" w:hanging="0"/>
                      <w:rPr>
                        <w:rStyle w:val="Pagenumber"/>
                      </w:rPr>
                    </w:pPr>
                    <w:r>
                      <w:rPr/>
                    </w:r>
                  </w:p>
                </w:txbxContent>
              </v:textbox>
              <w10:wrap type="square"/>
            </v:rect>
          </w:pict>
        </mc:Fallback>
      </mc:AlternateContent>
    </w:r>
  </w:p>
</w:ftr>
</file>

<file path=word/footer1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ind w:right="360" w:hanging="0"/>
      <w:rPr/>
    </w:pPr>
    <w:r>
      <w:rPr/>
    </w:r>
    <w:r>
      <mc:AlternateContent>
        <mc:Choice Requires="wps">
          <w:drawing>
            <wp:anchor behindDoc="0" distT="0" distB="0" distL="0" distR="0" simplePos="0" locked="0" layoutInCell="0" allowOverlap="1" relativeHeight="105">
              <wp:simplePos x="0" y="0"/>
              <wp:positionH relativeFrom="margin">
                <wp:align>right</wp:align>
              </wp:positionH>
              <wp:positionV relativeFrom="paragraph">
                <wp:posOffset>635</wp:posOffset>
              </wp:positionV>
              <wp:extent cx="9203055" cy="408940"/>
              <wp:effectExtent l="0" t="0" r="0" b="0"/>
              <wp:wrapSquare wrapText="largest"/>
              <wp:docPr id="60" name="Врезка34"/>
              <a:graphic xmlns:a="http://schemas.openxmlformats.org/drawingml/2006/main">
                <a:graphicData uri="http://schemas.microsoft.com/office/word/2010/wordprocessingShape">
                  <wps:wsp>
                    <wps:cNvSpPr txBox="1"/>
                    <wps:spPr>
                      <a:xfrm>
                        <a:off x="0" y="0"/>
                        <a:ext cx="9203055" cy="408940"/>
                      </a:xfrm>
                      <a:prstGeom prst="rect"/>
                      <a:solidFill>
                        <a:srgbClr val="FFFFFF">
                          <a:alpha val="0"/>
                        </a:srgbClr>
                      </a:solidFill>
                    </wps:spPr>
                    <wps:txbx>
                      <w:txbxContent>
                        <w:p>
                          <w:pPr>
                            <w:pStyle w:val="Style52"/>
                            <w:jc w:val="right"/>
                            <w:rPr/>
                          </w:pPr>
                          <w:r>
                            <w:rPr>
                              <w:rStyle w:val="Style9"/>
                            </w:rPr>
                            <w:fldChar w:fldCharType="begin"/>
                          </w:r>
                          <w:r>
                            <w:rPr>
                              <w:rStyle w:val="Style9"/>
                            </w:rPr>
                            <w:instrText xml:space="preserve"> PAGE </w:instrText>
                          </w:r>
                          <w:r>
                            <w:rPr>
                              <w:rStyle w:val="Style9"/>
                            </w:rPr>
                            <w:fldChar w:fldCharType="separate"/>
                          </w:r>
                          <w:r>
                            <w:rPr>
                              <w:rStyle w:val="Style9"/>
                            </w:rPr>
                            <w:t>203</w:t>
                          </w:r>
                          <w:r>
                            <w:rPr>
                              <w:rStyle w:val="Style9"/>
                            </w:rPr>
                            <w:fldChar w:fldCharType="end"/>
                          </w:r>
                        </w:p>
                        <w:p>
                          <w:pPr>
                            <w:pStyle w:val="Style52"/>
                            <w:ind w:right="360" w:hanging="0"/>
                            <w:rPr>
                              <w:rStyle w:val="Style9"/>
                            </w:rPr>
                          </w:pPr>
                          <w:r>
                            <w:rPr/>
                          </w:r>
                        </w:p>
                      </w:txbxContent>
                    </wps:txbx>
                    <wps:bodyPr anchor="t" lIns="0" tIns="0" rIns="0" bIns="0">
                      <a:noAutofit/>
                    </wps:bodyPr>
                  </wps:wsp>
                </a:graphicData>
              </a:graphic>
            </wp:anchor>
          </w:drawing>
        </mc:Choice>
        <mc:Fallback>
          <w:pict>
            <v:rect fillcolor="#FFFFFF" style="position:absolute;rotation:-0;width:724.65pt;height:32.2pt;mso-wrap-distance-left:0pt;mso-wrap-distance-right:0pt;mso-wrap-distance-top:0pt;mso-wrap-distance-bottom:0pt;margin-top:0.05pt;mso-position-vertical-relative:text;margin-left:18pt;mso-position-horizontal:right;mso-position-horizontal-relative:margin">
              <v:fill opacity="0f"/>
              <v:textbox inset="0in,0in,0in,0in">
                <w:txbxContent>
                  <w:p>
                    <w:pPr>
                      <w:pStyle w:val="Style52"/>
                      <w:jc w:val="right"/>
                      <w:rPr/>
                    </w:pPr>
                    <w:r>
                      <w:rPr>
                        <w:rStyle w:val="Style9"/>
                      </w:rPr>
                      <w:fldChar w:fldCharType="begin"/>
                    </w:r>
                    <w:r>
                      <w:rPr>
                        <w:rStyle w:val="Style9"/>
                      </w:rPr>
                      <w:instrText xml:space="preserve"> PAGE </w:instrText>
                    </w:r>
                    <w:r>
                      <w:rPr>
                        <w:rStyle w:val="Style9"/>
                      </w:rPr>
                      <w:fldChar w:fldCharType="separate"/>
                    </w:r>
                    <w:r>
                      <w:rPr>
                        <w:rStyle w:val="Style9"/>
                      </w:rPr>
                      <w:t>203</w:t>
                    </w:r>
                    <w:r>
                      <w:rPr>
                        <w:rStyle w:val="Style9"/>
                      </w:rPr>
                      <w:fldChar w:fldCharType="end"/>
                    </w:r>
                  </w:p>
                  <w:p>
                    <w:pPr>
                      <w:pStyle w:val="Style52"/>
                      <w:ind w:right="360" w:hanging="0"/>
                      <w:rPr>
                        <w:rStyle w:val="Style9"/>
                      </w:rPr>
                    </w:pPr>
                    <w:r>
                      <w:rPr/>
                    </w:r>
                  </w:p>
                </w:txbxContent>
              </v:textbox>
              <w10:wrap type="square" side="largest"/>
            </v:rect>
          </w:pict>
        </mc:Fallback>
      </mc:AlternateContent>
    </w:r>
  </w:p>
  <w:p>
    <w:pPr>
      <w:pStyle w:val="Normal"/>
      <w:rPr/>
    </w:pPr>
    <w:r>
      <w:rPr/>
    </w:r>
  </w:p>
  <w:p>
    <w:pPr>
      <w:pStyle w:val="Normal"/>
      <w:rPr/>
    </w:pPr>
    <w:r>
      <w:rPr/>
    </w:r>
  </w:p>
</w:ftr>
</file>

<file path=word/footer1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rPr/>
    </w:pPr>
    <w:r>
      <w:rPr/>
    </w:r>
  </w:p>
</w:ftr>
</file>

<file path=word/footer1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ind w:right="360" w:hanging="0"/>
      <w:rPr/>
    </w:pPr>
    <w:r>
      <w:rPr/>
    </w:r>
    <w:r>
      <mc:AlternateContent>
        <mc:Choice Requires="wps">
          <w:drawing>
            <wp:anchor behindDoc="0" distT="0" distB="0" distL="0" distR="0" simplePos="0" locked="0" layoutInCell="0" allowOverlap="1" relativeHeight="104">
              <wp:simplePos x="0" y="0"/>
              <wp:positionH relativeFrom="margin">
                <wp:align>right</wp:align>
              </wp:positionH>
              <wp:positionV relativeFrom="paragraph">
                <wp:posOffset>635</wp:posOffset>
              </wp:positionV>
              <wp:extent cx="6071235" cy="408940"/>
              <wp:effectExtent l="0" t="0" r="0" b="0"/>
              <wp:wrapSquare wrapText="largest"/>
              <wp:docPr id="61" name="Врезка35"/>
              <a:graphic xmlns:a="http://schemas.openxmlformats.org/drawingml/2006/main">
                <a:graphicData uri="http://schemas.microsoft.com/office/word/2010/wordprocessingShape">
                  <wps:wsp>
                    <wps:cNvSpPr txBox="1"/>
                    <wps:spPr>
                      <a:xfrm>
                        <a:off x="0" y="0"/>
                        <a:ext cx="6071235" cy="408940"/>
                      </a:xfrm>
                      <a:prstGeom prst="rect"/>
                      <a:solidFill>
                        <a:srgbClr val="FFFFFF">
                          <a:alpha val="0"/>
                        </a:srgbClr>
                      </a:solidFill>
                    </wps:spPr>
                    <wps:txbx>
                      <w:txbxContent>
                        <w:p>
                          <w:pPr>
                            <w:pStyle w:val="Style52"/>
                            <w:jc w:val="right"/>
                            <w:rPr/>
                          </w:pPr>
                          <w:r>
                            <w:rPr>
                              <w:rStyle w:val="Style9"/>
                            </w:rPr>
                            <w:fldChar w:fldCharType="begin"/>
                          </w:r>
                          <w:r>
                            <w:rPr>
                              <w:rStyle w:val="Style9"/>
                            </w:rPr>
                            <w:instrText xml:space="preserve"> PAGE </w:instrText>
                          </w:r>
                          <w:r>
                            <w:rPr>
                              <w:rStyle w:val="Style9"/>
                            </w:rPr>
                            <w:fldChar w:fldCharType="separate"/>
                          </w:r>
                          <w:r>
                            <w:rPr>
                              <w:rStyle w:val="Style9"/>
                            </w:rPr>
                            <w:t>211</w:t>
                          </w:r>
                          <w:r>
                            <w:rPr>
                              <w:rStyle w:val="Style9"/>
                            </w:rPr>
                            <w:fldChar w:fldCharType="end"/>
                          </w:r>
                        </w:p>
                        <w:p>
                          <w:pPr>
                            <w:pStyle w:val="Style52"/>
                            <w:ind w:right="360" w:hanging="0"/>
                            <w:rPr>
                              <w:rStyle w:val="Style9"/>
                            </w:rPr>
                          </w:pPr>
                          <w:r>
                            <w:rPr/>
                          </w:r>
                        </w:p>
                      </w:txbxContent>
                    </wps:txbx>
                    <wps:bodyPr anchor="t" lIns="0" tIns="0" rIns="0" bIns="0">
                      <a:noAutofit/>
                    </wps:bodyPr>
                  </wps:wsp>
                </a:graphicData>
              </a:graphic>
            </wp:anchor>
          </w:drawing>
        </mc:Choice>
        <mc:Fallback>
          <w:pict>
            <v:rect fillcolor="#FFFFFF" style="position:absolute;rotation:-0;width:478.05pt;height:32.2pt;mso-wrap-distance-left:0pt;mso-wrap-distance-right:0pt;mso-wrap-distance-top:0pt;mso-wrap-distance-bottom:0pt;margin-top:0.05pt;mso-position-vertical-relative:text;margin-left:18pt;mso-position-horizontal:right;mso-position-horizontal-relative:margin">
              <v:fill opacity="0f"/>
              <v:textbox inset="0in,0in,0in,0in">
                <w:txbxContent>
                  <w:p>
                    <w:pPr>
                      <w:pStyle w:val="Style52"/>
                      <w:jc w:val="right"/>
                      <w:rPr/>
                    </w:pPr>
                    <w:r>
                      <w:rPr>
                        <w:rStyle w:val="Style9"/>
                      </w:rPr>
                      <w:fldChar w:fldCharType="begin"/>
                    </w:r>
                    <w:r>
                      <w:rPr>
                        <w:rStyle w:val="Style9"/>
                      </w:rPr>
                      <w:instrText xml:space="preserve"> PAGE </w:instrText>
                    </w:r>
                    <w:r>
                      <w:rPr>
                        <w:rStyle w:val="Style9"/>
                      </w:rPr>
                      <w:fldChar w:fldCharType="separate"/>
                    </w:r>
                    <w:r>
                      <w:rPr>
                        <w:rStyle w:val="Style9"/>
                      </w:rPr>
                      <w:t>211</w:t>
                    </w:r>
                    <w:r>
                      <w:rPr>
                        <w:rStyle w:val="Style9"/>
                      </w:rPr>
                      <w:fldChar w:fldCharType="end"/>
                    </w:r>
                  </w:p>
                  <w:p>
                    <w:pPr>
                      <w:pStyle w:val="Style52"/>
                      <w:ind w:right="360" w:hanging="0"/>
                      <w:rPr>
                        <w:rStyle w:val="Style9"/>
                      </w:rPr>
                    </w:pPr>
                    <w:r>
                      <w:rPr/>
                    </w:r>
                  </w:p>
                </w:txbxContent>
              </v:textbox>
              <w10:wrap type="square" side="largest"/>
            </v:rect>
          </w:pict>
        </mc:Fallback>
      </mc:AlternateContent>
    </w:r>
  </w:p>
  <w:p>
    <w:pPr>
      <w:pStyle w:val="Normal"/>
      <w:rPr/>
    </w:pPr>
    <w:r>
      <w:rPr/>
    </w:r>
  </w:p>
  <w:p>
    <w:pPr>
      <w:pStyle w:val="Normal"/>
      <w:rPr/>
    </w:pPr>
    <w:r>
      <w:rPr/>
    </w:r>
  </w:p>
</w:ftr>
</file>

<file path=word/footer1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ind w:right="360" w:hanging="0"/>
      <w:rPr/>
    </w:pPr>
    <w:r>
      <w:rPr/>
    </w:r>
    <w:r>
      <mc:AlternateContent>
        <mc:Choice Requires="wps">
          <w:drawing>
            <wp:anchor behindDoc="0" distT="0" distB="0" distL="0" distR="0" simplePos="0" locked="0" layoutInCell="0" allowOverlap="1" relativeHeight="117">
              <wp:simplePos x="0" y="0"/>
              <wp:positionH relativeFrom="margin">
                <wp:align>right</wp:align>
              </wp:positionH>
              <wp:positionV relativeFrom="paragraph">
                <wp:posOffset>635</wp:posOffset>
              </wp:positionV>
              <wp:extent cx="6071235" cy="408940"/>
              <wp:effectExtent l="0" t="0" r="0" b="0"/>
              <wp:wrapSquare wrapText="largest"/>
              <wp:docPr id="62" name="Врезка36"/>
              <a:graphic xmlns:a="http://schemas.openxmlformats.org/drawingml/2006/main">
                <a:graphicData uri="http://schemas.microsoft.com/office/word/2010/wordprocessingShape">
                  <wps:wsp>
                    <wps:cNvSpPr txBox="1"/>
                    <wps:spPr>
                      <a:xfrm>
                        <a:off x="0" y="0"/>
                        <a:ext cx="6071235" cy="408940"/>
                      </a:xfrm>
                      <a:prstGeom prst="rect"/>
                      <a:solidFill>
                        <a:srgbClr val="FFFFFF">
                          <a:alpha val="0"/>
                        </a:srgbClr>
                      </a:solidFill>
                    </wps:spPr>
                    <wps:txbx>
                      <w:txbxContent>
                        <w:p>
                          <w:pPr>
                            <w:pStyle w:val="Style52"/>
                            <w:jc w:val="right"/>
                            <w:rPr/>
                          </w:pPr>
                          <w:r>
                            <w:rPr>
                              <w:rStyle w:val="Style9"/>
                            </w:rPr>
                            <w:fldChar w:fldCharType="begin"/>
                          </w:r>
                          <w:r>
                            <w:rPr>
                              <w:rStyle w:val="Style9"/>
                            </w:rPr>
                            <w:instrText xml:space="preserve"> PAGE </w:instrText>
                          </w:r>
                          <w:r>
                            <w:rPr>
                              <w:rStyle w:val="Style9"/>
                            </w:rPr>
                            <w:fldChar w:fldCharType="separate"/>
                          </w:r>
                          <w:r>
                            <w:rPr>
                              <w:rStyle w:val="Style9"/>
                            </w:rPr>
                            <w:t>214</w:t>
                          </w:r>
                          <w:r>
                            <w:rPr>
                              <w:rStyle w:val="Style9"/>
                            </w:rPr>
                            <w:fldChar w:fldCharType="end"/>
                          </w:r>
                        </w:p>
                        <w:p>
                          <w:pPr>
                            <w:pStyle w:val="Style52"/>
                            <w:ind w:right="360" w:hanging="0"/>
                            <w:rPr>
                              <w:rStyle w:val="Style9"/>
                            </w:rPr>
                          </w:pPr>
                          <w:r>
                            <w:rPr/>
                          </w:r>
                        </w:p>
                      </w:txbxContent>
                    </wps:txbx>
                    <wps:bodyPr anchor="t" lIns="0" tIns="0" rIns="0" bIns="0">
                      <a:noAutofit/>
                    </wps:bodyPr>
                  </wps:wsp>
                </a:graphicData>
              </a:graphic>
            </wp:anchor>
          </w:drawing>
        </mc:Choice>
        <mc:Fallback>
          <w:pict>
            <v:rect fillcolor="#FFFFFF" style="position:absolute;rotation:-0;width:478.05pt;height:32.2pt;mso-wrap-distance-left:0pt;mso-wrap-distance-right:0pt;mso-wrap-distance-top:0pt;mso-wrap-distance-bottom:0pt;margin-top:0.05pt;mso-position-vertical-relative:text;margin-left:18pt;mso-position-horizontal:right;mso-position-horizontal-relative:margin">
              <v:fill opacity="0f"/>
              <v:textbox inset="0in,0in,0in,0in">
                <w:txbxContent>
                  <w:p>
                    <w:pPr>
                      <w:pStyle w:val="Style52"/>
                      <w:jc w:val="right"/>
                      <w:rPr/>
                    </w:pPr>
                    <w:r>
                      <w:rPr>
                        <w:rStyle w:val="Style9"/>
                      </w:rPr>
                      <w:fldChar w:fldCharType="begin"/>
                    </w:r>
                    <w:r>
                      <w:rPr>
                        <w:rStyle w:val="Style9"/>
                      </w:rPr>
                      <w:instrText xml:space="preserve"> PAGE </w:instrText>
                    </w:r>
                    <w:r>
                      <w:rPr>
                        <w:rStyle w:val="Style9"/>
                      </w:rPr>
                      <w:fldChar w:fldCharType="separate"/>
                    </w:r>
                    <w:r>
                      <w:rPr>
                        <w:rStyle w:val="Style9"/>
                      </w:rPr>
                      <w:t>214</w:t>
                    </w:r>
                    <w:r>
                      <w:rPr>
                        <w:rStyle w:val="Style9"/>
                      </w:rPr>
                      <w:fldChar w:fldCharType="end"/>
                    </w:r>
                  </w:p>
                  <w:p>
                    <w:pPr>
                      <w:pStyle w:val="Style52"/>
                      <w:ind w:right="360" w:hanging="0"/>
                      <w:rPr>
                        <w:rStyle w:val="Style9"/>
                      </w:rPr>
                    </w:pPr>
                    <w:r>
                      <w:rPr/>
                    </w:r>
                  </w:p>
                </w:txbxContent>
              </v:textbox>
              <w10:wrap type="square" side="largest"/>
            </v:rect>
          </w:pict>
        </mc:Fallback>
      </mc:AlternateContent>
    </w:r>
  </w:p>
  <w:p>
    <w:pPr>
      <w:pStyle w:val="Normal"/>
      <w:rPr/>
    </w:pPr>
    <w:r>
      <w:rPr/>
    </w:r>
  </w:p>
  <w:p>
    <w:pPr>
      <w:pStyle w:val="Normal"/>
      <w:rPr/>
    </w:pPr>
    <w:r>
      <w:rPr/>
    </w:r>
  </w:p>
</w:ftr>
</file>

<file path=word/footer1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ind w:right="360" w:hanging="0"/>
      <w:rPr/>
    </w:pPr>
    <w:r>
      <w:rPr/>
    </w:r>
    <w:r>
      <mc:AlternateContent>
        <mc:Choice Requires="wps">
          <w:drawing>
            <wp:anchor behindDoc="0" distT="0" distB="0" distL="0" distR="0" simplePos="0" locked="0" layoutInCell="0" allowOverlap="1" relativeHeight="120">
              <wp:simplePos x="0" y="0"/>
              <wp:positionH relativeFrom="margin">
                <wp:align>right</wp:align>
              </wp:positionH>
              <wp:positionV relativeFrom="paragraph">
                <wp:posOffset>635</wp:posOffset>
              </wp:positionV>
              <wp:extent cx="9203055" cy="408940"/>
              <wp:effectExtent l="0" t="0" r="0" b="0"/>
              <wp:wrapSquare wrapText="largest"/>
              <wp:docPr id="63" name="Врезка37"/>
              <a:graphic xmlns:a="http://schemas.openxmlformats.org/drawingml/2006/main">
                <a:graphicData uri="http://schemas.microsoft.com/office/word/2010/wordprocessingShape">
                  <wps:wsp>
                    <wps:cNvSpPr txBox="1"/>
                    <wps:spPr>
                      <a:xfrm>
                        <a:off x="0" y="0"/>
                        <a:ext cx="9203055" cy="408940"/>
                      </a:xfrm>
                      <a:prstGeom prst="rect"/>
                      <a:solidFill>
                        <a:srgbClr val="FFFFFF">
                          <a:alpha val="0"/>
                        </a:srgbClr>
                      </a:solidFill>
                    </wps:spPr>
                    <wps:txbx>
                      <w:txbxContent>
                        <w:p>
                          <w:pPr>
                            <w:pStyle w:val="Style52"/>
                            <w:jc w:val="right"/>
                            <w:rPr/>
                          </w:pPr>
                          <w:r>
                            <w:rPr>
                              <w:rStyle w:val="Style9"/>
                            </w:rPr>
                            <w:fldChar w:fldCharType="begin"/>
                          </w:r>
                          <w:r>
                            <w:rPr>
                              <w:rStyle w:val="Style9"/>
                            </w:rPr>
                            <w:instrText xml:space="preserve"> PAGE </w:instrText>
                          </w:r>
                          <w:r>
                            <w:rPr>
                              <w:rStyle w:val="Style9"/>
                            </w:rPr>
                            <w:fldChar w:fldCharType="separate"/>
                          </w:r>
                          <w:r>
                            <w:rPr>
                              <w:rStyle w:val="Style9"/>
                            </w:rPr>
                            <w:t>215</w:t>
                          </w:r>
                          <w:r>
                            <w:rPr>
                              <w:rStyle w:val="Style9"/>
                            </w:rPr>
                            <w:fldChar w:fldCharType="end"/>
                          </w:r>
                        </w:p>
                        <w:p>
                          <w:pPr>
                            <w:pStyle w:val="Style52"/>
                            <w:ind w:right="360" w:hanging="0"/>
                            <w:rPr>
                              <w:rStyle w:val="Style9"/>
                            </w:rPr>
                          </w:pPr>
                          <w:r>
                            <w:rPr/>
                          </w:r>
                        </w:p>
                      </w:txbxContent>
                    </wps:txbx>
                    <wps:bodyPr anchor="t" lIns="0" tIns="0" rIns="0" bIns="0">
                      <a:noAutofit/>
                    </wps:bodyPr>
                  </wps:wsp>
                </a:graphicData>
              </a:graphic>
            </wp:anchor>
          </w:drawing>
        </mc:Choice>
        <mc:Fallback>
          <w:pict>
            <v:rect fillcolor="#FFFFFF" style="position:absolute;rotation:-0;width:724.65pt;height:32.2pt;mso-wrap-distance-left:0pt;mso-wrap-distance-right:0pt;mso-wrap-distance-top:0pt;mso-wrap-distance-bottom:0pt;margin-top:0.05pt;mso-position-vertical-relative:text;margin-left:18pt;mso-position-horizontal:right;mso-position-horizontal-relative:margin">
              <v:fill opacity="0f"/>
              <v:textbox inset="0in,0in,0in,0in">
                <w:txbxContent>
                  <w:p>
                    <w:pPr>
                      <w:pStyle w:val="Style52"/>
                      <w:jc w:val="right"/>
                      <w:rPr/>
                    </w:pPr>
                    <w:r>
                      <w:rPr>
                        <w:rStyle w:val="Style9"/>
                      </w:rPr>
                      <w:fldChar w:fldCharType="begin"/>
                    </w:r>
                    <w:r>
                      <w:rPr>
                        <w:rStyle w:val="Style9"/>
                      </w:rPr>
                      <w:instrText xml:space="preserve"> PAGE </w:instrText>
                    </w:r>
                    <w:r>
                      <w:rPr>
                        <w:rStyle w:val="Style9"/>
                      </w:rPr>
                      <w:fldChar w:fldCharType="separate"/>
                    </w:r>
                    <w:r>
                      <w:rPr>
                        <w:rStyle w:val="Style9"/>
                      </w:rPr>
                      <w:t>215</w:t>
                    </w:r>
                    <w:r>
                      <w:rPr>
                        <w:rStyle w:val="Style9"/>
                      </w:rPr>
                      <w:fldChar w:fldCharType="end"/>
                    </w:r>
                  </w:p>
                  <w:p>
                    <w:pPr>
                      <w:pStyle w:val="Style52"/>
                      <w:ind w:right="360" w:hanging="0"/>
                      <w:rPr>
                        <w:rStyle w:val="Style9"/>
                      </w:rPr>
                    </w:pPr>
                    <w:r>
                      <w:rPr/>
                    </w:r>
                  </w:p>
                </w:txbxContent>
              </v:textbox>
              <w10:wrap type="square" side="largest"/>
            </v:rect>
          </w:pict>
        </mc:Fallback>
      </mc:AlternateContent>
    </w:r>
  </w:p>
  <w:p>
    <w:pPr>
      <w:pStyle w:val="Normal"/>
      <w:rPr/>
    </w:pPr>
    <w:r>
      <w:rPr/>
    </w:r>
  </w:p>
  <w:p>
    <w:pPr>
      <w:pStyle w:val="Normal"/>
      <w:rPr/>
    </w:pPr>
    <w:r>
      <w:rPr/>
    </w:r>
  </w:p>
</w:ftr>
</file>

<file path=word/footer1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ind w:right="360" w:hanging="0"/>
      <w:rPr/>
    </w:pPr>
    <w:r>
      <w:rPr/>
    </w:r>
    <w:r>
      <mc:AlternateContent>
        <mc:Choice Requires="wps">
          <w:drawing>
            <wp:anchor behindDoc="0" distT="0" distB="0" distL="0" distR="0" simplePos="0" locked="0" layoutInCell="0" allowOverlap="1" relativeHeight="45">
              <wp:simplePos x="0" y="0"/>
              <wp:positionH relativeFrom="margin">
                <wp:align>right</wp:align>
              </wp:positionH>
              <wp:positionV relativeFrom="paragraph">
                <wp:posOffset>635</wp:posOffset>
              </wp:positionV>
              <wp:extent cx="6071235" cy="408940"/>
              <wp:effectExtent l="0" t="0" r="0" b="0"/>
              <wp:wrapSquare wrapText="bothSides"/>
              <wp:docPr id="9" name="Врезка11"/>
              <a:graphic xmlns:a="http://schemas.openxmlformats.org/drawingml/2006/main">
                <a:graphicData uri="http://schemas.microsoft.com/office/word/2010/wordprocessingShape">
                  <wps:wsp>
                    <wps:cNvSpPr txBox="1"/>
                    <wps:spPr>
                      <a:xfrm>
                        <a:off x="0" y="0"/>
                        <a:ext cx="6071235" cy="408940"/>
                      </a:xfrm>
                      <a:prstGeom prst="rect"/>
                      <a:solidFill>
                        <a:srgbClr val="FFFFFF">
                          <a:alpha val="0"/>
                        </a:srgbClr>
                      </a:solidFill>
                    </wps:spPr>
                    <wps:txbx>
                      <w:txbxContent>
                        <w:p>
                          <w:pPr>
                            <w:pStyle w:val="Style52"/>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76</w:t>
                          </w:r>
                          <w:r>
                            <w:rPr>
                              <w:rStyle w:val="Pagenumber"/>
                            </w:rPr>
                            <w:fldChar w:fldCharType="end"/>
                          </w:r>
                        </w:p>
                        <w:p>
                          <w:pPr>
                            <w:pStyle w:val="Style52"/>
                            <w:pBdr/>
                            <w:ind w:right="360" w:hanging="0"/>
                            <w:rPr>
                              <w:rStyle w:val="Pagenumber"/>
                            </w:rPr>
                          </w:pPr>
                          <w:r>
                            <w:rPr/>
                          </w:r>
                        </w:p>
                      </w:txbxContent>
                    </wps:txbx>
                    <wps:bodyPr anchor="t" lIns="0" tIns="0" rIns="0" bIns="0">
                      <a:spAutoFit/>
                    </wps:bodyPr>
                  </wps:wsp>
                </a:graphicData>
              </a:graphic>
            </wp:anchor>
          </w:drawing>
        </mc:Choice>
        <mc:Fallback>
          <w:pict>
            <v:rect fillcolor="#FFFFFF" style="position:absolute;rotation:-0;width:478.05pt;height:32.2pt;mso-wrap-distance-left:0pt;mso-wrap-distance-right:0pt;mso-wrap-distance-top:0pt;mso-wrap-distance-bottom:0pt;margin-top:0.05pt;mso-position-vertical-relative:text;margin-left:18pt;mso-position-horizontal:right;mso-position-horizontal-relative:margin">
              <v:fill opacity="0f"/>
              <v:textbox inset="0in,0in,0in,0in">
                <w:txbxContent>
                  <w:p>
                    <w:pPr>
                      <w:pStyle w:val="Style52"/>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76</w:t>
                    </w:r>
                    <w:r>
                      <w:rPr>
                        <w:rStyle w:val="Pagenumber"/>
                      </w:rPr>
                      <w:fldChar w:fldCharType="end"/>
                    </w:r>
                  </w:p>
                  <w:p>
                    <w:pPr>
                      <w:pStyle w:val="Style52"/>
                      <w:pBdr/>
                      <w:ind w:right="360" w:hanging="0"/>
                      <w:rPr>
                        <w:rStyle w:val="Pagenumber"/>
                      </w:rPr>
                    </w:pPr>
                    <w:r>
                      <w:rPr/>
                    </w:r>
                  </w:p>
                </w:txbxContent>
              </v:textbox>
              <w10:wrap type="square"/>
            </v:rect>
          </w:pict>
        </mc:Fallback>
      </mc:AlternateContent>
    </w:r>
  </w:p>
</w:ftr>
</file>

<file path=word/footer1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ind w:right="360" w:hanging="0"/>
      <w:rPr/>
    </w:pPr>
    <w:r>
      <w:rPr/>
    </w:r>
    <w:r>
      <mc:AlternateContent>
        <mc:Choice Requires="wps">
          <w:drawing>
            <wp:anchor behindDoc="0" distT="0" distB="0" distL="0" distR="0" simplePos="0" locked="0" layoutInCell="0" allowOverlap="1" relativeHeight="49">
              <wp:simplePos x="0" y="0"/>
              <wp:positionH relativeFrom="margin">
                <wp:align>right</wp:align>
              </wp:positionH>
              <wp:positionV relativeFrom="paragraph">
                <wp:posOffset>635</wp:posOffset>
              </wp:positionV>
              <wp:extent cx="9203055" cy="408940"/>
              <wp:effectExtent l="0" t="0" r="0" b="0"/>
              <wp:wrapSquare wrapText="bothSides"/>
              <wp:docPr id="10" name="Врезка12"/>
              <a:graphic xmlns:a="http://schemas.openxmlformats.org/drawingml/2006/main">
                <a:graphicData uri="http://schemas.microsoft.com/office/word/2010/wordprocessingShape">
                  <wps:wsp>
                    <wps:cNvSpPr txBox="1"/>
                    <wps:spPr>
                      <a:xfrm>
                        <a:off x="0" y="0"/>
                        <a:ext cx="9203055" cy="408940"/>
                      </a:xfrm>
                      <a:prstGeom prst="rect"/>
                      <a:solidFill>
                        <a:srgbClr val="FFFFFF">
                          <a:alpha val="0"/>
                        </a:srgbClr>
                      </a:solidFill>
                    </wps:spPr>
                    <wps:txbx>
                      <w:txbxContent>
                        <w:p>
                          <w:pPr>
                            <w:pStyle w:val="Style52"/>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78</w:t>
                          </w:r>
                          <w:r>
                            <w:rPr>
                              <w:rStyle w:val="Pagenumber"/>
                            </w:rPr>
                            <w:fldChar w:fldCharType="end"/>
                          </w:r>
                        </w:p>
                        <w:p>
                          <w:pPr>
                            <w:pStyle w:val="Style52"/>
                            <w:pBdr/>
                            <w:ind w:right="360" w:hanging="0"/>
                            <w:rPr>
                              <w:rStyle w:val="Pagenumber"/>
                            </w:rPr>
                          </w:pPr>
                          <w:r>
                            <w:rPr/>
                          </w:r>
                        </w:p>
                      </w:txbxContent>
                    </wps:txbx>
                    <wps:bodyPr anchor="t" lIns="0" tIns="0" rIns="0" bIns="0">
                      <a:spAutoFit/>
                    </wps:bodyPr>
                  </wps:wsp>
                </a:graphicData>
              </a:graphic>
            </wp:anchor>
          </w:drawing>
        </mc:Choice>
        <mc:Fallback>
          <w:pict>
            <v:rect fillcolor="#FFFFFF" style="position:absolute;rotation:-0;width:724.65pt;height:32.2pt;mso-wrap-distance-left:0pt;mso-wrap-distance-right:0pt;mso-wrap-distance-top:0pt;mso-wrap-distance-bottom:0pt;margin-top:0.05pt;mso-position-vertical-relative:text;margin-left:18pt;mso-position-horizontal:right;mso-position-horizontal-relative:margin">
              <v:fill opacity="0f"/>
              <v:textbox inset="0in,0in,0in,0in">
                <w:txbxContent>
                  <w:p>
                    <w:pPr>
                      <w:pStyle w:val="Style52"/>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78</w:t>
                    </w:r>
                    <w:r>
                      <w:rPr>
                        <w:rStyle w:val="Pagenumber"/>
                      </w:rPr>
                      <w:fldChar w:fldCharType="end"/>
                    </w:r>
                  </w:p>
                  <w:p>
                    <w:pPr>
                      <w:pStyle w:val="Style52"/>
                      <w:pBdr/>
                      <w:ind w:right="360" w:hanging="0"/>
                      <w:rPr>
                        <w:rStyle w:val="Pagenumber"/>
                      </w:rPr>
                    </w:pPr>
                    <w:r>
                      <w:rPr/>
                    </w:r>
                  </w:p>
                </w:txbxContent>
              </v:textbox>
              <w10:wrap type="square"/>
            </v:rect>
          </w:pict>
        </mc:Fallback>
      </mc:AlternateContent>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ind w:right="360" w:hanging="0"/>
      <w:rPr/>
    </w:pPr>
    <w:r>
      <w:rPr/>
    </w:r>
    <w:r>
      <mc:AlternateContent>
        <mc:Choice Requires="wps">
          <w:drawing>
            <wp:anchor behindDoc="0" distT="0" distB="0" distL="0" distR="0" simplePos="0" locked="0" layoutInCell="0" allowOverlap="1" relativeHeight="51">
              <wp:simplePos x="0" y="0"/>
              <wp:positionH relativeFrom="margin">
                <wp:align>right</wp:align>
              </wp:positionH>
              <wp:positionV relativeFrom="paragraph">
                <wp:posOffset>635</wp:posOffset>
              </wp:positionV>
              <wp:extent cx="6071235" cy="408940"/>
              <wp:effectExtent l="0" t="0" r="0" b="0"/>
              <wp:wrapSquare wrapText="bothSides"/>
              <wp:docPr id="11" name="Врезка13"/>
              <a:graphic xmlns:a="http://schemas.openxmlformats.org/drawingml/2006/main">
                <a:graphicData uri="http://schemas.microsoft.com/office/word/2010/wordprocessingShape">
                  <wps:wsp>
                    <wps:cNvSpPr txBox="1"/>
                    <wps:spPr>
                      <a:xfrm>
                        <a:off x="0" y="0"/>
                        <a:ext cx="6071235" cy="408940"/>
                      </a:xfrm>
                      <a:prstGeom prst="rect"/>
                      <a:solidFill>
                        <a:srgbClr val="FFFFFF">
                          <a:alpha val="0"/>
                        </a:srgbClr>
                      </a:solidFill>
                    </wps:spPr>
                    <wps:txbx>
                      <w:txbxContent>
                        <w:p>
                          <w:pPr>
                            <w:pStyle w:val="Style52"/>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79</w:t>
                          </w:r>
                          <w:r>
                            <w:rPr>
                              <w:rStyle w:val="Pagenumber"/>
                            </w:rPr>
                            <w:fldChar w:fldCharType="end"/>
                          </w:r>
                        </w:p>
                        <w:p>
                          <w:pPr>
                            <w:pStyle w:val="Style52"/>
                            <w:pBdr/>
                            <w:ind w:right="360" w:hanging="0"/>
                            <w:rPr>
                              <w:rStyle w:val="Pagenumber"/>
                            </w:rPr>
                          </w:pPr>
                          <w:r>
                            <w:rPr/>
                          </w:r>
                        </w:p>
                      </w:txbxContent>
                    </wps:txbx>
                    <wps:bodyPr anchor="t" lIns="0" tIns="0" rIns="0" bIns="0">
                      <a:spAutoFit/>
                    </wps:bodyPr>
                  </wps:wsp>
                </a:graphicData>
              </a:graphic>
            </wp:anchor>
          </w:drawing>
        </mc:Choice>
        <mc:Fallback>
          <w:pict>
            <v:rect fillcolor="#FFFFFF" style="position:absolute;rotation:-0;width:478.05pt;height:32.2pt;mso-wrap-distance-left:0pt;mso-wrap-distance-right:0pt;mso-wrap-distance-top:0pt;mso-wrap-distance-bottom:0pt;margin-top:0.05pt;mso-position-vertical-relative:text;margin-left:18pt;mso-position-horizontal:right;mso-position-horizontal-relative:margin">
              <v:fill opacity="0f"/>
              <v:textbox inset="0in,0in,0in,0in">
                <w:txbxContent>
                  <w:p>
                    <w:pPr>
                      <w:pStyle w:val="Style52"/>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79</w:t>
                    </w:r>
                    <w:r>
                      <w:rPr>
                        <w:rStyle w:val="Pagenumber"/>
                      </w:rPr>
                      <w:fldChar w:fldCharType="end"/>
                    </w:r>
                  </w:p>
                  <w:p>
                    <w:pPr>
                      <w:pStyle w:val="Style52"/>
                      <w:pBdr/>
                      <w:ind w:right="360" w:hanging="0"/>
                      <w:rPr>
                        <w:rStyle w:val="Pagenumber"/>
                      </w:rPr>
                    </w:pPr>
                    <w:r>
                      <w:rPr/>
                    </w:r>
                  </w:p>
                </w:txbxContent>
              </v:textbox>
              <w10:wrap type="square"/>
            </v:rect>
          </w:pict>
        </mc:Fallback>
      </mc:AlternateContent>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ind w:right="360" w:hanging="0"/>
      <w:rPr/>
    </w:pPr>
    <w:r>
      <w:rPr/>
    </w:r>
    <w:r>
      <mc:AlternateContent>
        <mc:Choice Requires="wps">
          <w:drawing>
            <wp:anchor behindDoc="0" distT="0" distB="0" distL="0" distR="0" simplePos="0" locked="0" layoutInCell="0" allowOverlap="1" relativeHeight="54">
              <wp:simplePos x="0" y="0"/>
              <wp:positionH relativeFrom="margin">
                <wp:align>right</wp:align>
              </wp:positionH>
              <wp:positionV relativeFrom="paragraph">
                <wp:posOffset>635</wp:posOffset>
              </wp:positionV>
              <wp:extent cx="9203055" cy="408940"/>
              <wp:effectExtent l="0" t="0" r="0" b="0"/>
              <wp:wrapSquare wrapText="bothSides"/>
              <wp:docPr id="12" name="Врезка14"/>
              <a:graphic xmlns:a="http://schemas.openxmlformats.org/drawingml/2006/main">
                <a:graphicData uri="http://schemas.microsoft.com/office/word/2010/wordprocessingShape">
                  <wps:wsp>
                    <wps:cNvSpPr txBox="1"/>
                    <wps:spPr>
                      <a:xfrm>
                        <a:off x="0" y="0"/>
                        <a:ext cx="9203055" cy="408940"/>
                      </a:xfrm>
                      <a:prstGeom prst="rect"/>
                      <a:solidFill>
                        <a:srgbClr val="FFFFFF">
                          <a:alpha val="0"/>
                        </a:srgbClr>
                      </a:solidFill>
                    </wps:spPr>
                    <wps:txbx>
                      <w:txbxContent>
                        <w:p>
                          <w:pPr>
                            <w:pStyle w:val="Style52"/>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81</w:t>
                          </w:r>
                          <w:r>
                            <w:rPr>
                              <w:rStyle w:val="Pagenumber"/>
                            </w:rPr>
                            <w:fldChar w:fldCharType="end"/>
                          </w:r>
                        </w:p>
                        <w:p>
                          <w:pPr>
                            <w:pStyle w:val="Style52"/>
                            <w:pBdr/>
                            <w:ind w:right="360" w:hanging="0"/>
                            <w:rPr>
                              <w:rStyle w:val="Pagenumber"/>
                            </w:rPr>
                          </w:pPr>
                          <w:r>
                            <w:rPr/>
                          </w:r>
                        </w:p>
                      </w:txbxContent>
                    </wps:txbx>
                    <wps:bodyPr anchor="t" lIns="0" tIns="0" rIns="0" bIns="0">
                      <a:spAutoFit/>
                    </wps:bodyPr>
                  </wps:wsp>
                </a:graphicData>
              </a:graphic>
            </wp:anchor>
          </w:drawing>
        </mc:Choice>
        <mc:Fallback>
          <w:pict>
            <v:rect fillcolor="#FFFFFF" style="position:absolute;rotation:-0;width:724.65pt;height:32.2pt;mso-wrap-distance-left:0pt;mso-wrap-distance-right:0pt;mso-wrap-distance-top:0pt;mso-wrap-distance-bottom:0pt;margin-top:0.05pt;mso-position-vertical-relative:text;margin-left:18pt;mso-position-horizontal:right;mso-position-horizontal-relative:margin">
              <v:fill opacity="0f"/>
              <v:textbox inset="0in,0in,0in,0in">
                <w:txbxContent>
                  <w:p>
                    <w:pPr>
                      <w:pStyle w:val="Style52"/>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81</w:t>
                    </w:r>
                    <w:r>
                      <w:rPr>
                        <w:rStyle w:val="Pagenumber"/>
                      </w:rPr>
                      <w:fldChar w:fldCharType="end"/>
                    </w:r>
                  </w:p>
                  <w:p>
                    <w:pPr>
                      <w:pStyle w:val="Style52"/>
                      <w:pBdr/>
                      <w:ind w:right="360" w:hanging="0"/>
                      <w:rPr>
                        <w:rStyle w:val="Pagenumber"/>
                      </w:rPr>
                    </w:pPr>
                    <w:r>
                      <w:rPr/>
                    </w:r>
                  </w:p>
                </w:txbxContent>
              </v:textbox>
              <w10:wrap type="square"/>
            </v:rect>
          </w:pict>
        </mc:Fallback>
      </mc:AlternateContent>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jc w:val="right"/>
      <w:rPr/>
    </w:pPr>
    <w:r>
      <w:rPr/>
      <w:fldChar w:fldCharType="begin"/>
    </w:r>
    <w:r>
      <w:rPr/>
      <w:instrText xml:space="preserve"> PAGE </w:instrText>
    </w:r>
    <w:r>
      <w:rPr/>
      <w:fldChar w:fldCharType="separate"/>
    </w:r>
    <w:r>
      <w:rPr/>
      <w:t>83</w:t>
    </w:r>
    <w:r>
      <w:rPr/>
      <w:fldChar w:fldCharType="end"/>
    </w:r>
  </w:p>
  <w:p>
    <w:pPr>
      <w:pStyle w:val="Style52"/>
      <w:ind w:right="360" w:hanging="0"/>
      <w:rPr/>
    </w:pPr>
    <w:r>
      <w:rPr/>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jc w:val="right"/>
      <w:rPr/>
    </w:pPr>
    <w:r>
      <w:rPr/>
      <w:fldChar w:fldCharType="begin"/>
    </w:r>
    <w:r>
      <w:rPr/>
      <w:instrText xml:space="preserve"> PAGE </w:instrText>
    </w:r>
    <w:r>
      <w:rPr/>
      <w:fldChar w:fldCharType="separate"/>
    </w:r>
    <w:r>
      <w:rPr/>
      <w:t>83</w:t>
    </w:r>
    <w:r>
      <w:rPr/>
      <w:fldChar w:fldCharType="end"/>
    </w:r>
  </w:p>
  <w:p>
    <w:pPr>
      <w:pStyle w:val="Style52"/>
      <w:ind w:right="360" w:hanging="0"/>
      <w:rPr/>
    </w:pPr>
    <w:r>
      <w:rPr/>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jc w:val="right"/>
      <w:rPr/>
    </w:pPr>
    <w:r>
      <w:rPr/>
      <w:fldChar w:fldCharType="begin"/>
    </w:r>
    <w:r>
      <w:rPr/>
      <w:instrText xml:space="preserve"> PAGE </w:instrText>
    </w:r>
    <w:r>
      <w:rPr/>
      <w:fldChar w:fldCharType="separate"/>
    </w:r>
    <w:r>
      <w:rPr/>
      <w:t>84</w:t>
    </w:r>
    <w:r>
      <w:rPr/>
      <w:fldChar w:fldCharType="end"/>
    </w:r>
  </w:p>
  <w:p>
    <w:pPr>
      <w:pStyle w:val="Style52"/>
      <w:ind w:right="360" w:hanging="0"/>
      <w:rPr/>
    </w:pPr>
    <w:r>
      <w:rPr/>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jc w:val="right"/>
      <w:rPr/>
    </w:pPr>
    <w:r>
      <w:rPr/>
      <w:fldChar w:fldCharType="begin"/>
    </w:r>
    <w:r>
      <w:rPr/>
      <w:instrText xml:space="preserve"> PAGE </w:instrText>
    </w:r>
    <w:r>
      <w:rPr/>
      <w:fldChar w:fldCharType="separate"/>
    </w:r>
    <w:r>
      <w:rPr/>
      <w:t>44</w:t>
    </w:r>
    <w:r>
      <w:rPr/>
      <w:fldChar w:fldCharType="end"/>
    </w:r>
  </w:p>
  <w:p>
    <w:pPr>
      <w:pStyle w:val="Style52"/>
      <w:ind w:right="360" w:hanging="0"/>
      <w:rPr/>
    </w:pPr>
    <w:r>
      <w:rPr/>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bidi w:val="0"/>
      <w:jc w:val="center"/>
      <w:rPr/>
    </w:pPr>
    <w:r>
      <w:rPr/>
    </w:r>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ind w:right="360" w:hanging="0"/>
      <w:rPr/>
    </w:pPr>
    <w:r>
      <w:rPr/>
    </w:r>
    <w:r>
      <mc:AlternateContent>
        <mc:Choice Requires="wps">
          <w:drawing>
            <wp:anchor behindDoc="0" distT="0" distB="0" distL="0" distR="0" simplePos="0" locked="0" layoutInCell="0" allowOverlap="1" relativeHeight="10">
              <wp:simplePos x="0" y="0"/>
              <wp:positionH relativeFrom="margin">
                <wp:align>right</wp:align>
              </wp:positionH>
              <wp:positionV relativeFrom="paragraph">
                <wp:posOffset>635</wp:posOffset>
              </wp:positionV>
              <wp:extent cx="9203055" cy="408940"/>
              <wp:effectExtent l="0" t="0" r="0" b="0"/>
              <wp:wrapSquare wrapText="bothSides"/>
              <wp:docPr id="13" name="Врезка3"/>
              <a:graphic xmlns:a="http://schemas.openxmlformats.org/drawingml/2006/main">
                <a:graphicData uri="http://schemas.microsoft.com/office/word/2010/wordprocessingShape">
                  <wps:wsp>
                    <wps:cNvSpPr txBox="1"/>
                    <wps:spPr>
                      <a:xfrm>
                        <a:off x="0" y="0"/>
                        <a:ext cx="9203055" cy="408940"/>
                      </a:xfrm>
                      <a:prstGeom prst="rect"/>
                      <a:solidFill>
                        <a:srgbClr val="FFFFFF">
                          <a:alpha val="0"/>
                        </a:srgbClr>
                      </a:solidFill>
                    </wps:spPr>
                    <wps:txbx>
                      <w:txbxContent>
                        <w:p>
                          <w:pPr>
                            <w:pStyle w:val="Style52"/>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9</w:t>
                          </w:r>
                          <w:r>
                            <w:rPr>
                              <w:rStyle w:val="Pagenumber"/>
                            </w:rPr>
                            <w:fldChar w:fldCharType="end"/>
                          </w:r>
                        </w:p>
                        <w:p>
                          <w:pPr>
                            <w:pStyle w:val="Style52"/>
                            <w:pBdr/>
                            <w:ind w:right="360" w:hanging="0"/>
                            <w:rPr>
                              <w:rStyle w:val="Pagenumber"/>
                            </w:rPr>
                          </w:pPr>
                          <w:r>
                            <w:rPr/>
                          </w:r>
                        </w:p>
                      </w:txbxContent>
                    </wps:txbx>
                    <wps:bodyPr anchor="t" lIns="0" tIns="0" rIns="0" bIns="0">
                      <a:spAutoFit/>
                    </wps:bodyPr>
                  </wps:wsp>
                </a:graphicData>
              </a:graphic>
            </wp:anchor>
          </w:drawing>
        </mc:Choice>
        <mc:Fallback>
          <w:pict>
            <v:rect fillcolor="#FFFFFF" style="position:absolute;rotation:-0;width:724.65pt;height:32.2pt;mso-wrap-distance-left:0pt;mso-wrap-distance-right:0pt;mso-wrap-distance-top:0pt;mso-wrap-distance-bottom:0pt;margin-top:0.05pt;mso-position-vertical-relative:text;margin-left:18pt;mso-position-horizontal:right;mso-position-horizontal-relative:margin">
              <v:fill opacity="0f"/>
              <v:textbox inset="0in,0in,0in,0in">
                <w:txbxContent>
                  <w:p>
                    <w:pPr>
                      <w:pStyle w:val="Style52"/>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9</w:t>
                    </w:r>
                    <w:r>
                      <w:rPr>
                        <w:rStyle w:val="Pagenumber"/>
                      </w:rPr>
                      <w:fldChar w:fldCharType="end"/>
                    </w:r>
                  </w:p>
                  <w:p>
                    <w:pPr>
                      <w:pStyle w:val="Style52"/>
                      <w:pBdr/>
                      <w:ind w:right="360" w:hanging="0"/>
                      <w:rPr>
                        <w:rStyle w:val="Pagenumber"/>
                      </w:rPr>
                    </w:pPr>
                    <w:r>
                      <w:rPr/>
                    </w:r>
                  </w:p>
                </w:txbxContent>
              </v:textbox>
              <w10:wrap type="square"/>
            </v:rect>
          </w:pict>
        </mc:Fallback>
      </mc:AlternateContent>
    </w:r>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ind w:right="360" w:hanging="0"/>
      <w:rPr/>
    </w:pPr>
    <w:r>
      <w:rPr/>
    </w:r>
    <w:r>
      <mc:AlternateContent>
        <mc:Choice Requires="wps">
          <w:drawing>
            <wp:anchor behindDoc="0" distT="0" distB="0" distL="0" distR="0" simplePos="0" locked="0" layoutInCell="0" allowOverlap="1" relativeHeight="10">
              <wp:simplePos x="0" y="0"/>
              <wp:positionH relativeFrom="margin">
                <wp:align>right</wp:align>
              </wp:positionH>
              <wp:positionV relativeFrom="paragraph">
                <wp:posOffset>635</wp:posOffset>
              </wp:positionV>
              <wp:extent cx="9203055" cy="408940"/>
              <wp:effectExtent l="0" t="0" r="0" b="0"/>
              <wp:wrapSquare wrapText="bothSides"/>
              <wp:docPr id="14" name="Врезка3"/>
              <a:graphic xmlns:a="http://schemas.openxmlformats.org/drawingml/2006/main">
                <a:graphicData uri="http://schemas.microsoft.com/office/word/2010/wordprocessingShape">
                  <wps:wsp>
                    <wps:cNvSpPr txBox="1"/>
                    <wps:spPr>
                      <a:xfrm>
                        <a:off x="0" y="0"/>
                        <a:ext cx="9203055" cy="408940"/>
                      </a:xfrm>
                      <a:prstGeom prst="rect"/>
                      <a:solidFill>
                        <a:srgbClr val="FFFFFF">
                          <a:alpha val="0"/>
                        </a:srgbClr>
                      </a:solidFill>
                    </wps:spPr>
                    <wps:txbx>
                      <w:txbxContent>
                        <w:p>
                          <w:pPr>
                            <w:pStyle w:val="Style52"/>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9</w:t>
                          </w:r>
                          <w:r>
                            <w:rPr>
                              <w:rStyle w:val="Pagenumber"/>
                            </w:rPr>
                            <w:fldChar w:fldCharType="end"/>
                          </w:r>
                        </w:p>
                        <w:p>
                          <w:pPr>
                            <w:pStyle w:val="Style52"/>
                            <w:pBdr/>
                            <w:ind w:right="360" w:hanging="0"/>
                            <w:rPr>
                              <w:rStyle w:val="Pagenumber"/>
                            </w:rPr>
                          </w:pPr>
                          <w:r>
                            <w:rPr/>
                          </w:r>
                        </w:p>
                      </w:txbxContent>
                    </wps:txbx>
                    <wps:bodyPr anchor="t" lIns="0" tIns="0" rIns="0" bIns="0">
                      <a:spAutoFit/>
                    </wps:bodyPr>
                  </wps:wsp>
                </a:graphicData>
              </a:graphic>
            </wp:anchor>
          </w:drawing>
        </mc:Choice>
        <mc:Fallback>
          <w:pict>
            <v:rect fillcolor="#FFFFFF" style="position:absolute;rotation:-0;width:724.65pt;height:32.2pt;mso-wrap-distance-left:0pt;mso-wrap-distance-right:0pt;mso-wrap-distance-top:0pt;mso-wrap-distance-bottom:0pt;margin-top:0.05pt;mso-position-vertical-relative:text;margin-left:18pt;mso-position-horizontal:right;mso-position-horizontal-relative:margin">
              <v:fill opacity="0f"/>
              <v:textbox inset="0in,0in,0in,0in">
                <w:txbxContent>
                  <w:p>
                    <w:pPr>
                      <w:pStyle w:val="Style52"/>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9</w:t>
                    </w:r>
                    <w:r>
                      <w:rPr>
                        <w:rStyle w:val="Pagenumber"/>
                      </w:rPr>
                      <w:fldChar w:fldCharType="end"/>
                    </w:r>
                  </w:p>
                  <w:p>
                    <w:pPr>
                      <w:pStyle w:val="Style52"/>
                      <w:pBdr/>
                      <w:ind w:right="360" w:hanging="0"/>
                      <w:rPr>
                        <w:rStyle w:val="Pagenumber"/>
                      </w:rPr>
                    </w:pPr>
                    <w:r>
                      <w:rPr/>
                    </w:r>
                  </w:p>
                </w:txbxContent>
              </v:textbox>
              <w10:wrap type="square"/>
            </v:rect>
          </w:pict>
        </mc:Fallback>
      </mc:AlternateContent>
    </w:r>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ind w:right="360" w:hanging="0"/>
      <w:rPr/>
    </w:pPr>
    <w:r>
      <w:rPr/>
    </w:r>
    <w:r>
      <mc:AlternateContent>
        <mc:Choice Requires="wps">
          <w:drawing>
            <wp:anchor behindDoc="0" distT="0" distB="0" distL="0" distR="0" simplePos="0" locked="0" layoutInCell="0" allowOverlap="1" relativeHeight="10">
              <wp:simplePos x="0" y="0"/>
              <wp:positionH relativeFrom="margin">
                <wp:align>right</wp:align>
              </wp:positionH>
              <wp:positionV relativeFrom="paragraph">
                <wp:posOffset>635</wp:posOffset>
              </wp:positionV>
              <wp:extent cx="9203055" cy="408940"/>
              <wp:effectExtent l="0" t="0" r="0" b="0"/>
              <wp:wrapSquare wrapText="bothSides"/>
              <wp:docPr id="17" name="Врезка3"/>
              <a:graphic xmlns:a="http://schemas.openxmlformats.org/drawingml/2006/main">
                <a:graphicData uri="http://schemas.microsoft.com/office/word/2010/wordprocessingShape">
                  <wps:wsp>
                    <wps:cNvSpPr txBox="1"/>
                    <wps:spPr>
                      <a:xfrm>
                        <a:off x="0" y="0"/>
                        <a:ext cx="9203055" cy="408940"/>
                      </a:xfrm>
                      <a:prstGeom prst="rect"/>
                      <a:solidFill>
                        <a:srgbClr val="FFFFFF">
                          <a:alpha val="0"/>
                        </a:srgbClr>
                      </a:solidFill>
                    </wps:spPr>
                    <wps:txbx>
                      <w:txbxContent>
                        <w:p>
                          <w:pPr>
                            <w:pStyle w:val="Style52"/>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9</w:t>
                          </w:r>
                          <w:r>
                            <w:rPr>
                              <w:rStyle w:val="Pagenumber"/>
                            </w:rPr>
                            <w:fldChar w:fldCharType="end"/>
                          </w:r>
                        </w:p>
                        <w:p>
                          <w:pPr>
                            <w:pStyle w:val="Style52"/>
                            <w:pBdr/>
                            <w:ind w:right="360" w:hanging="0"/>
                            <w:rPr>
                              <w:rStyle w:val="Pagenumber"/>
                            </w:rPr>
                          </w:pPr>
                          <w:r>
                            <w:rPr/>
                          </w:r>
                        </w:p>
                      </w:txbxContent>
                    </wps:txbx>
                    <wps:bodyPr anchor="t" lIns="0" tIns="0" rIns="0" bIns="0">
                      <a:spAutoFit/>
                    </wps:bodyPr>
                  </wps:wsp>
                </a:graphicData>
              </a:graphic>
            </wp:anchor>
          </w:drawing>
        </mc:Choice>
        <mc:Fallback>
          <w:pict>
            <v:rect fillcolor="#FFFFFF" style="position:absolute;rotation:-0;width:724.65pt;height:32.2pt;mso-wrap-distance-left:0pt;mso-wrap-distance-right:0pt;mso-wrap-distance-top:0pt;mso-wrap-distance-bottom:0pt;margin-top:0.05pt;mso-position-vertical-relative:text;margin-left:18pt;mso-position-horizontal:right;mso-position-horizontal-relative:margin">
              <v:fill opacity="0f"/>
              <v:textbox inset="0in,0in,0in,0in">
                <w:txbxContent>
                  <w:p>
                    <w:pPr>
                      <w:pStyle w:val="Style52"/>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9</w:t>
                    </w:r>
                    <w:r>
                      <w:rPr>
                        <w:rStyle w:val="Pagenumber"/>
                      </w:rPr>
                      <w:fldChar w:fldCharType="end"/>
                    </w:r>
                  </w:p>
                  <w:p>
                    <w:pPr>
                      <w:pStyle w:val="Style52"/>
                      <w:pBdr/>
                      <w:ind w:right="360" w:hanging="0"/>
                      <w:rPr>
                        <w:rStyle w:val="Pagenumber"/>
                      </w:rPr>
                    </w:pPr>
                    <w:r>
                      <w:rPr/>
                    </w:r>
                  </w:p>
                </w:txbxContent>
              </v:textbox>
              <w10:wrap type="square"/>
            </v:rect>
          </w:pict>
        </mc:Fallback>
      </mc:AlternateContent>
    </w:r>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ind w:right="360" w:hanging="0"/>
      <w:rPr/>
    </w:pPr>
    <w:r>
      <w:rPr/>
    </w:r>
    <w:r>
      <mc:AlternateContent>
        <mc:Choice Requires="wps">
          <w:drawing>
            <wp:anchor behindDoc="0" distT="0" distB="0" distL="0" distR="0" simplePos="0" locked="0" layoutInCell="0" allowOverlap="1" relativeHeight="131">
              <wp:simplePos x="0" y="0"/>
              <wp:positionH relativeFrom="margin">
                <wp:align>right</wp:align>
              </wp:positionH>
              <wp:positionV relativeFrom="paragraph">
                <wp:posOffset>635</wp:posOffset>
              </wp:positionV>
              <wp:extent cx="6071235" cy="408940"/>
              <wp:effectExtent l="0" t="0" r="0" b="0"/>
              <wp:wrapSquare wrapText="bothSides"/>
              <wp:docPr id="20" name="Врезка42"/>
              <a:graphic xmlns:a="http://schemas.openxmlformats.org/drawingml/2006/main">
                <a:graphicData uri="http://schemas.microsoft.com/office/word/2010/wordprocessingShape">
                  <wps:wsp>
                    <wps:cNvSpPr txBox="1"/>
                    <wps:spPr>
                      <a:xfrm>
                        <a:off x="0" y="0"/>
                        <a:ext cx="6071235" cy="408940"/>
                      </a:xfrm>
                      <a:prstGeom prst="rect"/>
                      <a:solidFill>
                        <a:srgbClr val="FFFFFF">
                          <a:alpha val="0"/>
                        </a:srgbClr>
                      </a:solidFill>
                    </wps:spPr>
                    <wps:txbx>
                      <w:txbxContent>
                        <w:p>
                          <w:pPr>
                            <w:pStyle w:val="Style52"/>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21</w:t>
                          </w:r>
                          <w:r>
                            <w:rPr>
                              <w:rStyle w:val="Pagenumber"/>
                            </w:rPr>
                            <w:fldChar w:fldCharType="end"/>
                          </w:r>
                        </w:p>
                        <w:p>
                          <w:pPr>
                            <w:pStyle w:val="Style52"/>
                            <w:pBdr/>
                            <w:ind w:right="360" w:hanging="0"/>
                            <w:rPr>
                              <w:rStyle w:val="Pagenumber"/>
                            </w:rPr>
                          </w:pPr>
                          <w:r>
                            <w:rPr/>
                          </w:r>
                        </w:p>
                      </w:txbxContent>
                    </wps:txbx>
                    <wps:bodyPr anchor="t" lIns="0" tIns="0" rIns="0" bIns="0">
                      <a:spAutoFit/>
                    </wps:bodyPr>
                  </wps:wsp>
                </a:graphicData>
              </a:graphic>
            </wp:anchor>
          </w:drawing>
        </mc:Choice>
        <mc:Fallback>
          <w:pict>
            <v:rect fillcolor="#FFFFFF" style="position:absolute;rotation:-0;width:478.05pt;height:32.2pt;mso-wrap-distance-left:0pt;mso-wrap-distance-right:0pt;mso-wrap-distance-top:0pt;mso-wrap-distance-bottom:0pt;margin-top:0.05pt;mso-position-vertical-relative:text;margin-left:18pt;mso-position-horizontal:right;mso-position-horizontal-relative:margin">
              <v:fill opacity="0f"/>
              <v:textbox inset="0in,0in,0in,0in">
                <w:txbxContent>
                  <w:p>
                    <w:pPr>
                      <w:pStyle w:val="Style52"/>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21</w:t>
                    </w:r>
                    <w:r>
                      <w:rPr>
                        <w:rStyle w:val="Pagenumber"/>
                      </w:rPr>
                      <w:fldChar w:fldCharType="end"/>
                    </w:r>
                  </w:p>
                  <w:p>
                    <w:pPr>
                      <w:pStyle w:val="Style52"/>
                      <w:pBdr/>
                      <w:ind w:right="360" w:hanging="0"/>
                      <w:rPr>
                        <w:rStyle w:val="Pagenumber"/>
                      </w:rPr>
                    </w:pPr>
                    <w:r>
                      <w:rPr/>
                    </w:r>
                  </w:p>
                </w:txbxContent>
              </v:textbox>
              <w10:wrap type="square"/>
            </v:rect>
          </w:pict>
        </mc:Fallback>
      </mc:AlternateContent>
    </w:r>
  </w:p>
</w:ftr>
</file>

<file path=word/footer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ind w:right="360" w:hanging="0"/>
      <w:rPr/>
    </w:pPr>
    <w:r>
      <w:rPr/>
    </w:r>
    <w:r>
      <mc:AlternateContent>
        <mc:Choice Requires="wps">
          <w:drawing>
            <wp:anchor behindDoc="0" distT="0" distB="0" distL="0" distR="0" simplePos="0" locked="0" layoutInCell="0" allowOverlap="1" relativeHeight="24">
              <wp:simplePos x="0" y="0"/>
              <wp:positionH relativeFrom="margin">
                <wp:align>right</wp:align>
              </wp:positionH>
              <wp:positionV relativeFrom="paragraph">
                <wp:posOffset>635</wp:posOffset>
              </wp:positionV>
              <wp:extent cx="9203055" cy="408940"/>
              <wp:effectExtent l="0" t="0" r="0" b="0"/>
              <wp:wrapSquare wrapText="bothSides"/>
              <wp:docPr id="4" name="Врезка5"/>
              <a:graphic xmlns:a="http://schemas.openxmlformats.org/drawingml/2006/main">
                <a:graphicData uri="http://schemas.microsoft.com/office/word/2010/wordprocessingShape">
                  <wps:wsp>
                    <wps:cNvSpPr txBox="1"/>
                    <wps:spPr>
                      <a:xfrm>
                        <a:off x="0" y="0"/>
                        <a:ext cx="9203055" cy="408940"/>
                      </a:xfrm>
                      <a:prstGeom prst="rect"/>
                      <a:solidFill>
                        <a:srgbClr val="FFFFFF">
                          <a:alpha val="0"/>
                        </a:srgbClr>
                      </a:solidFill>
                    </wps:spPr>
                    <wps:txbx>
                      <w:txbxContent>
                        <w:p>
                          <w:pPr>
                            <w:pStyle w:val="Style52"/>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33</w:t>
                          </w:r>
                          <w:r>
                            <w:rPr>
                              <w:rStyle w:val="Pagenumber"/>
                            </w:rPr>
                            <w:fldChar w:fldCharType="end"/>
                          </w:r>
                        </w:p>
                        <w:p>
                          <w:pPr>
                            <w:pStyle w:val="Style52"/>
                            <w:pBdr/>
                            <w:ind w:right="360" w:hanging="0"/>
                            <w:rPr>
                              <w:rStyle w:val="Pagenumber"/>
                            </w:rPr>
                          </w:pPr>
                          <w:r>
                            <w:rPr/>
                          </w:r>
                        </w:p>
                      </w:txbxContent>
                    </wps:txbx>
                    <wps:bodyPr anchor="t" lIns="0" tIns="0" rIns="0" bIns="0">
                      <a:spAutoFit/>
                    </wps:bodyPr>
                  </wps:wsp>
                </a:graphicData>
              </a:graphic>
            </wp:anchor>
          </w:drawing>
        </mc:Choice>
        <mc:Fallback>
          <w:pict>
            <v:rect fillcolor="#FFFFFF" style="position:absolute;rotation:-0;width:724.65pt;height:32.2pt;mso-wrap-distance-left:0pt;mso-wrap-distance-right:0pt;mso-wrap-distance-top:0pt;mso-wrap-distance-bottom:0pt;margin-top:0.05pt;mso-position-vertical-relative:text;margin-left:18pt;mso-position-horizontal:right;mso-position-horizontal-relative:margin">
              <v:fill opacity="0f"/>
              <v:textbox inset="0in,0in,0in,0in">
                <w:txbxContent>
                  <w:p>
                    <w:pPr>
                      <w:pStyle w:val="Style52"/>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33</w:t>
                    </w:r>
                    <w:r>
                      <w:rPr>
                        <w:rStyle w:val="Pagenumber"/>
                      </w:rPr>
                      <w:fldChar w:fldCharType="end"/>
                    </w:r>
                  </w:p>
                  <w:p>
                    <w:pPr>
                      <w:pStyle w:val="Style52"/>
                      <w:pBdr/>
                      <w:ind w:right="360" w:hanging="0"/>
                      <w:rPr>
                        <w:rStyle w:val="Pagenumber"/>
                      </w:rPr>
                    </w:pPr>
                    <w:r>
                      <w:rPr/>
                    </w:r>
                  </w:p>
                </w:txbxContent>
              </v:textbox>
              <w10:wrap type="square"/>
            </v:rect>
          </w:pict>
        </mc:Fallback>
      </mc:AlternateContent>
    </w:r>
  </w:p>
</w:ftr>
</file>

<file path=word/footer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ind w:right="360" w:hanging="0"/>
      <w:rPr/>
    </w:pPr>
    <w:r>
      <w:rPr/>
    </w:r>
    <w:r>
      <mc:AlternateContent>
        <mc:Choice Requires="wps">
          <w:drawing>
            <wp:anchor behindDoc="0" distT="0" distB="0" distL="0" distR="0" simplePos="0" locked="0" layoutInCell="0" allowOverlap="1" relativeHeight="24">
              <wp:simplePos x="0" y="0"/>
              <wp:positionH relativeFrom="margin">
                <wp:align>right</wp:align>
              </wp:positionH>
              <wp:positionV relativeFrom="paragraph">
                <wp:posOffset>635</wp:posOffset>
              </wp:positionV>
              <wp:extent cx="9203055" cy="408940"/>
              <wp:effectExtent l="0" t="0" r="0" b="0"/>
              <wp:wrapSquare wrapText="bothSides"/>
              <wp:docPr id="21" name="Врезка5"/>
              <a:graphic xmlns:a="http://schemas.openxmlformats.org/drawingml/2006/main">
                <a:graphicData uri="http://schemas.microsoft.com/office/word/2010/wordprocessingShape">
                  <wps:wsp>
                    <wps:cNvSpPr txBox="1"/>
                    <wps:spPr>
                      <a:xfrm>
                        <a:off x="0" y="0"/>
                        <a:ext cx="9203055" cy="408940"/>
                      </a:xfrm>
                      <a:prstGeom prst="rect"/>
                      <a:solidFill>
                        <a:srgbClr val="FFFFFF">
                          <a:alpha val="0"/>
                        </a:srgbClr>
                      </a:solidFill>
                    </wps:spPr>
                    <wps:txbx>
                      <w:txbxContent>
                        <w:p>
                          <w:pPr>
                            <w:pStyle w:val="Style52"/>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33</w:t>
                          </w:r>
                          <w:r>
                            <w:rPr>
                              <w:rStyle w:val="Pagenumber"/>
                            </w:rPr>
                            <w:fldChar w:fldCharType="end"/>
                          </w:r>
                        </w:p>
                        <w:p>
                          <w:pPr>
                            <w:pStyle w:val="Style52"/>
                            <w:pBdr/>
                            <w:ind w:right="360" w:hanging="0"/>
                            <w:rPr>
                              <w:rStyle w:val="Pagenumber"/>
                            </w:rPr>
                          </w:pPr>
                          <w:r>
                            <w:rPr/>
                          </w:r>
                        </w:p>
                      </w:txbxContent>
                    </wps:txbx>
                    <wps:bodyPr anchor="t" lIns="0" tIns="0" rIns="0" bIns="0">
                      <a:spAutoFit/>
                    </wps:bodyPr>
                  </wps:wsp>
                </a:graphicData>
              </a:graphic>
            </wp:anchor>
          </w:drawing>
        </mc:Choice>
        <mc:Fallback>
          <w:pict>
            <v:rect fillcolor="#FFFFFF" style="position:absolute;rotation:-0;width:724.65pt;height:32.2pt;mso-wrap-distance-left:0pt;mso-wrap-distance-right:0pt;mso-wrap-distance-top:0pt;mso-wrap-distance-bottom:0pt;margin-top:0.05pt;mso-position-vertical-relative:text;margin-left:18pt;mso-position-horizontal:right;mso-position-horizontal-relative:margin">
              <v:fill opacity="0f"/>
              <v:textbox inset="0in,0in,0in,0in">
                <w:txbxContent>
                  <w:p>
                    <w:pPr>
                      <w:pStyle w:val="Style52"/>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33</w:t>
                    </w:r>
                    <w:r>
                      <w:rPr>
                        <w:rStyle w:val="Pagenumber"/>
                      </w:rPr>
                      <w:fldChar w:fldCharType="end"/>
                    </w:r>
                  </w:p>
                  <w:p>
                    <w:pPr>
                      <w:pStyle w:val="Style52"/>
                      <w:pBdr/>
                      <w:ind w:right="360" w:hanging="0"/>
                      <w:rPr>
                        <w:rStyle w:val="Pagenumber"/>
                      </w:rPr>
                    </w:pPr>
                    <w:r>
                      <w:rPr/>
                    </w:r>
                  </w:p>
                </w:txbxContent>
              </v:textbox>
              <w10:wrap type="square"/>
            </v:rect>
          </w:pict>
        </mc:Fallback>
      </mc:AlternateContent>
    </w:r>
  </w:p>
</w:ftr>
</file>

<file path=word/footer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ind w:right="360" w:hanging="0"/>
      <w:rPr/>
    </w:pPr>
    <w:r>
      <w:rPr/>
    </w:r>
    <w:r>
      <mc:AlternateContent>
        <mc:Choice Requires="wps">
          <w:drawing>
            <wp:anchor behindDoc="0" distT="0" distB="0" distL="0" distR="0" simplePos="0" locked="0" layoutInCell="0" allowOverlap="1" relativeHeight="26">
              <wp:simplePos x="0" y="0"/>
              <wp:positionH relativeFrom="margin">
                <wp:align>right</wp:align>
              </wp:positionH>
              <wp:positionV relativeFrom="paragraph">
                <wp:posOffset>635</wp:posOffset>
              </wp:positionV>
              <wp:extent cx="6071235" cy="408940"/>
              <wp:effectExtent l="0" t="0" r="0" b="0"/>
              <wp:wrapSquare wrapText="bothSides"/>
              <wp:docPr id="22" name="Врезка6"/>
              <a:graphic xmlns:a="http://schemas.openxmlformats.org/drawingml/2006/main">
                <a:graphicData uri="http://schemas.microsoft.com/office/word/2010/wordprocessingShape">
                  <wps:wsp>
                    <wps:cNvSpPr txBox="1"/>
                    <wps:spPr>
                      <a:xfrm>
                        <a:off x="0" y="0"/>
                        <a:ext cx="6071235" cy="408940"/>
                      </a:xfrm>
                      <a:prstGeom prst="rect"/>
                      <a:solidFill>
                        <a:srgbClr val="FFFFFF">
                          <a:alpha val="0"/>
                        </a:srgbClr>
                      </a:solidFill>
                    </wps:spPr>
                    <wps:txbx>
                      <w:txbxContent>
                        <w:p>
                          <w:pPr>
                            <w:pStyle w:val="Style52"/>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34</w:t>
                          </w:r>
                          <w:r>
                            <w:rPr>
                              <w:rStyle w:val="Pagenumber"/>
                            </w:rPr>
                            <w:fldChar w:fldCharType="end"/>
                          </w:r>
                        </w:p>
                        <w:p>
                          <w:pPr>
                            <w:pStyle w:val="Style52"/>
                            <w:pBdr/>
                            <w:ind w:right="360" w:hanging="0"/>
                            <w:rPr>
                              <w:rStyle w:val="Pagenumber"/>
                            </w:rPr>
                          </w:pPr>
                          <w:r>
                            <w:rPr/>
                          </w:r>
                        </w:p>
                      </w:txbxContent>
                    </wps:txbx>
                    <wps:bodyPr anchor="t" lIns="0" tIns="0" rIns="0" bIns="0">
                      <a:spAutoFit/>
                    </wps:bodyPr>
                  </wps:wsp>
                </a:graphicData>
              </a:graphic>
            </wp:anchor>
          </w:drawing>
        </mc:Choice>
        <mc:Fallback>
          <w:pict>
            <v:rect fillcolor="#FFFFFF" style="position:absolute;rotation:-0;width:478.05pt;height:32.2pt;mso-wrap-distance-left:0pt;mso-wrap-distance-right:0pt;mso-wrap-distance-top:0pt;mso-wrap-distance-bottom:0pt;margin-top:0.05pt;mso-position-vertical-relative:text;margin-left:18pt;mso-position-horizontal:right;mso-position-horizontal-relative:margin">
              <v:fill opacity="0f"/>
              <v:textbox inset="0in,0in,0in,0in">
                <w:txbxContent>
                  <w:p>
                    <w:pPr>
                      <w:pStyle w:val="Style52"/>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34</w:t>
                    </w:r>
                    <w:r>
                      <w:rPr>
                        <w:rStyle w:val="Pagenumber"/>
                      </w:rPr>
                      <w:fldChar w:fldCharType="end"/>
                    </w:r>
                  </w:p>
                  <w:p>
                    <w:pPr>
                      <w:pStyle w:val="Style52"/>
                      <w:pBdr/>
                      <w:ind w:right="360" w:hanging="0"/>
                      <w:rPr>
                        <w:rStyle w:val="Pagenumber"/>
                      </w:rPr>
                    </w:pPr>
                    <w:r>
                      <w:rPr/>
                    </w:r>
                  </w:p>
                </w:txbxContent>
              </v:textbox>
              <w10:wrap type="square"/>
            </v:rect>
          </w:pict>
        </mc:Fallback>
      </mc:AlternateContent>
    </w:r>
  </w:p>
</w:ftr>
</file>

<file path=word/footer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ind w:right="360" w:hanging="0"/>
      <w:rPr/>
    </w:pPr>
    <w:r>
      <w:rPr/>
    </w:r>
    <w:r>
      <mc:AlternateContent>
        <mc:Choice Requires="wps">
          <w:drawing>
            <wp:anchor behindDoc="0" distT="0" distB="0" distL="0" distR="0" simplePos="0" locked="0" layoutInCell="0" allowOverlap="1" relativeHeight="37">
              <wp:simplePos x="0" y="0"/>
              <wp:positionH relativeFrom="margin">
                <wp:align>right</wp:align>
              </wp:positionH>
              <wp:positionV relativeFrom="paragraph">
                <wp:posOffset>635</wp:posOffset>
              </wp:positionV>
              <wp:extent cx="9203055" cy="408940"/>
              <wp:effectExtent l="0" t="0" r="0" b="0"/>
              <wp:wrapSquare wrapText="bothSides"/>
              <wp:docPr id="23" name="Врезка7"/>
              <a:graphic xmlns:a="http://schemas.openxmlformats.org/drawingml/2006/main">
                <a:graphicData uri="http://schemas.microsoft.com/office/word/2010/wordprocessingShape">
                  <wps:wsp>
                    <wps:cNvSpPr txBox="1"/>
                    <wps:spPr>
                      <a:xfrm>
                        <a:off x="0" y="0"/>
                        <a:ext cx="9203055" cy="408940"/>
                      </a:xfrm>
                      <a:prstGeom prst="rect"/>
                      <a:solidFill>
                        <a:srgbClr val="FFFFFF">
                          <a:alpha val="0"/>
                        </a:srgbClr>
                      </a:solidFill>
                    </wps:spPr>
                    <wps:txbx>
                      <w:txbxContent>
                        <w:p>
                          <w:pPr>
                            <w:pStyle w:val="Style52"/>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43</w:t>
                          </w:r>
                          <w:r>
                            <w:rPr>
                              <w:rStyle w:val="Pagenumber"/>
                            </w:rPr>
                            <w:fldChar w:fldCharType="end"/>
                          </w:r>
                        </w:p>
                        <w:p>
                          <w:pPr>
                            <w:pStyle w:val="Style52"/>
                            <w:pBdr/>
                            <w:ind w:right="360" w:hanging="0"/>
                            <w:rPr>
                              <w:rStyle w:val="Pagenumber"/>
                            </w:rPr>
                          </w:pPr>
                          <w:r>
                            <w:rPr/>
                          </w:r>
                        </w:p>
                      </w:txbxContent>
                    </wps:txbx>
                    <wps:bodyPr anchor="t" lIns="0" tIns="0" rIns="0" bIns="0">
                      <a:spAutoFit/>
                    </wps:bodyPr>
                  </wps:wsp>
                </a:graphicData>
              </a:graphic>
            </wp:anchor>
          </w:drawing>
        </mc:Choice>
        <mc:Fallback>
          <w:pict>
            <v:rect fillcolor="#FFFFFF" style="position:absolute;rotation:-0;width:724.65pt;height:32.2pt;mso-wrap-distance-left:0pt;mso-wrap-distance-right:0pt;mso-wrap-distance-top:0pt;mso-wrap-distance-bottom:0pt;margin-top:0.05pt;mso-position-vertical-relative:text;margin-left:18pt;mso-position-horizontal:right;mso-position-horizontal-relative:margin">
              <v:fill opacity="0f"/>
              <v:textbox inset="0in,0in,0in,0in">
                <w:txbxContent>
                  <w:p>
                    <w:pPr>
                      <w:pStyle w:val="Style52"/>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43</w:t>
                    </w:r>
                    <w:r>
                      <w:rPr>
                        <w:rStyle w:val="Pagenumber"/>
                      </w:rPr>
                      <w:fldChar w:fldCharType="end"/>
                    </w:r>
                  </w:p>
                  <w:p>
                    <w:pPr>
                      <w:pStyle w:val="Style52"/>
                      <w:pBdr/>
                      <w:ind w:right="360" w:hanging="0"/>
                      <w:rPr>
                        <w:rStyle w:val="Pagenumber"/>
                      </w:rPr>
                    </w:pPr>
                    <w:r>
                      <w:rPr/>
                    </w:r>
                  </w:p>
                </w:txbxContent>
              </v:textbox>
              <w10:wrap type="square"/>
            </v:rect>
          </w:pict>
        </mc:Fallback>
      </mc:AlternateContent>
    </w:r>
  </w:p>
</w:ftr>
</file>

<file path=word/footer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ind w:right="360" w:hanging="0"/>
      <w:rPr/>
    </w:pPr>
    <w:r>
      <w:rPr/>
    </w:r>
    <w:r>
      <mc:AlternateContent>
        <mc:Choice Requires="wps">
          <w:drawing>
            <wp:anchor behindDoc="0" distT="0" distB="0" distL="0" distR="0" simplePos="0" locked="0" layoutInCell="0" allowOverlap="1" relativeHeight="39">
              <wp:simplePos x="0" y="0"/>
              <wp:positionH relativeFrom="margin">
                <wp:align>right</wp:align>
              </wp:positionH>
              <wp:positionV relativeFrom="paragraph">
                <wp:posOffset>635</wp:posOffset>
              </wp:positionV>
              <wp:extent cx="6071235" cy="408940"/>
              <wp:effectExtent l="0" t="0" r="0" b="0"/>
              <wp:wrapSquare wrapText="bothSides"/>
              <wp:docPr id="24" name="Врезка8"/>
              <a:graphic xmlns:a="http://schemas.openxmlformats.org/drawingml/2006/main">
                <a:graphicData uri="http://schemas.microsoft.com/office/word/2010/wordprocessingShape">
                  <wps:wsp>
                    <wps:cNvSpPr txBox="1"/>
                    <wps:spPr>
                      <a:xfrm>
                        <a:off x="0" y="0"/>
                        <a:ext cx="6071235" cy="408940"/>
                      </a:xfrm>
                      <a:prstGeom prst="rect"/>
                      <a:solidFill>
                        <a:srgbClr val="FFFFFF">
                          <a:alpha val="0"/>
                        </a:srgbClr>
                      </a:solidFill>
                    </wps:spPr>
                    <wps:txbx>
                      <w:txbxContent>
                        <w:p>
                          <w:pPr>
                            <w:pStyle w:val="Style52"/>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44</w:t>
                          </w:r>
                          <w:r>
                            <w:rPr>
                              <w:rStyle w:val="Pagenumber"/>
                            </w:rPr>
                            <w:fldChar w:fldCharType="end"/>
                          </w:r>
                        </w:p>
                        <w:p>
                          <w:pPr>
                            <w:pStyle w:val="Style52"/>
                            <w:pBdr/>
                            <w:ind w:right="360" w:hanging="0"/>
                            <w:rPr>
                              <w:rStyle w:val="Pagenumber"/>
                            </w:rPr>
                          </w:pPr>
                          <w:r>
                            <w:rPr/>
                          </w:r>
                        </w:p>
                      </w:txbxContent>
                    </wps:txbx>
                    <wps:bodyPr anchor="t" lIns="0" tIns="0" rIns="0" bIns="0">
                      <a:spAutoFit/>
                    </wps:bodyPr>
                  </wps:wsp>
                </a:graphicData>
              </a:graphic>
            </wp:anchor>
          </w:drawing>
        </mc:Choice>
        <mc:Fallback>
          <w:pict>
            <v:rect fillcolor="#FFFFFF" style="position:absolute;rotation:-0;width:478.05pt;height:32.2pt;mso-wrap-distance-left:0pt;mso-wrap-distance-right:0pt;mso-wrap-distance-top:0pt;mso-wrap-distance-bottom:0pt;margin-top:0.05pt;mso-position-vertical-relative:text;margin-left:18pt;mso-position-horizontal:right;mso-position-horizontal-relative:margin">
              <v:fill opacity="0f"/>
              <v:textbox inset="0in,0in,0in,0in">
                <w:txbxContent>
                  <w:p>
                    <w:pPr>
                      <w:pStyle w:val="Style52"/>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44</w:t>
                    </w:r>
                    <w:r>
                      <w:rPr>
                        <w:rStyle w:val="Pagenumber"/>
                      </w:rPr>
                      <w:fldChar w:fldCharType="end"/>
                    </w:r>
                  </w:p>
                  <w:p>
                    <w:pPr>
                      <w:pStyle w:val="Style52"/>
                      <w:pBdr/>
                      <w:ind w:right="360" w:hanging="0"/>
                      <w:rPr>
                        <w:rStyle w:val="Pagenumber"/>
                      </w:rPr>
                    </w:pPr>
                    <w:r>
                      <w:rPr/>
                    </w:r>
                  </w:p>
                </w:txbxContent>
              </v:textbox>
              <w10:wrap type="square"/>
            </v:rect>
          </w:pict>
        </mc:Fallback>
      </mc:AlternateContent>
    </w:r>
  </w:p>
</w:ftr>
</file>

<file path=word/footer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ind w:right="360" w:hanging="0"/>
      <w:rPr/>
    </w:pPr>
    <w:r>
      <w:rPr/>
    </w:r>
    <w:r>
      <mc:AlternateContent>
        <mc:Choice Requires="wps">
          <w:drawing>
            <wp:anchor behindDoc="0" distT="0" distB="0" distL="0" distR="0" simplePos="0" locked="0" layoutInCell="0" allowOverlap="1" relativeHeight="26">
              <wp:simplePos x="0" y="0"/>
              <wp:positionH relativeFrom="margin">
                <wp:align>right</wp:align>
              </wp:positionH>
              <wp:positionV relativeFrom="paragraph">
                <wp:posOffset>635</wp:posOffset>
              </wp:positionV>
              <wp:extent cx="6071235" cy="408940"/>
              <wp:effectExtent l="0" t="0" r="0" b="0"/>
              <wp:wrapSquare wrapText="bothSides"/>
              <wp:docPr id="5" name="Врезка6"/>
              <a:graphic xmlns:a="http://schemas.openxmlformats.org/drawingml/2006/main">
                <a:graphicData uri="http://schemas.microsoft.com/office/word/2010/wordprocessingShape">
                  <wps:wsp>
                    <wps:cNvSpPr txBox="1"/>
                    <wps:spPr>
                      <a:xfrm>
                        <a:off x="0" y="0"/>
                        <a:ext cx="6071235" cy="408940"/>
                      </a:xfrm>
                      <a:prstGeom prst="rect"/>
                      <a:solidFill>
                        <a:srgbClr val="FFFFFF">
                          <a:alpha val="0"/>
                        </a:srgbClr>
                      </a:solidFill>
                    </wps:spPr>
                    <wps:txbx>
                      <w:txbxContent>
                        <w:p>
                          <w:pPr>
                            <w:pStyle w:val="Style52"/>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34</w:t>
                          </w:r>
                          <w:r>
                            <w:rPr>
                              <w:rStyle w:val="Pagenumber"/>
                            </w:rPr>
                            <w:fldChar w:fldCharType="end"/>
                          </w:r>
                        </w:p>
                        <w:p>
                          <w:pPr>
                            <w:pStyle w:val="Style52"/>
                            <w:pBdr/>
                            <w:ind w:right="360" w:hanging="0"/>
                            <w:rPr>
                              <w:rStyle w:val="Pagenumber"/>
                            </w:rPr>
                          </w:pPr>
                          <w:r>
                            <w:rPr/>
                          </w:r>
                        </w:p>
                      </w:txbxContent>
                    </wps:txbx>
                    <wps:bodyPr anchor="t" lIns="0" tIns="0" rIns="0" bIns="0">
                      <a:spAutoFit/>
                    </wps:bodyPr>
                  </wps:wsp>
                </a:graphicData>
              </a:graphic>
            </wp:anchor>
          </w:drawing>
        </mc:Choice>
        <mc:Fallback>
          <w:pict>
            <v:rect fillcolor="#FFFFFF" style="position:absolute;rotation:-0;width:478.05pt;height:32.2pt;mso-wrap-distance-left:0pt;mso-wrap-distance-right:0pt;mso-wrap-distance-top:0pt;mso-wrap-distance-bottom:0pt;margin-top:0.05pt;mso-position-vertical-relative:text;margin-left:18pt;mso-position-horizontal:right;mso-position-horizontal-relative:margin">
              <v:fill opacity="0f"/>
              <v:textbox inset="0in,0in,0in,0in">
                <w:txbxContent>
                  <w:p>
                    <w:pPr>
                      <w:pStyle w:val="Style52"/>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34</w:t>
                    </w:r>
                    <w:r>
                      <w:rPr>
                        <w:rStyle w:val="Pagenumber"/>
                      </w:rPr>
                      <w:fldChar w:fldCharType="end"/>
                    </w:r>
                  </w:p>
                  <w:p>
                    <w:pPr>
                      <w:pStyle w:val="Style52"/>
                      <w:pBdr/>
                      <w:ind w:right="360" w:hanging="0"/>
                      <w:rPr>
                        <w:rStyle w:val="Pagenumber"/>
                      </w:rPr>
                    </w:pPr>
                    <w:r>
                      <w:rPr/>
                    </w:r>
                  </w:p>
                </w:txbxContent>
              </v:textbox>
              <w10:wrap type="square"/>
            </v:rect>
          </w:pict>
        </mc:Fallback>
      </mc:AlternateContent>
    </w:r>
  </w:p>
</w:ftr>
</file>

<file path=word/footer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ind w:right="360" w:hanging="0"/>
      <w:rPr/>
    </w:pPr>
    <w:r>
      <w:rPr/>
    </w:r>
    <w:r>
      <mc:AlternateContent>
        <mc:Choice Requires="wps">
          <w:drawing>
            <wp:anchor behindDoc="0" distT="0" distB="0" distL="0" distR="0" simplePos="0" locked="0" layoutInCell="0" allowOverlap="1" relativeHeight="42">
              <wp:simplePos x="0" y="0"/>
              <wp:positionH relativeFrom="margin">
                <wp:align>right</wp:align>
              </wp:positionH>
              <wp:positionV relativeFrom="paragraph">
                <wp:posOffset>635</wp:posOffset>
              </wp:positionV>
              <wp:extent cx="9203055" cy="408940"/>
              <wp:effectExtent l="0" t="0" r="0" b="0"/>
              <wp:wrapSquare wrapText="bothSides"/>
              <wp:docPr id="27" name="Врезка10"/>
              <a:graphic xmlns:a="http://schemas.openxmlformats.org/drawingml/2006/main">
                <a:graphicData uri="http://schemas.microsoft.com/office/word/2010/wordprocessingShape">
                  <wps:wsp>
                    <wps:cNvSpPr txBox="1"/>
                    <wps:spPr>
                      <a:xfrm>
                        <a:off x="0" y="0"/>
                        <a:ext cx="9203055" cy="408940"/>
                      </a:xfrm>
                      <a:prstGeom prst="rect"/>
                      <a:solidFill>
                        <a:srgbClr val="FFFFFF">
                          <a:alpha val="0"/>
                        </a:srgbClr>
                      </a:solidFill>
                    </wps:spPr>
                    <wps:txbx>
                      <w:txbxContent>
                        <w:p>
                          <w:pPr>
                            <w:pStyle w:val="Style52"/>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74</w:t>
                          </w:r>
                          <w:r>
                            <w:rPr>
                              <w:rStyle w:val="Pagenumber"/>
                            </w:rPr>
                            <w:fldChar w:fldCharType="end"/>
                          </w:r>
                        </w:p>
                        <w:p>
                          <w:pPr>
                            <w:pStyle w:val="Style52"/>
                            <w:pBdr/>
                            <w:ind w:right="360" w:hanging="0"/>
                            <w:rPr>
                              <w:rStyle w:val="Pagenumber"/>
                            </w:rPr>
                          </w:pPr>
                          <w:r>
                            <w:rPr/>
                          </w:r>
                        </w:p>
                      </w:txbxContent>
                    </wps:txbx>
                    <wps:bodyPr anchor="t" lIns="0" tIns="0" rIns="0" bIns="0">
                      <a:spAutoFit/>
                    </wps:bodyPr>
                  </wps:wsp>
                </a:graphicData>
              </a:graphic>
            </wp:anchor>
          </w:drawing>
        </mc:Choice>
        <mc:Fallback>
          <w:pict>
            <v:rect fillcolor="#FFFFFF" style="position:absolute;rotation:-0;width:724.65pt;height:32.2pt;mso-wrap-distance-left:0pt;mso-wrap-distance-right:0pt;mso-wrap-distance-top:0pt;mso-wrap-distance-bottom:0pt;margin-top:0.05pt;mso-position-vertical-relative:text;margin-left:18pt;mso-position-horizontal:right;mso-position-horizontal-relative:margin">
              <v:fill opacity="0f"/>
              <v:textbox inset="0in,0in,0in,0in">
                <w:txbxContent>
                  <w:p>
                    <w:pPr>
                      <w:pStyle w:val="Style52"/>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74</w:t>
                    </w:r>
                    <w:r>
                      <w:rPr>
                        <w:rStyle w:val="Pagenumber"/>
                      </w:rPr>
                      <w:fldChar w:fldCharType="end"/>
                    </w:r>
                  </w:p>
                  <w:p>
                    <w:pPr>
                      <w:pStyle w:val="Style52"/>
                      <w:pBdr/>
                      <w:ind w:right="360" w:hanging="0"/>
                      <w:rPr>
                        <w:rStyle w:val="Pagenumber"/>
                      </w:rPr>
                    </w:pPr>
                    <w:r>
                      <w:rPr/>
                    </w:r>
                  </w:p>
                </w:txbxContent>
              </v:textbox>
              <w10:wrap type="square"/>
            </v:rect>
          </w:pict>
        </mc:Fallback>
      </mc:AlternateContent>
    </w:r>
  </w:p>
</w:ftr>
</file>

<file path=word/footer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ind w:right="360" w:hanging="0"/>
      <w:rPr/>
    </w:pPr>
    <w:r>
      <w:rPr/>
    </w:r>
    <w:r>
      <mc:AlternateContent>
        <mc:Choice Requires="wps">
          <w:drawing>
            <wp:anchor behindDoc="0" distT="0" distB="0" distL="0" distR="0" simplePos="0" locked="0" layoutInCell="0" allowOverlap="1" relativeHeight="45">
              <wp:simplePos x="0" y="0"/>
              <wp:positionH relativeFrom="margin">
                <wp:align>right</wp:align>
              </wp:positionH>
              <wp:positionV relativeFrom="paragraph">
                <wp:posOffset>635</wp:posOffset>
              </wp:positionV>
              <wp:extent cx="6071235" cy="408940"/>
              <wp:effectExtent l="0" t="0" r="0" b="0"/>
              <wp:wrapSquare wrapText="bothSides"/>
              <wp:docPr id="28" name="Врезка11"/>
              <a:graphic xmlns:a="http://schemas.openxmlformats.org/drawingml/2006/main">
                <a:graphicData uri="http://schemas.microsoft.com/office/word/2010/wordprocessingShape">
                  <wps:wsp>
                    <wps:cNvSpPr txBox="1"/>
                    <wps:spPr>
                      <a:xfrm>
                        <a:off x="0" y="0"/>
                        <a:ext cx="6071235" cy="408940"/>
                      </a:xfrm>
                      <a:prstGeom prst="rect"/>
                      <a:solidFill>
                        <a:srgbClr val="FFFFFF">
                          <a:alpha val="0"/>
                        </a:srgbClr>
                      </a:solidFill>
                    </wps:spPr>
                    <wps:txbx>
                      <w:txbxContent>
                        <w:p>
                          <w:pPr>
                            <w:pStyle w:val="Style52"/>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76</w:t>
                          </w:r>
                          <w:r>
                            <w:rPr>
                              <w:rStyle w:val="Pagenumber"/>
                            </w:rPr>
                            <w:fldChar w:fldCharType="end"/>
                          </w:r>
                        </w:p>
                        <w:p>
                          <w:pPr>
                            <w:pStyle w:val="Style52"/>
                            <w:pBdr/>
                            <w:ind w:right="360" w:hanging="0"/>
                            <w:rPr>
                              <w:rStyle w:val="Pagenumber"/>
                            </w:rPr>
                          </w:pPr>
                          <w:r>
                            <w:rPr/>
                          </w:r>
                        </w:p>
                      </w:txbxContent>
                    </wps:txbx>
                    <wps:bodyPr anchor="t" lIns="0" tIns="0" rIns="0" bIns="0">
                      <a:spAutoFit/>
                    </wps:bodyPr>
                  </wps:wsp>
                </a:graphicData>
              </a:graphic>
            </wp:anchor>
          </w:drawing>
        </mc:Choice>
        <mc:Fallback>
          <w:pict>
            <v:rect fillcolor="#FFFFFF" style="position:absolute;rotation:-0;width:478.05pt;height:32.2pt;mso-wrap-distance-left:0pt;mso-wrap-distance-right:0pt;mso-wrap-distance-top:0pt;mso-wrap-distance-bottom:0pt;margin-top:0.05pt;mso-position-vertical-relative:text;margin-left:18pt;mso-position-horizontal:right;mso-position-horizontal-relative:margin">
              <v:fill opacity="0f"/>
              <v:textbox inset="0in,0in,0in,0in">
                <w:txbxContent>
                  <w:p>
                    <w:pPr>
                      <w:pStyle w:val="Style52"/>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76</w:t>
                    </w:r>
                    <w:r>
                      <w:rPr>
                        <w:rStyle w:val="Pagenumber"/>
                      </w:rPr>
                      <w:fldChar w:fldCharType="end"/>
                    </w:r>
                  </w:p>
                  <w:p>
                    <w:pPr>
                      <w:pStyle w:val="Style52"/>
                      <w:pBdr/>
                      <w:ind w:right="360" w:hanging="0"/>
                      <w:rPr>
                        <w:rStyle w:val="Pagenumber"/>
                      </w:rPr>
                    </w:pPr>
                    <w:r>
                      <w:rPr/>
                    </w:r>
                  </w:p>
                </w:txbxContent>
              </v:textbox>
              <w10:wrap type="square"/>
            </v:rect>
          </w:pict>
        </mc:Fallback>
      </mc:AlternateContent>
    </w:r>
  </w:p>
</w:ftr>
</file>

<file path=word/footer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ind w:right="360" w:hanging="0"/>
      <w:rPr/>
    </w:pPr>
    <w:r>
      <w:rPr/>
    </w:r>
    <w:r>
      <mc:AlternateContent>
        <mc:Choice Requires="wps">
          <w:drawing>
            <wp:anchor behindDoc="0" distT="0" distB="0" distL="0" distR="0" simplePos="0" locked="0" layoutInCell="0" allowOverlap="1" relativeHeight="49">
              <wp:simplePos x="0" y="0"/>
              <wp:positionH relativeFrom="margin">
                <wp:align>right</wp:align>
              </wp:positionH>
              <wp:positionV relativeFrom="paragraph">
                <wp:posOffset>635</wp:posOffset>
              </wp:positionV>
              <wp:extent cx="9203055" cy="408940"/>
              <wp:effectExtent l="0" t="0" r="0" b="0"/>
              <wp:wrapSquare wrapText="bothSides"/>
              <wp:docPr id="29" name="Врезка12"/>
              <a:graphic xmlns:a="http://schemas.openxmlformats.org/drawingml/2006/main">
                <a:graphicData uri="http://schemas.microsoft.com/office/word/2010/wordprocessingShape">
                  <wps:wsp>
                    <wps:cNvSpPr txBox="1"/>
                    <wps:spPr>
                      <a:xfrm>
                        <a:off x="0" y="0"/>
                        <a:ext cx="9203055" cy="408940"/>
                      </a:xfrm>
                      <a:prstGeom prst="rect"/>
                      <a:solidFill>
                        <a:srgbClr val="FFFFFF">
                          <a:alpha val="0"/>
                        </a:srgbClr>
                      </a:solidFill>
                    </wps:spPr>
                    <wps:txbx>
                      <w:txbxContent>
                        <w:p>
                          <w:pPr>
                            <w:pStyle w:val="Style52"/>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78</w:t>
                          </w:r>
                          <w:r>
                            <w:rPr>
                              <w:rStyle w:val="Pagenumber"/>
                            </w:rPr>
                            <w:fldChar w:fldCharType="end"/>
                          </w:r>
                        </w:p>
                        <w:p>
                          <w:pPr>
                            <w:pStyle w:val="Style52"/>
                            <w:pBdr/>
                            <w:ind w:right="360" w:hanging="0"/>
                            <w:rPr>
                              <w:rStyle w:val="Pagenumber"/>
                            </w:rPr>
                          </w:pPr>
                          <w:r>
                            <w:rPr/>
                          </w:r>
                        </w:p>
                      </w:txbxContent>
                    </wps:txbx>
                    <wps:bodyPr anchor="t" lIns="0" tIns="0" rIns="0" bIns="0">
                      <a:spAutoFit/>
                    </wps:bodyPr>
                  </wps:wsp>
                </a:graphicData>
              </a:graphic>
            </wp:anchor>
          </w:drawing>
        </mc:Choice>
        <mc:Fallback>
          <w:pict>
            <v:rect fillcolor="#FFFFFF" style="position:absolute;rotation:-0;width:724.65pt;height:32.2pt;mso-wrap-distance-left:0pt;mso-wrap-distance-right:0pt;mso-wrap-distance-top:0pt;mso-wrap-distance-bottom:0pt;margin-top:0.05pt;mso-position-vertical-relative:text;margin-left:18pt;mso-position-horizontal:right;mso-position-horizontal-relative:margin">
              <v:fill opacity="0f"/>
              <v:textbox inset="0in,0in,0in,0in">
                <w:txbxContent>
                  <w:p>
                    <w:pPr>
                      <w:pStyle w:val="Style52"/>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78</w:t>
                    </w:r>
                    <w:r>
                      <w:rPr>
                        <w:rStyle w:val="Pagenumber"/>
                      </w:rPr>
                      <w:fldChar w:fldCharType="end"/>
                    </w:r>
                  </w:p>
                  <w:p>
                    <w:pPr>
                      <w:pStyle w:val="Style52"/>
                      <w:pBdr/>
                      <w:ind w:right="360" w:hanging="0"/>
                      <w:rPr>
                        <w:rStyle w:val="Pagenumber"/>
                      </w:rPr>
                    </w:pPr>
                    <w:r>
                      <w:rPr/>
                    </w:r>
                  </w:p>
                </w:txbxContent>
              </v:textbox>
              <w10:wrap type="square"/>
            </v:rect>
          </w:pict>
        </mc:Fallback>
      </mc:AlternateContent>
    </w:r>
  </w:p>
</w:ftr>
</file>

<file path=word/footer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ind w:right="360" w:hanging="0"/>
      <w:rPr/>
    </w:pPr>
    <w:r>
      <w:rPr/>
    </w:r>
    <w:r>
      <mc:AlternateContent>
        <mc:Choice Requires="wps">
          <w:drawing>
            <wp:anchor behindDoc="0" distT="0" distB="0" distL="0" distR="0" simplePos="0" locked="0" layoutInCell="0" allowOverlap="1" relativeHeight="51">
              <wp:simplePos x="0" y="0"/>
              <wp:positionH relativeFrom="margin">
                <wp:align>right</wp:align>
              </wp:positionH>
              <wp:positionV relativeFrom="paragraph">
                <wp:posOffset>635</wp:posOffset>
              </wp:positionV>
              <wp:extent cx="6071235" cy="408940"/>
              <wp:effectExtent l="0" t="0" r="0" b="0"/>
              <wp:wrapSquare wrapText="bothSides"/>
              <wp:docPr id="30" name="Врезка13"/>
              <a:graphic xmlns:a="http://schemas.openxmlformats.org/drawingml/2006/main">
                <a:graphicData uri="http://schemas.microsoft.com/office/word/2010/wordprocessingShape">
                  <wps:wsp>
                    <wps:cNvSpPr txBox="1"/>
                    <wps:spPr>
                      <a:xfrm>
                        <a:off x="0" y="0"/>
                        <a:ext cx="6071235" cy="408940"/>
                      </a:xfrm>
                      <a:prstGeom prst="rect"/>
                      <a:solidFill>
                        <a:srgbClr val="FFFFFF">
                          <a:alpha val="0"/>
                        </a:srgbClr>
                      </a:solidFill>
                    </wps:spPr>
                    <wps:txbx>
                      <w:txbxContent>
                        <w:p>
                          <w:pPr>
                            <w:pStyle w:val="Style52"/>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79</w:t>
                          </w:r>
                          <w:r>
                            <w:rPr>
                              <w:rStyle w:val="Pagenumber"/>
                            </w:rPr>
                            <w:fldChar w:fldCharType="end"/>
                          </w:r>
                        </w:p>
                        <w:p>
                          <w:pPr>
                            <w:pStyle w:val="Style52"/>
                            <w:pBdr/>
                            <w:ind w:right="360" w:hanging="0"/>
                            <w:rPr>
                              <w:rStyle w:val="Pagenumber"/>
                            </w:rPr>
                          </w:pPr>
                          <w:r>
                            <w:rPr/>
                          </w:r>
                        </w:p>
                      </w:txbxContent>
                    </wps:txbx>
                    <wps:bodyPr anchor="t" lIns="0" tIns="0" rIns="0" bIns="0">
                      <a:spAutoFit/>
                    </wps:bodyPr>
                  </wps:wsp>
                </a:graphicData>
              </a:graphic>
            </wp:anchor>
          </w:drawing>
        </mc:Choice>
        <mc:Fallback>
          <w:pict>
            <v:rect fillcolor="#FFFFFF" style="position:absolute;rotation:-0;width:478.05pt;height:32.2pt;mso-wrap-distance-left:0pt;mso-wrap-distance-right:0pt;mso-wrap-distance-top:0pt;mso-wrap-distance-bottom:0pt;margin-top:0.05pt;mso-position-vertical-relative:text;margin-left:18pt;mso-position-horizontal:right;mso-position-horizontal-relative:margin">
              <v:fill opacity="0f"/>
              <v:textbox inset="0in,0in,0in,0in">
                <w:txbxContent>
                  <w:p>
                    <w:pPr>
                      <w:pStyle w:val="Style52"/>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79</w:t>
                    </w:r>
                    <w:r>
                      <w:rPr>
                        <w:rStyle w:val="Pagenumber"/>
                      </w:rPr>
                      <w:fldChar w:fldCharType="end"/>
                    </w:r>
                  </w:p>
                  <w:p>
                    <w:pPr>
                      <w:pStyle w:val="Style52"/>
                      <w:pBdr/>
                      <w:ind w:right="360" w:hanging="0"/>
                      <w:rPr>
                        <w:rStyle w:val="Pagenumber"/>
                      </w:rPr>
                    </w:pPr>
                    <w:r>
                      <w:rPr/>
                    </w:r>
                  </w:p>
                </w:txbxContent>
              </v:textbox>
              <w10:wrap type="square"/>
            </v:rect>
          </w:pict>
        </mc:Fallback>
      </mc:AlternateContent>
    </w:r>
  </w:p>
</w:ftr>
</file>

<file path=word/footer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ind w:right="360" w:hanging="0"/>
      <w:rPr/>
    </w:pPr>
    <w:r>
      <w:rPr/>
    </w:r>
    <w:r>
      <mc:AlternateContent>
        <mc:Choice Requires="wps">
          <w:drawing>
            <wp:anchor behindDoc="0" distT="0" distB="0" distL="0" distR="0" simplePos="0" locked="0" layoutInCell="0" allowOverlap="1" relativeHeight="54">
              <wp:simplePos x="0" y="0"/>
              <wp:positionH relativeFrom="margin">
                <wp:align>right</wp:align>
              </wp:positionH>
              <wp:positionV relativeFrom="paragraph">
                <wp:posOffset>635</wp:posOffset>
              </wp:positionV>
              <wp:extent cx="9203055" cy="408940"/>
              <wp:effectExtent l="0" t="0" r="0" b="0"/>
              <wp:wrapSquare wrapText="bothSides"/>
              <wp:docPr id="31" name="Врезка14"/>
              <a:graphic xmlns:a="http://schemas.openxmlformats.org/drawingml/2006/main">
                <a:graphicData uri="http://schemas.microsoft.com/office/word/2010/wordprocessingShape">
                  <wps:wsp>
                    <wps:cNvSpPr txBox="1"/>
                    <wps:spPr>
                      <a:xfrm>
                        <a:off x="0" y="0"/>
                        <a:ext cx="9203055" cy="408940"/>
                      </a:xfrm>
                      <a:prstGeom prst="rect"/>
                      <a:solidFill>
                        <a:srgbClr val="FFFFFF">
                          <a:alpha val="0"/>
                        </a:srgbClr>
                      </a:solidFill>
                    </wps:spPr>
                    <wps:txbx>
                      <w:txbxContent>
                        <w:p>
                          <w:pPr>
                            <w:pStyle w:val="Style52"/>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81</w:t>
                          </w:r>
                          <w:r>
                            <w:rPr>
                              <w:rStyle w:val="Pagenumber"/>
                            </w:rPr>
                            <w:fldChar w:fldCharType="end"/>
                          </w:r>
                        </w:p>
                        <w:p>
                          <w:pPr>
                            <w:pStyle w:val="Style52"/>
                            <w:pBdr/>
                            <w:ind w:right="360" w:hanging="0"/>
                            <w:rPr>
                              <w:rStyle w:val="Pagenumber"/>
                            </w:rPr>
                          </w:pPr>
                          <w:r>
                            <w:rPr/>
                          </w:r>
                        </w:p>
                      </w:txbxContent>
                    </wps:txbx>
                    <wps:bodyPr anchor="t" lIns="0" tIns="0" rIns="0" bIns="0">
                      <a:spAutoFit/>
                    </wps:bodyPr>
                  </wps:wsp>
                </a:graphicData>
              </a:graphic>
            </wp:anchor>
          </w:drawing>
        </mc:Choice>
        <mc:Fallback>
          <w:pict>
            <v:rect fillcolor="#FFFFFF" style="position:absolute;rotation:-0;width:724.65pt;height:32.2pt;mso-wrap-distance-left:0pt;mso-wrap-distance-right:0pt;mso-wrap-distance-top:0pt;mso-wrap-distance-bottom:0pt;margin-top:0.05pt;mso-position-vertical-relative:text;margin-left:18pt;mso-position-horizontal:right;mso-position-horizontal-relative:margin">
              <v:fill opacity="0f"/>
              <v:textbox inset="0in,0in,0in,0in">
                <w:txbxContent>
                  <w:p>
                    <w:pPr>
                      <w:pStyle w:val="Style52"/>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81</w:t>
                    </w:r>
                    <w:r>
                      <w:rPr>
                        <w:rStyle w:val="Pagenumber"/>
                      </w:rPr>
                      <w:fldChar w:fldCharType="end"/>
                    </w:r>
                  </w:p>
                  <w:p>
                    <w:pPr>
                      <w:pStyle w:val="Style52"/>
                      <w:pBdr/>
                      <w:ind w:right="360" w:hanging="0"/>
                      <w:rPr>
                        <w:rStyle w:val="Pagenumber"/>
                      </w:rPr>
                    </w:pPr>
                    <w:r>
                      <w:rPr/>
                    </w:r>
                  </w:p>
                </w:txbxContent>
              </v:textbox>
              <w10:wrap type="square"/>
            </v:rect>
          </w:pict>
        </mc:Fallback>
      </mc:AlternateContent>
    </w:r>
  </w:p>
</w:ftr>
</file>

<file path=word/footer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file>

<file path=word/footer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jc w:val="right"/>
      <w:rPr/>
    </w:pPr>
    <w:r>
      <w:rPr/>
      <w:fldChar w:fldCharType="begin"/>
    </w:r>
    <w:r>
      <w:rPr/>
      <w:instrText xml:space="preserve"> PAGE </w:instrText>
    </w:r>
    <w:r>
      <w:rPr/>
      <w:fldChar w:fldCharType="separate"/>
    </w:r>
    <w:r>
      <w:rPr/>
      <w:t>83</w:t>
    </w:r>
    <w:r>
      <w:rPr/>
      <w:fldChar w:fldCharType="end"/>
    </w:r>
  </w:p>
  <w:p>
    <w:pPr>
      <w:pStyle w:val="Style52"/>
      <w:ind w:right="360" w:hanging="0"/>
      <w:rPr/>
    </w:pPr>
    <w:r>
      <w:rPr/>
    </w:r>
  </w:p>
</w:ftr>
</file>

<file path=word/footer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jc w:val="right"/>
      <w:rPr/>
    </w:pPr>
    <w:r>
      <w:rPr/>
      <w:fldChar w:fldCharType="begin"/>
    </w:r>
    <w:r>
      <w:rPr/>
      <w:instrText xml:space="preserve"> PAGE </w:instrText>
    </w:r>
    <w:r>
      <w:rPr/>
      <w:fldChar w:fldCharType="separate"/>
    </w:r>
    <w:r>
      <w:rPr/>
      <w:t>83</w:t>
    </w:r>
    <w:r>
      <w:rPr/>
      <w:fldChar w:fldCharType="end"/>
    </w:r>
  </w:p>
  <w:p>
    <w:pPr>
      <w:pStyle w:val="Style52"/>
      <w:ind w:right="360" w:hanging="0"/>
      <w:rPr/>
    </w:pPr>
    <w:r>
      <w:rPr/>
    </w:r>
  </w:p>
</w:ftr>
</file>

<file path=word/footer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jc w:val="right"/>
      <w:rPr/>
    </w:pPr>
    <w:r>
      <w:rPr/>
      <w:fldChar w:fldCharType="begin"/>
    </w:r>
    <w:r>
      <w:rPr/>
      <w:instrText xml:space="preserve"> PAGE </w:instrText>
    </w:r>
    <w:r>
      <w:rPr/>
      <w:fldChar w:fldCharType="separate"/>
    </w:r>
    <w:r>
      <w:rPr/>
      <w:t>84</w:t>
    </w:r>
    <w:r>
      <w:rPr/>
      <w:fldChar w:fldCharType="end"/>
    </w:r>
  </w:p>
  <w:p>
    <w:pPr>
      <w:pStyle w:val="Style52"/>
      <w:ind w:right="360" w:hanging="0"/>
      <w:rPr/>
    </w:pPr>
    <w:r>
      <w:rPr/>
    </w:r>
  </w:p>
</w:ftr>
</file>

<file path=word/footer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jc w:val="right"/>
      <w:rPr/>
    </w:pPr>
    <w:r>
      <w:rPr/>
      <w:fldChar w:fldCharType="begin"/>
    </w:r>
    <w:r>
      <w:rPr/>
      <w:instrText xml:space="preserve"> PAGE </w:instrText>
    </w:r>
    <w:r>
      <w:rPr/>
      <w:fldChar w:fldCharType="separate"/>
    </w:r>
    <w:r>
      <w:rPr/>
      <w:t>44</w:t>
    </w:r>
    <w:r>
      <w:rPr/>
      <w:fldChar w:fldCharType="end"/>
    </w:r>
  </w:p>
  <w:p>
    <w:pPr>
      <w:pStyle w:val="Style52"/>
      <w:ind w:right="360" w:hanging="0"/>
      <w:rPr/>
    </w:pPr>
    <w:r>
      <w:rPr/>
    </w:r>
  </w:p>
</w:ftr>
</file>

<file path=word/footer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421494455"/>
    </w:sdtPr>
    <w:sdtContent>
      <w:p>
        <w:pPr>
          <w:pStyle w:val="Style52"/>
          <w:jc w:val="right"/>
          <w:rPr/>
        </w:pPr>
        <w:r>
          <w:rPr/>
          <w:fldChar w:fldCharType="begin"/>
        </w:r>
        <w:r>
          <w:rPr/>
          <w:instrText xml:space="preserve"> PAGE </w:instrText>
        </w:r>
        <w:r>
          <w:rPr/>
          <w:fldChar w:fldCharType="separate"/>
        </w:r>
        <w:r>
          <w:rPr/>
          <w:t>88</w:t>
        </w:r>
        <w:r>
          <w:rPr/>
          <w:fldChar w:fldCharType="end"/>
        </w:r>
      </w:p>
      <w:p>
        <w:pPr>
          <w:pStyle w:val="Style52"/>
          <w:rPr/>
        </w:pPr>
        <w:r>
          <w:rPr/>
        </w:r>
      </w:p>
      <w:p>
        <w:pPr>
          <w:pStyle w:val="Normal"/>
          <w:rPr/>
        </w:pPr>
        <w:r>
          <w:rPr/>
        </w:r>
      </w:p>
      <w:p>
        <w:pPr>
          <w:pStyle w:val="Normal"/>
          <w:rPr/>
        </w:pPr>
        <w:r>
          <w:rPr/>
        </w:r>
      </w:p>
    </w:sdtContent>
  </w:sdt>
</w:ftr>
</file>

<file path=word/footer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547094397"/>
    </w:sdtPr>
    <w:sdtContent>
      <w:p>
        <w:pPr>
          <w:pStyle w:val="Style52"/>
          <w:jc w:val="right"/>
          <w:rPr/>
        </w:pPr>
        <w:r>
          <w:rPr/>
          <w:fldChar w:fldCharType="begin"/>
        </w:r>
        <w:r>
          <w:rPr/>
          <w:instrText xml:space="preserve"> PAGE </w:instrText>
        </w:r>
        <w:r>
          <w:rPr/>
          <w:fldChar w:fldCharType="separate"/>
        </w:r>
        <w:r>
          <w:rPr/>
          <w:t>93</w:t>
        </w:r>
        <w:r>
          <w:rPr/>
          <w:fldChar w:fldCharType="end"/>
        </w:r>
      </w:p>
      <w:p>
        <w:pPr>
          <w:pStyle w:val="Style52"/>
          <w:rPr/>
        </w:pPr>
        <w:r>
          <w:rPr/>
        </w:r>
      </w:p>
      <w:p>
        <w:pPr>
          <w:pStyle w:val="Normal"/>
          <w:rPr/>
        </w:pPr>
        <w:r>
          <w:rPr/>
        </w:r>
      </w:p>
      <w:p>
        <w:pPr>
          <w:pStyle w:val="Normal"/>
          <w:rPr/>
        </w:pPr>
        <w:r>
          <w:rPr/>
        </w:r>
      </w:p>
    </w:sdtContent>
  </w:sdt>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ind w:right="360" w:hanging="0"/>
      <w:rPr/>
    </w:pPr>
    <w:r>
      <w:rPr/>
    </w:r>
    <w:r>
      <mc:AlternateContent>
        <mc:Choice Requires="wps">
          <w:drawing>
            <wp:anchor behindDoc="0" distT="0" distB="0" distL="0" distR="0" simplePos="0" locked="0" layoutInCell="0" allowOverlap="1" relativeHeight="37">
              <wp:simplePos x="0" y="0"/>
              <wp:positionH relativeFrom="margin">
                <wp:align>right</wp:align>
              </wp:positionH>
              <wp:positionV relativeFrom="paragraph">
                <wp:posOffset>635</wp:posOffset>
              </wp:positionV>
              <wp:extent cx="9203055" cy="408940"/>
              <wp:effectExtent l="0" t="0" r="0" b="0"/>
              <wp:wrapSquare wrapText="bothSides"/>
              <wp:docPr id="6" name="Врезка7"/>
              <a:graphic xmlns:a="http://schemas.openxmlformats.org/drawingml/2006/main">
                <a:graphicData uri="http://schemas.microsoft.com/office/word/2010/wordprocessingShape">
                  <wps:wsp>
                    <wps:cNvSpPr txBox="1"/>
                    <wps:spPr>
                      <a:xfrm>
                        <a:off x="0" y="0"/>
                        <a:ext cx="9203055" cy="408940"/>
                      </a:xfrm>
                      <a:prstGeom prst="rect"/>
                      <a:solidFill>
                        <a:srgbClr val="FFFFFF">
                          <a:alpha val="0"/>
                        </a:srgbClr>
                      </a:solidFill>
                    </wps:spPr>
                    <wps:txbx>
                      <w:txbxContent>
                        <w:p>
                          <w:pPr>
                            <w:pStyle w:val="Style52"/>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43</w:t>
                          </w:r>
                          <w:r>
                            <w:rPr>
                              <w:rStyle w:val="Pagenumber"/>
                            </w:rPr>
                            <w:fldChar w:fldCharType="end"/>
                          </w:r>
                        </w:p>
                        <w:p>
                          <w:pPr>
                            <w:pStyle w:val="Style52"/>
                            <w:pBdr/>
                            <w:ind w:right="360" w:hanging="0"/>
                            <w:rPr>
                              <w:rStyle w:val="Pagenumber"/>
                            </w:rPr>
                          </w:pPr>
                          <w:r>
                            <w:rPr/>
                          </w:r>
                        </w:p>
                      </w:txbxContent>
                    </wps:txbx>
                    <wps:bodyPr anchor="t" lIns="0" tIns="0" rIns="0" bIns="0">
                      <a:spAutoFit/>
                    </wps:bodyPr>
                  </wps:wsp>
                </a:graphicData>
              </a:graphic>
            </wp:anchor>
          </w:drawing>
        </mc:Choice>
        <mc:Fallback>
          <w:pict>
            <v:rect fillcolor="#FFFFFF" style="position:absolute;rotation:-0;width:724.65pt;height:32.2pt;mso-wrap-distance-left:0pt;mso-wrap-distance-right:0pt;mso-wrap-distance-top:0pt;mso-wrap-distance-bottom:0pt;margin-top:0.05pt;mso-position-vertical-relative:text;margin-left:18pt;mso-position-horizontal:right;mso-position-horizontal-relative:margin">
              <v:fill opacity="0f"/>
              <v:textbox inset="0in,0in,0in,0in">
                <w:txbxContent>
                  <w:p>
                    <w:pPr>
                      <w:pStyle w:val="Style52"/>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43</w:t>
                    </w:r>
                    <w:r>
                      <w:rPr>
                        <w:rStyle w:val="Pagenumber"/>
                      </w:rPr>
                      <w:fldChar w:fldCharType="end"/>
                    </w:r>
                  </w:p>
                  <w:p>
                    <w:pPr>
                      <w:pStyle w:val="Style52"/>
                      <w:pBdr/>
                      <w:ind w:right="360" w:hanging="0"/>
                      <w:rPr>
                        <w:rStyle w:val="Pagenumber"/>
                      </w:rPr>
                    </w:pPr>
                    <w:r>
                      <w:rPr/>
                    </w:r>
                  </w:p>
                </w:txbxContent>
              </v:textbox>
              <w10:wrap type="square"/>
            </v:rect>
          </w:pict>
        </mc:Fallback>
      </mc:AlternateContent>
    </w:r>
  </w:p>
</w:ftr>
</file>

<file path=word/footer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731198679"/>
    </w:sdtPr>
    <w:sdtContent>
      <w:p>
        <w:pPr>
          <w:pStyle w:val="Style52"/>
          <w:jc w:val="right"/>
          <w:rPr/>
        </w:pPr>
        <w:r>
          <w:rPr/>
          <w:fldChar w:fldCharType="begin"/>
        </w:r>
        <w:r>
          <w:rPr/>
          <w:instrText xml:space="preserve"> PAGE </w:instrText>
        </w:r>
        <w:r>
          <w:rPr/>
          <w:fldChar w:fldCharType="separate"/>
        </w:r>
        <w:r>
          <w:rPr/>
          <w:t>95</w:t>
        </w:r>
        <w:r>
          <w:rPr/>
          <w:fldChar w:fldCharType="end"/>
        </w:r>
      </w:p>
      <w:p>
        <w:pPr>
          <w:pStyle w:val="Style52"/>
          <w:rPr/>
        </w:pPr>
        <w:r>
          <w:rPr/>
        </w:r>
      </w:p>
      <w:p>
        <w:pPr>
          <w:pStyle w:val="Normal"/>
          <w:rPr/>
        </w:pPr>
        <w:r>
          <w:rPr/>
        </w:r>
      </w:p>
      <w:p>
        <w:pPr>
          <w:pStyle w:val="Normal"/>
          <w:rPr/>
        </w:pPr>
        <w:r>
          <w:rPr/>
        </w:r>
      </w:p>
    </w:sdtContent>
  </w:sdt>
</w:ftr>
</file>

<file path=word/footer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184033286"/>
    </w:sdtPr>
    <w:sdtContent>
      <w:p>
        <w:pPr>
          <w:pStyle w:val="Style52"/>
          <w:jc w:val="right"/>
          <w:rPr/>
        </w:pPr>
        <w:r>
          <w:rPr/>
          <w:fldChar w:fldCharType="begin"/>
        </w:r>
        <w:r>
          <w:rPr/>
          <w:instrText xml:space="preserve"> PAGE </w:instrText>
        </w:r>
        <w:r>
          <w:rPr/>
          <w:fldChar w:fldCharType="separate"/>
        </w:r>
        <w:r>
          <w:rPr/>
          <w:t>98</w:t>
        </w:r>
        <w:r>
          <w:rPr/>
          <w:fldChar w:fldCharType="end"/>
        </w:r>
      </w:p>
      <w:p>
        <w:pPr>
          <w:pStyle w:val="Style52"/>
          <w:rPr/>
        </w:pPr>
        <w:r>
          <w:rPr/>
        </w:r>
      </w:p>
      <w:p>
        <w:pPr>
          <w:pStyle w:val="Normal"/>
          <w:rPr/>
        </w:pPr>
        <w:r>
          <w:rPr/>
        </w:r>
      </w:p>
      <w:p>
        <w:pPr>
          <w:pStyle w:val="Normal"/>
          <w:rPr/>
        </w:pPr>
        <w:r>
          <w:rPr/>
        </w:r>
      </w:p>
    </w:sdtContent>
  </w:sdt>
</w:ftr>
</file>

<file path=word/footer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60310145"/>
    </w:sdtPr>
    <w:sdtContent>
      <w:p>
        <w:pPr>
          <w:pStyle w:val="Style52"/>
          <w:jc w:val="right"/>
          <w:rPr/>
        </w:pPr>
        <w:r>
          <w:rPr/>
          <w:fldChar w:fldCharType="begin"/>
        </w:r>
        <w:r>
          <w:rPr/>
          <w:instrText xml:space="preserve"> PAGE </w:instrText>
        </w:r>
        <w:r>
          <w:rPr/>
          <w:fldChar w:fldCharType="separate"/>
        </w:r>
        <w:r>
          <w:rPr/>
          <w:t>100</w:t>
        </w:r>
        <w:r>
          <w:rPr/>
          <w:fldChar w:fldCharType="end"/>
        </w:r>
      </w:p>
      <w:p>
        <w:pPr>
          <w:pStyle w:val="Style52"/>
          <w:rPr/>
        </w:pPr>
        <w:r>
          <w:rPr/>
        </w:r>
      </w:p>
      <w:p>
        <w:pPr>
          <w:pStyle w:val="Normal"/>
          <w:rPr/>
        </w:pPr>
        <w:r>
          <w:rPr/>
        </w:r>
      </w:p>
      <w:p>
        <w:pPr>
          <w:pStyle w:val="Normal"/>
          <w:rPr/>
        </w:pPr>
        <w:r>
          <w:rPr/>
        </w:r>
      </w:p>
    </w:sdtContent>
  </w:sdt>
</w:ftr>
</file>

<file path=word/footer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970345175"/>
    </w:sdtPr>
    <w:sdtContent>
      <w:p>
        <w:pPr>
          <w:pStyle w:val="Style52"/>
          <w:jc w:val="right"/>
          <w:rPr/>
        </w:pPr>
        <w:r>
          <w:rPr/>
          <w:fldChar w:fldCharType="begin"/>
        </w:r>
        <w:r>
          <w:rPr/>
          <w:instrText xml:space="preserve"> PAGE </w:instrText>
        </w:r>
        <w:r>
          <w:rPr/>
          <w:fldChar w:fldCharType="separate"/>
        </w:r>
        <w:r>
          <w:rPr/>
          <w:t>101</w:t>
        </w:r>
        <w:r>
          <w:rPr/>
          <w:fldChar w:fldCharType="end"/>
        </w:r>
      </w:p>
      <w:p>
        <w:pPr>
          <w:pStyle w:val="Style52"/>
          <w:rPr/>
        </w:pPr>
        <w:r>
          <w:rPr/>
        </w:r>
      </w:p>
      <w:p>
        <w:pPr>
          <w:pStyle w:val="Normal"/>
          <w:rPr/>
        </w:pPr>
        <w:r>
          <w:rPr/>
        </w:r>
      </w:p>
      <w:p>
        <w:pPr>
          <w:pStyle w:val="Normal"/>
          <w:rPr/>
        </w:pPr>
        <w:r>
          <w:rPr/>
        </w:r>
      </w:p>
    </w:sdtContent>
  </w:sdt>
</w:ftr>
</file>

<file path=word/footer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81742676"/>
    </w:sdtPr>
    <w:sdtContent>
      <w:p>
        <w:pPr>
          <w:pStyle w:val="Style52"/>
          <w:jc w:val="right"/>
          <w:rPr/>
        </w:pPr>
        <w:r>
          <w:rPr/>
          <w:fldChar w:fldCharType="begin"/>
        </w:r>
        <w:r>
          <w:rPr/>
          <w:instrText xml:space="preserve"> PAGE </w:instrText>
        </w:r>
        <w:r>
          <w:rPr/>
          <w:fldChar w:fldCharType="separate"/>
        </w:r>
        <w:r>
          <w:rPr/>
          <w:t>110</w:t>
        </w:r>
        <w:r>
          <w:rPr/>
          <w:fldChar w:fldCharType="end"/>
        </w:r>
      </w:p>
      <w:p>
        <w:pPr>
          <w:pStyle w:val="Style52"/>
          <w:rPr/>
        </w:pPr>
        <w:r>
          <w:rPr/>
        </w:r>
      </w:p>
    </w:sdtContent>
  </w:sdt>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445883406"/>
    </w:sdtPr>
    <w:sdtContent>
      <w:p>
        <w:pPr>
          <w:pStyle w:val="Style52"/>
          <w:jc w:val="right"/>
          <w:rPr/>
        </w:pPr>
        <w:r>
          <w:rPr/>
          <w:fldChar w:fldCharType="begin"/>
        </w:r>
        <w:r>
          <w:rPr/>
          <w:instrText xml:space="preserve"> PAGE </w:instrText>
        </w:r>
        <w:r>
          <w:rPr/>
          <w:fldChar w:fldCharType="separate"/>
        </w:r>
        <w:r>
          <w:rPr/>
          <w:t>111</w:t>
        </w:r>
        <w:r>
          <w:rPr/>
          <w:fldChar w:fldCharType="end"/>
        </w:r>
      </w:p>
      <w:p>
        <w:pPr>
          <w:pStyle w:val="Style52"/>
          <w:rPr/>
        </w:pPr>
        <w:r>
          <w:rPr/>
        </w:r>
      </w:p>
    </w:sdtContent>
  </w:sdt>
</w:ftr>
</file>

<file path=word/footer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849784673"/>
    </w:sdtPr>
    <w:sdtContent>
      <w:p>
        <w:pPr>
          <w:pStyle w:val="Style52"/>
          <w:jc w:val="right"/>
          <w:rPr/>
        </w:pPr>
        <w:r>
          <w:rPr/>
          <w:fldChar w:fldCharType="begin"/>
        </w:r>
        <w:r>
          <w:rPr/>
          <w:instrText xml:space="preserve"> PAGE </w:instrText>
        </w:r>
        <w:r>
          <w:rPr/>
          <w:fldChar w:fldCharType="separate"/>
        </w:r>
        <w:r>
          <w:rPr/>
          <w:t>114</w:t>
        </w:r>
        <w:r>
          <w:rPr/>
          <w:fldChar w:fldCharType="end"/>
        </w:r>
      </w:p>
      <w:p>
        <w:pPr>
          <w:pStyle w:val="Style52"/>
          <w:rPr/>
        </w:pPr>
        <w:r>
          <w:rPr/>
        </w:r>
      </w:p>
    </w:sdtContent>
  </w:sdt>
</w:ftr>
</file>

<file path=word/footer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30591482"/>
    </w:sdtPr>
    <w:sdtContent>
      <w:p>
        <w:pPr>
          <w:pStyle w:val="Style52"/>
          <w:jc w:val="right"/>
          <w:rPr/>
        </w:pPr>
        <w:r>
          <w:rPr/>
          <w:fldChar w:fldCharType="begin"/>
        </w:r>
        <w:r>
          <w:rPr/>
          <w:instrText xml:space="preserve"> PAGE </w:instrText>
        </w:r>
        <w:r>
          <w:rPr/>
          <w:fldChar w:fldCharType="separate"/>
        </w:r>
        <w:r>
          <w:rPr/>
          <w:t>117</w:t>
        </w:r>
        <w:r>
          <w:rPr/>
          <w:fldChar w:fldCharType="end"/>
        </w:r>
      </w:p>
      <w:p>
        <w:pPr>
          <w:pStyle w:val="Style52"/>
          <w:rPr/>
        </w:pPr>
        <w:r>
          <w:rPr/>
        </w:r>
      </w:p>
    </w:sdtContent>
  </w:sdt>
</w:ftr>
</file>

<file path=word/footer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jc w:val="right"/>
      <w:rPr/>
    </w:pPr>
    <w:r>
      <w:rPr/>
      <w:fldChar w:fldCharType="begin"/>
    </w:r>
    <w:r>
      <w:rPr/>
      <w:instrText xml:space="preserve"> PAGE </w:instrText>
    </w:r>
    <w:r>
      <w:rPr/>
      <w:fldChar w:fldCharType="separate"/>
    </w:r>
    <w:r>
      <w:rPr/>
      <w:t>157</w:t>
    </w:r>
    <w:r>
      <w:rPr/>
      <w:fldChar w:fldCharType="end"/>
    </w:r>
  </w:p>
  <w:p>
    <w:pPr>
      <w:pStyle w:val="Style52"/>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ind w:right="360" w:hanging="0"/>
      <w:rPr/>
    </w:pPr>
    <w:r>
      <w:rPr/>
    </w:r>
    <w:r>
      <mc:AlternateContent>
        <mc:Choice Requires="wps">
          <w:drawing>
            <wp:anchor behindDoc="0" distT="0" distB="0" distL="0" distR="0" simplePos="0" locked="0" layoutInCell="0" allowOverlap="1" relativeHeight="39">
              <wp:simplePos x="0" y="0"/>
              <wp:positionH relativeFrom="margin">
                <wp:align>right</wp:align>
              </wp:positionH>
              <wp:positionV relativeFrom="paragraph">
                <wp:posOffset>635</wp:posOffset>
              </wp:positionV>
              <wp:extent cx="6071235" cy="408940"/>
              <wp:effectExtent l="0" t="0" r="0" b="0"/>
              <wp:wrapSquare wrapText="bothSides"/>
              <wp:docPr id="7" name="Врезка8"/>
              <a:graphic xmlns:a="http://schemas.openxmlformats.org/drawingml/2006/main">
                <a:graphicData uri="http://schemas.microsoft.com/office/word/2010/wordprocessingShape">
                  <wps:wsp>
                    <wps:cNvSpPr txBox="1"/>
                    <wps:spPr>
                      <a:xfrm>
                        <a:off x="0" y="0"/>
                        <a:ext cx="6071235" cy="408940"/>
                      </a:xfrm>
                      <a:prstGeom prst="rect"/>
                      <a:solidFill>
                        <a:srgbClr val="FFFFFF">
                          <a:alpha val="0"/>
                        </a:srgbClr>
                      </a:solidFill>
                    </wps:spPr>
                    <wps:txbx>
                      <w:txbxContent>
                        <w:p>
                          <w:pPr>
                            <w:pStyle w:val="Style52"/>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44</w:t>
                          </w:r>
                          <w:r>
                            <w:rPr>
                              <w:rStyle w:val="Pagenumber"/>
                            </w:rPr>
                            <w:fldChar w:fldCharType="end"/>
                          </w:r>
                        </w:p>
                        <w:p>
                          <w:pPr>
                            <w:pStyle w:val="Style52"/>
                            <w:pBdr/>
                            <w:ind w:right="360" w:hanging="0"/>
                            <w:rPr>
                              <w:rStyle w:val="Pagenumber"/>
                            </w:rPr>
                          </w:pPr>
                          <w:r>
                            <w:rPr/>
                          </w:r>
                        </w:p>
                      </w:txbxContent>
                    </wps:txbx>
                    <wps:bodyPr anchor="t" lIns="0" tIns="0" rIns="0" bIns="0">
                      <a:spAutoFit/>
                    </wps:bodyPr>
                  </wps:wsp>
                </a:graphicData>
              </a:graphic>
            </wp:anchor>
          </w:drawing>
        </mc:Choice>
        <mc:Fallback>
          <w:pict>
            <v:rect fillcolor="#FFFFFF" style="position:absolute;rotation:-0;width:478.05pt;height:32.2pt;mso-wrap-distance-left:0pt;mso-wrap-distance-right:0pt;mso-wrap-distance-top:0pt;mso-wrap-distance-bottom:0pt;margin-top:0.05pt;mso-position-vertical-relative:text;margin-left:18pt;mso-position-horizontal:right;mso-position-horizontal-relative:margin">
              <v:fill opacity="0f"/>
              <v:textbox inset="0in,0in,0in,0in">
                <w:txbxContent>
                  <w:p>
                    <w:pPr>
                      <w:pStyle w:val="Style52"/>
                      <w:pBd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44</w:t>
                    </w:r>
                    <w:r>
                      <w:rPr>
                        <w:rStyle w:val="Pagenumber"/>
                      </w:rPr>
                      <w:fldChar w:fldCharType="end"/>
                    </w:r>
                  </w:p>
                  <w:p>
                    <w:pPr>
                      <w:pStyle w:val="Style52"/>
                      <w:pBdr/>
                      <w:ind w:right="360" w:hanging="0"/>
                      <w:rPr>
                        <w:rStyle w:val="Pagenumber"/>
                      </w:rPr>
                    </w:pPr>
                    <w:r>
                      <w:rPr/>
                    </w:r>
                  </w:p>
                </w:txbxContent>
              </v:textbox>
              <w10:wrap type="square"/>
            </v:rect>
          </w:pict>
        </mc:Fallback>
      </mc:AlternateContent>
    </w:r>
  </w:p>
</w:ftr>
</file>

<file path=word/footer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rPr/>
    </w:pPr>
    <w:r>
      <w:rPr/>
    </w:r>
  </w:p>
</w:ftr>
</file>

<file path=word/footer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jc w:val="right"/>
      <w:rPr/>
    </w:pPr>
    <w:r>
      <w:rPr/>
      <w:fldChar w:fldCharType="begin"/>
    </w:r>
    <w:r>
      <w:rPr/>
      <w:instrText xml:space="preserve"> PAGE </w:instrText>
    </w:r>
    <w:r>
      <w:rPr/>
      <w:fldChar w:fldCharType="separate"/>
    </w:r>
    <w:r>
      <w:rPr/>
      <w:t>158</w:t>
    </w:r>
    <w:r>
      <w:rPr/>
      <w:fldChar w:fldCharType="end"/>
    </w:r>
  </w:p>
  <w:p>
    <w:pPr>
      <w:pStyle w:val="Style52"/>
      <w:rPr/>
    </w:pPr>
    <w:r>
      <w:rPr/>
    </w:r>
  </w:p>
</w:ftr>
</file>

<file path=word/footer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rPr/>
    </w:pPr>
    <w:r>
      <w:rPr/>
    </w:r>
  </w:p>
</w:ftr>
</file>

<file path=word/footer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jc w:val="right"/>
      <w:rPr/>
    </w:pPr>
    <w:r>
      <w:rPr/>
      <w:fldChar w:fldCharType="begin"/>
    </w:r>
    <w:r>
      <w:rPr/>
      <w:instrText xml:space="preserve"> PAGE </w:instrText>
    </w:r>
    <w:r>
      <w:rPr/>
      <w:fldChar w:fldCharType="separate"/>
    </w:r>
    <w:r>
      <w:rPr/>
      <w:t>160</w:t>
    </w:r>
    <w:r>
      <w:rPr/>
      <w:fldChar w:fldCharType="end"/>
    </w:r>
  </w:p>
  <w:p>
    <w:pPr>
      <w:pStyle w:val="Style52"/>
      <w:rPr/>
    </w:pPr>
    <w:r>
      <w:rPr/>
    </w:r>
  </w:p>
</w:ftr>
</file>

<file path=word/footer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ind w:right="360" w:hanging="0"/>
      <w:rPr/>
    </w:pPr>
    <w:r>
      <w:rPr/>
    </w:r>
    <w:r>
      <mc:AlternateContent>
        <mc:Choice Requires="wps">
          <w:drawing>
            <wp:anchor behindDoc="0" distT="0" distB="0" distL="0" distR="0" simplePos="0" locked="0" layoutInCell="0" allowOverlap="1" relativeHeight="93">
              <wp:simplePos x="0" y="0"/>
              <wp:positionH relativeFrom="margin">
                <wp:align>right</wp:align>
              </wp:positionH>
              <wp:positionV relativeFrom="paragraph">
                <wp:posOffset>635</wp:posOffset>
              </wp:positionV>
              <wp:extent cx="6071235" cy="408940"/>
              <wp:effectExtent l="0" t="0" r="0" b="0"/>
              <wp:wrapSquare wrapText="largest"/>
              <wp:docPr id="40" name="Врезка16"/>
              <a:graphic xmlns:a="http://schemas.openxmlformats.org/drawingml/2006/main">
                <a:graphicData uri="http://schemas.microsoft.com/office/word/2010/wordprocessingShape">
                  <wps:wsp>
                    <wps:cNvSpPr txBox="1"/>
                    <wps:spPr>
                      <a:xfrm>
                        <a:off x="0" y="0"/>
                        <a:ext cx="6071235" cy="408940"/>
                      </a:xfrm>
                      <a:prstGeom prst="rect"/>
                      <a:solidFill>
                        <a:srgbClr val="FFFFFF">
                          <a:alpha val="0"/>
                        </a:srgbClr>
                      </a:solidFill>
                    </wps:spPr>
                    <wps:txbx>
                      <w:txbxContent>
                        <w:p>
                          <w:pPr>
                            <w:pStyle w:val="Style52"/>
                            <w:jc w:val="right"/>
                            <w:rPr/>
                          </w:pPr>
                          <w:r>
                            <w:rPr>
                              <w:rStyle w:val="Style9"/>
                            </w:rPr>
                            <w:fldChar w:fldCharType="begin"/>
                          </w:r>
                          <w:r>
                            <w:rPr>
                              <w:rStyle w:val="Style9"/>
                            </w:rPr>
                            <w:instrText xml:space="preserve"> PAGE </w:instrText>
                          </w:r>
                          <w:r>
                            <w:rPr>
                              <w:rStyle w:val="Style9"/>
                            </w:rPr>
                            <w:fldChar w:fldCharType="separate"/>
                          </w:r>
                          <w:r>
                            <w:rPr>
                              <w:rStyle w:val="Style9"/>
                            </w:rPr>
                            <w:t>171</w:t>
                          </w:r>
                          <w:r>
                            <w:rPr>
                              <w:rStyle w:val="Style9"/>
                            </w:rPr>
                            <w:fldChar w:fldCharType="end"/>
                          </w:r>
                        </w:p>
                        <w:p>
                          <w:pPr>
                            <w:pStyle w:val="Style52"/>
                            <w:ind w:right="360" w:hanging="0"/>
                            <w:rPr>
                              <w:rStyle w:val="Style9"/>
                            </w:rPr>
                          </w:pPr>
                          <w:r>
                            <w:rPr/>
                          </w:r>
                        </w:p>
                      </w:txbxContent>
                    </wps:txbx>
                    <wps:bodyPr anchor="t" lIns="0" tIns="0" rIns="0" bIns="0">
                      <a:noAutofit/>
                    </wps:bodyPr>
                  </wps:wsp>
                </a:graphicData>
              </a:graphic>
            </wp:anchor>
          </w:drawing>
        </mc:Choice>
        <mc:Fallback>
          <w:pict>
            <v:rect fillcolor="#FFFFFF" style="position:absolute;rotation:-0;width:478.05pt;height:32.2pt;mso-wrap-distance-left:0pt;mso-wrap-distance-right:0pt;mso-wrap-distance-top:0pt;mso-wrap-distance-bottom:0pt;margin-top:0.05pt;mso-position-vertical-relative:text;margin-left:18pt;mso-position-horizontal:right;mso-position-horizontal-relative:margin">
              <v:fill opacity="0f"/>
              <v:textbox inset="0in,0in,0in,0in">
                <w:txbxContent>
                  <w:p>
                    <w:pPr>
                      <w:pStyle w:val="Style52"/>
                      <w:jc w:val="right"/>
                      <w:rPr/>
                    </w:pPr>
                    <w:r>
                      <w:rPr>
                        <w:rStyle w:val="Style9"/>
                      </w:rPr>
                      <w:fldChar w:fldCharType="begin"/>
                    </w:r>
                    <w:r>
                      <w:rPr>
                        <w:rStyle w:val="Style9"/>
                      </w:rPr>
                      <w:instrText xml:space="preserve"> PAGE </w:instrText>
                    </w:r>
                    <w:r>
                      <w:rPr>
                        <w:rStyle w:val="Style9"/>
                      </w:rPr>
                      <w:fldChar w:fldCharType="separate"/>
                    </w:r>
                    <w:r>
                      <w:rPr>
                        <w:rStyle w:val="Style9"/>
                      </w:rPr>
                      <w:t>171</w:t>
                    </w:r>
                    <w:r>
                      <w:rPr>
                        <w:rStyle w:val="Style9"/>
                      </w:rPr>
                      <w:fldChar w:fldCharType="end"/>
                    </w:r>
                  </w:p>
                  <w:p>
                    <w:pPr>
                      <w:pStyle w:val="Style52"/>
                      <w:ind w:right="360" w:hanging="0"/>
                      <w:rPr>
                        <w:rStyle w:val="Style9"/>
                      </w:rPr>
                    </w:pPr>
                    <w:r>
                      <w:rPr/>
                    </w:r>
                  </w:p>
                </w:txbxContent>
              </v:textbox>
              <w10:wrap type="square" side="largest"/>
            </v:rect>
          </w:pict>
        </mc:Fallback>
      </mc:AlternateContent>
    </w:r>
  </w:p>
  <w:p>
    <w:pPr>
      <w:pStyle w:val="Normal"/>
      <w:rPr/>
    </w:pPr>
    <w:r>
      <w:rPr/>
    </w:r>
  </w:p>
  <w:p>
    <w:pPr>
      <w:pStyle w:val="Normal"/>
      <w:rPr/>
    </w:pPr>
    <w:r>
      <w:rPr/>
    </w:r>
  </w:p>
</w:ftr>
</file>

<file path=word/footer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ind w:right="360" w:hanging="0"/>
      <w:rPr/>
    </w:pPr>
    <w:r>
      <w:rPr/>
    </w:r>
    <w:r>
      <mc:AlternateContent>
        <mc:Choice Requires="wps">
          <w:drawing>
            <wp:anchor behindDoc="0" distT="0" distB="0" distL="0" distR="0" simplePos="0" locked="0" layoutInCell="0" allowOverlap="1" relativeHeight="67">
              <wp:simplePos x="0" y="0"/>
              <wp:positionH relativeFrom="margin">
                <wp:align>right</wp:align>
              </wp:positionH>
              <wp:positionV relativeFrom="paragraph">
                <wp:posOffset>635</wp:posOffset>
              </wp:positionV>
              <wp:extent cx="9203055" cy="408940"/>
              <wp:effectExtent l="0" t="0" r="0" b="0"/>
              <wp:wrapSquare wrapText="largest"/>
              <wp:docPr id="41" name="Врезка17"/>
              <a:graphic xmlns:a="http://schemas.openxmlformats.org/drawingml/2006/main">
                <a:graphicData uri="http://schemas.microsoft.com/office/word/2010/wordprocessingShape">
                  <wps:wsp>
                    <wps:cNvSpPr txBox="1"/>
                    <wps:spPr>
                      <a:xfrm>
                        <a:off x="0" y="0"/>
                        <a:ext cx="9203055" cy="408940"/>
                      </a:xfrm>
                      <a:prstGeom prst="rect"/>
                      <a:solidFill>
                        <a:srgbClr val="FFFFFF">
                          <a:alpha val="0"/>
                        </a:srgbClr>
                      </a:solidFill>
                    </wps:spPr>
                    <wps:txbx>
                      <w:txbxContent>
                        <w:p>
                          <w:pPr>
                            <w:pStyle w:val="Style52"/>
                            <w:jc w:val="right"/>
                            <w:rPr/>
                          </w:pPr>
                          <w:r>
                            <w:rPr>
                              <w:rStyle w:val="Style9"/>
                            </w:rPr>
                            <w:fldChar w:fldCharType="begin"/>
                          </w:r>
                          <w:r>
                            <w:rPr>
                              <w:rStyle w:val="Style9"/>
                            </w:rPr>
                            <w:instrText xml:space="preserve"> PAGE </w:instrText>
                          </w:r>
                          <w:r>
                            <w:rPr>
                              <w:rStyle w:val="Style9"/>
                            </w:rPr>
                            <w:fldChar w:fldCharType="separate"/>
                          </w:r>
                          <w:r>
                            <w:rPr>
                              <w:rStyle w:val="Style9"/>
                            </w:rPr>
                            <w:t>172</w:t>
                          </w:r>
                          <w:r>
                            <w:rPr>
                              <w:rStyle w:val="Style9"/>
                            </w:rPr>
                            <w:fldChar w:fldCharType="end"/>
                          </w:r>
                        </w:p>
                        <w:p>
                          <w:pPr>
                            <w:pStyle w:val="Style52"/>
                            <w:ind w:right="360" w:hanging="0"/>
                            <w:rPr>
                              <w:rStyle w:val="Style9"/>
                            </w:rPr>
                          </w:pPr>
                          <w:r>
                            <w:rPr/>
                          </w:r>
                        </w:p>
                      </w:txbxContent>
                    </wps:txbx>
                    <wps:bodyPr anchor="t" lIns="0" tIns="0" rIns="0" bIns="0">
                      <a:noAutofit/>
                    </wps:bodyPr>
                  </wps:wsp>
                </a:graphicData>
              </a:graphic>
            </wp:anchor>
          </w:drawing>
        </mc:Choice>
        <mc:Fallback>
          <w:pict>
            <v:rect fillcolor="#FFFFFF" style="position:absolute;rotation:-0;width:724.65pt;height:32.2pt;mso-wrap-distance-left:0pt;mso-wrap-distance-right:0pt;mso-wrap-distance-top:0pt;mso-wrap-distance-bottom:0pt;margin-top:0.05pt;mso-position-vertical-relative:text;margin-left:18pt;mso-position-horizontal:right;mso-position-horizontal-relative:margin">
              <v:fill opacity="0f"/>
              <v:textbox inset="0in,0in,0in,0in">
                <w:txbxContent>
                  <w:p>
                    <w:pPr>
                      <w:pStyle w:val="Style52"/>
                      <w:jc w:val="right"/>
                      <w:rPr/>
                    </w:pPr>
                    <w:r>
                      <w:rPr>
                        <w:rStyle w:val="Style9"/>
                      </w:rPr>
                      <w:fldChar w:fldCharType="begin"/>
                    </w:r>
                    <w:r>
                      <w:rPr>
                        <w:rStyle w:val="Style9"/>
                      </w:rPr>
                      <w:instrText xml:space="preserve"> PAGE </w:instrText>
                    </w:r>
                    <w:r>
                      <w:rPr>
                        <w:rStyle w:val="Style9"/>
                      </w:rPr>
                      <w:fldChar w:fldCharType="separate"/>
                    </w:r>
                    <w:r>
                      <w:rPr>
                        <w:rStyle w:val="Style9"/>
                      </w:rPr>
                      <w:t>172</w:t>
                    </w:r>
                    <w:r>
                      <w:rPr>
                        <w:rStyle w:val="Style9"/>
                      </w:rPr>
                      <w:fldChar w:fldCharType="end"/>
                    </w:r>
                  </w:p>
                  <w:p>
                    <w:pPr>
                      <w:pStyle w:val="Style52"/>
                      <w:ind w:right="360" w:hanging="0"/>
                      <w:rPr>
                        <w:rStyle w:val="Style9"/>
                      </w:rPr>
                    </w:pPr>
                    <w:r>
                      <w:rPr/>
                    </w:r>
                  </w:p>
                </w:txbxContent>
              </v:textbox>
              <w10:wrap type="square" side="largest"/>
            </v:rect>
          </w:pict>
        </mc:Fallback>
      </mc:AlternateContent>
    </w:r>
  </w:p>
  <w:p>
    <w:pPr>
      <w:pStyle w:val="Normal"/>
      <w:rPr/>
    </w:pPr>
    <w:r>
      <w:rPr/>
    </w:r>
  </w:p>
  <w:p>
    <w:pPr>
      <w:pStyle w:val="Normal"/>
      <w:rPr/>
    </w:pPr>
    <w:r>
      <w:rPr/>
    </w:r>
  </w:p>
</w:ftr>
</file>

<file path=word/footer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52"/>
      <w:ind w:right="360" w:hanging="0"/>
      <w:rPr/>
    </w:pPr>
    <w:r>
      <w:rPr/>
    </w:r>
    <w:r>
      <mc:AlternateContent>
        <mc:Choice Requires="wps">
          <w:drawing>
            <wp:anchor behindDoc="0" distT="0" distB="0" distL="0" distR="0" simplePos="0" locked="0" layoutInCell="0" allowOverlap="1" relativeHeight="68">
              <wp:simplePos x="0" y="0"/>
              <wp:positionH relativeFrom="margin">
                <wp:align>right</wp:align>
              </wp:positionH>
              <wp:positionV relativeFrom="paragraph">
                <wp:posOffset>635</wp:posOffset>
              </wp:positionV>
              <wp:extent cx="6071235" cy="408940"/>
              <wp:effectExtent l="0" t="0" r="0" b="0"/>
              <wp:wrapSquare wrapText="largest"/>
              <wp:docPr id="42" name="Врезка18"/>
              <a:graphic xmlns:a="http://schemas.openxmlformats.org/drawingml/2006/main">
                <a:graphicData uri="http://schemas.microsoft.com/office/word/2010/wordprocessingShape">
                  <wps:wsp>
                    <wps:cNvSpPr txBox="1"/>
                    <wps:spPr>
                      <a:xfrm>
                        <a:off x="0" y="0"/>
                        <a:ext cx="6071235" cy="408940"/>
                      </a:xfrm>
                      <a:prstGeom prst="rect"/>
                      <a:solidFill>
                        <a:srgbClr val="FFFFFF">
                          <a:alpha val="0"/>
                        </a:srgbClr>
                      </a:solidFill>
                    </wps:spPr>
                    <wps:txbx>
                      <w:txbxContent>
                        <w:p>
                          <w:pPr>
                            <w:pStyle w:val="Style52"/>
                            <w:jc w:val="right"/>
                            <w:rPr/>
                          </w:pPr>
                          <w:r>
                            <w:rPr>
                              <w:rStyle w:val="Style9"/>
                            </w:rPr>
                            <w:fldChar w:fldCharType="begin"/>
                          </w:r>
                          <w:r>
                            <w:rPr>
                              <w:rStyle w:val="Style9"/>
                            </w:rPr>
                            <w:instrText xml:space="preserve"> PAGE </w:instrText>
                          </w:r>
                          <w:r>
                            <w:rPr>
                              <w:rStyle w:val="Style9"/>
                            </w:rPr>
                            <w:fldChar w:fldCharType="separate"/>
                          </w:r>
                          <w:r>
                            <w:rPr>
                              <w:rStyle w:val="Style9"/>
                            </w:rPr>
                            <w:t>173</w:t>
                          </w:r>
                          <w:r>
                            <w:rPr>
                              <w:rStyle w:val="Style9"/>
                            </w:rPr>
                            <w:fldChar w:fldCharType="end"/>
                          </w:r>
                        </w:p>
                        <w:p>
                          <w:pPr>
                            <w:pStyle w:val="Style52"/>
                            <w:ind w:right="360" w:hanging="0"/>
                            <w:rPr>
                              <w:rStyle w:val="Style9"/>
                            </w:rPr>
                          </w:pPr>
                          <w:r>
                            <w:rPr/>
                          </w:r>
                        </w:p>
                      </w:txbxContent>
                    </wps:txbx>
                    <wps:bodyPr anchor="t" lIns="0" tIns="0" rIns="0" bIns="0">
                      <a:noAutofit/>
                    </wps:bodyPr>
                  </wps:wsp>
                </a:graphicData>
              </a:graphic>
            </wp:anchor>
          </w:drawing>
        </mc:Choice>
        <mc:Fallback>
          <w:pict>
            <v:rect fillcolor="#FFFFFF" style="position:absolute;rotation:-0;width:478.05pt;height:32.2pt;mso-wrap-distance-left:0pt;mso-wrap-distance-right:0pt;mso-wrap-distance-top:0pt;mso-wrap-distance-bottom:0pt;margin-top:0.05pt;mso-position-vertical-relative:text;margin-left:18pt;mso-position-horizontal:right;mso-position-horizontal-relative:margin">
              <v:fill opacity="0f"/>
              <v:textbox inset="0in,0in,0in,0in">
                <w:txbxContent>
                  <w:p>
                    <w:pPr>
                      <w:pStyle w:val="Style52"/>
                      <w:jc w:val="right"/>
                      <w:rPr/>
                    </w:pPr>
                    <w:r>
                      <w:rPr>
                        <w:rStyle w:val="Style9"/>
                      </w:rPr>
                      <w:fldChar w:fldCharType="begin"/>
                    </w:r>
                    <w:r>
                      <w:rPr>
                        <w:rStyle w:val="Style9"/>
                      </w:rPr>
                      <w:instrText xml:space="preserve"> PAGE </w:instrText>
                    </w:r>
                    <w:r>
                      <w:rPr>
                        <w:rStyle w:val="Style9"/>
                      </w:rPr>
                      <w:fldChar w:fldCharType="separate"/>
                    </w:r>
                    <w:r>
                      <w:rPr>
                        <w:rStyle w:val="Style9"/>
                      </w:rPr>
                      <w:t>173</w:t>
                    </w:r>
                    <w:r>
                      <w:rPr>
                        <w:rStyle w:val="Style9"/>
                      </w:rPr>
                      <w:fldChar w:fldCharType="end"/>
                    </w:r>
                  </w:p>
                  <w:p>
                    <w:pPr>
                      <w:pStyle w:val="Style52"/>
                      <w:ind w:right="360" w:hanging="0"/>
                      <w:rPr>
                        <w:rStyle w:val="Style9"/>
                      </w:rPr>
                    </w:pPr>
                    <w:r>
                      <w:rPr/>
                    </w:r>
                  </w:p>
                </w:txbxContent>
              </v:textbox>
              <w10:wrap type="square" side="largest"/>
            </v:rect>
          </w:pict>
        </mc:Fallback>
      </mc:AlternateContent>
    </w:r>
  </w:p>
  <w:p>
    <w:pPr>
      <w:pStyle w:val="Normal"/>
      <w:rPr/>
    </w:pPr>
    <w:r>
      <w:rPr/>
    </w:r>
  </w:p>
  <w:p>
    <w:pPr>
      <w:pStyle w:val="Normal"/>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Style61"/>
        <w:rPr/>
      </w:pPr>
      <w:r>
        <w:rPr>
          <w:rStyle w:val="Style7"/>
        </w:rPr>
        <w:footnoteRef/>
      </w:r>
      <w:r>
        <w:rPr/>
        <w:t xml:space="preserve"> </w:t>
      </w:r>
      <w:r>
        <w:rPr/>
        <w:t>Согласно Приказу Ростехнадзора № 352, Минэнерго России № 785 от 15.09.2020 «О признании не подлежащими применению Правил охраны магистральных трубопроводов, утвержденных Минтопэнерго России 29 апреля 1992 г. и постановлением Госгортехнадзора России от 22 апреля 1992 г. № 9», считать не подлежащими применению Правила охраны магистральных трубопроводов со дня вступления в силу постановлений Правительства Российской Федерации об утверждении положений об охранных зонах трубопроводов (газопроводов, нефтепроводов и нефтепродуктопроводов, аммиакопроводов), принятие которых предусмотрено пунктом 1 статьи 106 Земельного кодекса Российской Федерации</w:t>
      </w:r>
    </w:p>
  </w:footnote>
  <w:footnote w:id="3">
    <w:p>
      <w:pPr>
        <w:pStyle w:val="Style61"/>
        <w:rPr>
          <w:rFonts w:ascii="Times New Roman" w:hAnsi="Times New Roman" w:cs="Times New Roman"/>
        </w:rPr>
      </w:pPr>
      <w:r>
        <w:rPr>
          <w:rStyle w:val="Style7"/>
        </w:rPr>
        <w:footnoteRef/>
      </w:r>
      <w:r>
        <w:rPr/>
        <w:t xml:space="preserve"> </w:t>
      </w:r>
      <w:r>
        <w:rPr>
          <w:rFonts w:cs="Times New Roman" w:ascii="Times New Roman" w:hAnsi="Times New Roman"/>
        </w:rPr>
        <w:t>В соответствии с письмом</w:t>
      </w:r>
      <w:r>
        <w:rPr/>
        <w:t xml:space="preserve"> </w:t>
      </w:r>
      <w:r>
        <w:rPr>
          <w:rFonts w:cs="Times New Roman" w:ascii="Times New Roman" w:hAnsi="Times New Roman"/>
        </w:rPr>
        <w:t xml:space="preserve">Управления Роспотребнадзора по РТ №11/10729 от 08.06.2023 г  п. 3.2.2.2. </w:t>
      </w:r>
      <w:r>
        <w:rPr>
          <w:rFonts w:cs="Times New Roman" w:ascii="Times New Roman" w:hAnsi="Times New Roman"/>
          <w:bCs/>
        </w:rPr>
        <w:t xml:space="preserve">СанПиН 2.1.4.1110-02 об обязательном согласовании </w:t>
      </w:r>
      <w:r>
        <w:rPr>
          <w:rFonts w:cs="Times New Roman" w:ascii="Times New Roman" w:hAnsi="Times New Roman"/>
        </w:rPr>
        <w:t>с центром государственного санитарно - эпидемиологического надзора применению не подлежит.</w:t>
      </w:r>
    </w:p>
    <w:p>
      <w:pPr>
        <w:pStyle w:val="Style61"/>
        <w:rPr/>
      </w:pPr>
      <w:r>
        <w:rPr/>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suff w:val="space"/>
      <w:lvlText w:val="%1."/>
      <w:lvlJc w:val="left"/>
      <w:pPr>
        <w:tabs>
          <w:tab w:val="num" w:pos="0"/>
        </w:tabs>
        <w:ind w:left="0" w:firstLine="709"/>
      </w:pPr>
      <w:rPr/>
    </w:lvl>
    <w:lvl w:ilvl="1">
      <w:start w:val="1"/>
      <w:numFmt w:val="decimal"/>
      <w:suff w:val="space"/>
      <w:lvlText w:val="%1.%2."/>
      <w:lvlJc w:val="left"/>
      <w:pPr>
        <w:tabs>
          <w:tab w:val="num" w:pos="0"/>
        </w:tabs>
        <w:ind w:left="0" w:firstLine="709"/>
      </w:pPr>
      <w:rPr/>
    </w:lvl>
    <w:lvl w:ilvl="2">
      <w:start w:val="1"/>
      <w:numFmt w:val="decimal"/>
      <w:suff w:val="space"/>
      <w:lvlText w:val="%1.%2.%3."/>
      <w:lvlJc w:val="left"/>
      <w:pPr>
        <w:tabs>
          <w:tab w:val="num" w:pos="0"/>
        </w:tabs>
        <w:ind w:left="0" w:firstLine="709"/>
      </w:pPr>
      <w:rPr/>
    </w:lvl>
    <w:lvl w:ilvl="3">
      <w:start w:val="1"/>
      <w:numFmt w:val="decimal"/>
      <w:suff w:val="space"/>
      <w:lvlText w:val="%1.%2.%3.%4."/>
      <w:lvlJc w:val="left"/>
      <w:pPr>
        <w:tabs>
          <w:tab w:val="num" w:pos="0"/>
        </w:tabs>
        <w:ind w:left="0" w:firstLine="709"/>
      </w:pPr>
      <w:rPr/>
    </w:lvl>
    <w:lvl w:ilvl="4">
      <w:start w:val="1"/>
      <w:numFmt w:val="decimal"/>
      <w:suff w:val="space"/>
      <w:lvlText w:val="%1.%2.%3.%4.%5."/>
      <w:lvlJc w:val="left"/>
      <w:pPr>
        <w:tabs>
          <w:tab w:val="num" w:pos="0"/>
        </w:tabs>
        <w:ind w:left="0" w:firstLine="709"/>
      </w:pPr>
      <w:rPr/>
    </w:lvl>
    <w:lvl w:ilvl="5">
      <w:start w:val="1"/>
      <w:numFmt w:val="decimal"/>
      <w:suff w:val="space"/>
      <w:lvlText w:val="%1.%2.%3.%4.%5.%6."/>
      <w:lvlJc w:val="left"/>
      <w:pPr>
        <w:tabs>
          <w:tab w:val="num" w:pos="0"/>
        </w:tabs>
        <w:ind w:left="0" w:firstLine="709"/>
      </w:pPr>
      <w:rPr/>
    </w:lvl>
    <w:lvl w:ilvl="6">
      <w:start w:val="1"/>
      <w:numFmt w:val="decimal"/>
      <w:suff w:val="space"/>
      <w:lvlText w:val="%1.%2.%3.%4.%5.%6.%7."/>
      <w:lvlJc w:val="left"/>
      <w:pPr>
        <w:tabs>
          <w:tab w:val="num" w:pos="0"/>
        </w:tabs>
        <w:ind w:left="0" w:firstLine="709"/>
      </w:pPr>
      <w:rPr/>
    </w:lvl>
    <w:lvl w:ilvl="7">
      <w:start w:val="1"/>
      <w:numFmt w:val="decimal"/>
      <w:suff w:val="space"/>
      <w:lvlText w:val="%1.%2.%3.%4.%5.%6.%7.%8."/>
      <w:lvlJc w:val="left"/>
      <w:pPr>
        <w:tabs>
          <w:tab w:val="num" w:pos="0"/>
        </w:tabs>
        <w:ind w:left="0" w:firstLine="709"/>
      </w:pPr>
      <w:rPr/>
    </w:lvl>
    <w:lvl w:ilvl="8">
      <w:start w:val="1"/>
      <w:numFmt w:val="decimal"/>
      <w:suff w:val="space"/>
      <w:lvlText w:val="%1.%2.%3.%4.%5.%6.%7.%8.%9."/>
      <w:lvlJc w:val="left"/>
      <w:pPr>
        <w:tabs>
          <w:tab w:val="num" w:pos="0"/>
        </w:tabs>
        <w:ind w:left="0" w:firstLine="709"/>
      </w:pPr>
      <w:rPr/>
    </w:lvl>
  </w:abstractNum>
  <w:abstractNum w:abstractNumId="2">
    <w:lvl w:ilvl="0">
      <w:start w:val="1"/>
      <w:numFmt w:val="bullet"/>
      <w:suff w:val="space"/>
      <w:lvlText w:val="–"/>
      <w:lvlJc w:val="left"/>
      <w:pPr>
        <w:tabs>
          <w:tab w:val="num" w:pos="0"/>
        </w:tabs>
        <w:ind w:left="0" w:firstLine="709"/>
      </w:pPr>
      <w:rPr>
        <w:rFonts w:ascii="PT Astra Serif" w:hAnsi="PT Astra Serif" w:cs="PT Astra Serif" w:hint="default"/>
      </w:rPr>
    </w:lvl>
    <w:lvl w:ilvl="1">
      <w:start w:val="1"/>
      <w:numFmt w:val="bullet"/>
      <w:suff w:val="space"/>
      <w:lvlText w:val="–"/>
      <w:lvlJc w:val="left"/>
      <w:pPr>
        <w:tabs>
          <w:tab w:val="num" w:pos="0"/>
        </w:tabs>
        <w:ind w:left="0" w:firstLine="709"/>
      </w:pPr>
      <w:rPr>
        <w:rFonts w:ascii="PT Astra Serif" w:hAnsi="PT Astra Serif" w:cs="PT Astra Serif" w:hint="default"/>
      </w:rPr>
    </w:lvl>
    <w:lvl w:ilvl="2">
      <w:start w:val="1"/>
      <w:numFmt w:val="bullet"/>
      <w:suff w:val="space"/>
      <w:lvlText w:val="–"/>
      <w:lvlJc w:val="left"/>
      <w:pPr>
        <w:tabs>
          <w:tab w:val="num" w:pos="0"/>
        </w:tabs>
        <w:ind w:left="0" w:firstLine="709"/>
      </w:pPr>
      <w:rPr>
        <w:rFonts w:ascii="PT Astra Serif" w:hAnsi="PT Astra Serif" w:cs="PT Astra Serif" w:hint="default"/>
      </w:rPr>
    </w:lvl>
    <w:lvl w:ilvl="3">
      <w:start w:val="1"/>
      <w:numFmt w:val="bullet"/>
      <w:suff w:val="space"/>
      <w:lvlText w:val="–"/>
      <w:lvlJc w:val="left"/>
      <w:pPr>
        <w:tabs>
          <w:tab w:val="num" w:pos="0"/>
        </w:tabs>
        <w:ind w:left="0" w:firstLine="709"/>
      </w:pPr>
      <w:rPr>
        <w:rFonts w:ascii="PT Astra Serif" w:hAnsi="PT Astra Serif" w:cs="PT Astra Serif" w:hint="default"/>
      </w:rPr>
    </w:lvl>
    <w:lvl w:ilvl="4">
      <w:start w:val="1"/>
      <w:numFmt w:val="bullet"/>
      <w:suff w:val="space"/>
      <w:lvlText w:val="–"/>
      <w:lvlJc w:val="left"/>
      <w:pPr>
        <w:tabs>
          <w:tab w:val="num" w:pos="0"/>
        </w:tabs>
        <w:ind w:left="0" w:firstLine="709"/>
      </w:pPr>
      <w:rPr>
        <w:rFonts w:ascii="PT Astra Serif" w:hAnsi="PT Astra Serif" w:cs="PT Astra Serif" w:hint="default"/>
      </w:rPr>
    </w:lvl>
    <w:lvl w:ilvl="5">
      <w:start w:val="1"/>
      <w:numFmt w:val="bullet"/>
      <w:suff w:val="space"/>
      <w:lvlText w:val="–"/>
      <w:lvlJc w:val="left"/>
      <w:pPr>
        <w:tabs>
          <w:tab w:val="num" w:pos="0"/>
        </w:tabs>
        <w:ind w:left="0" w:firstLine="709"/>
      </w:pPr>
      <w:rPr>
        <w:rFonts w:ascii="PT Astra Serif" w:hAnsi="PT Astra Serif" w:cs="PT Astra Serif" w:hint="default"/>
      </w:rPr>
    </w:lvl>
    <w:lvl w:ilvl="6">
      <w:start w:val="1"/>
      <w:numFmt w:val="bullet"/>
      <w:suff w:val="space"/>
      <w:lvlText w:val="–"/>
      <w:lvlJc w:val="left"/>
      <w:pPr>
        <w:tabs>
          <w:tab w:val="num" w:pos="0"/>
        </w:tabs>
        <w:ind w:left="0" w:firstLine="709"/>
      </w:pPr>
      <w:rPr>
        <w:rFonts w:ascii="PT Astra Serif" w:hAnsi="PT Astra Serif" w:cs="PT Astra Serif" w:hint="default"/>
      </w:rPr>
    </w:lvl>
    <w:lvl w:ilvl="7">
      <w:start w:val="1"/>
      <w:numFmt w:val="bullet"/>
      <w:suff w:val="space"/>
      <w:lvlText w:val="–"/>
      <w:lvlJc w:val="left"/>
      <w:pPr>
        <w:tabs>
          <w:tab w:val="num" w:pos="0"/>
        </w:tabs>
        <w:ind w:left="0" w:firstLine="709"/>
      </w:pPr>
      <w:rPr>
        <w:rFonts w:ascii="PT Astra Serif" w:hAnsi="PT Astra Serif" w:cs="PT Astra Serif" w:hint="default"/>
      </w:rPr>
    </w:lvl>
    <w:lvl w:ilvl="8">
      <w:start w:val="1"/>
      <w:numFmt w:val="bullet"/>
      <w:suff w:val="space"/>
      <w:lvlText w:val="–"/>
      <w:lvlJc w:val="left"/>
      <w:pPr>
        <w:tabs>
          <w:tab w:val="num" w:pos="0"/>
        </w:tabs>
        <w:ind w:left="0" w:firstLine="709"/>
      </w:pPr>
      <w:rPr>
        <w:rFonts w:ascii="PT Astra Serif" w:hAnsi="PT Astra Serif" w:cs="PT Astra Serif" w:hint="default"/>
      </w:rPr>
    </w:lvl>
  </w:abstractNum>
  <w:abstractNum w:abstractNumId="3">
    <w:lvl w:ilvl="0">
      <w:start w:val="3"/>
      <w:numFmt w:val="decimal"/>
      <w:lvlText w:val="%1"/>
      <w:lvlJc w:val="left"/>
      <w:pPr>
        <w:tabs>
          <w:tab w:val="num" w:pos="0"/>
        </w:tabs>
        <w:ind w:left="375" w:hanging="375"/>
      </w:pPr>
      <w:rPr/>
    </w:lvl>
    <w:lvl w:ilvl="1">
      <w:start w:val="4"/>
      <w:numFmt w:val="decimal"/>
      <w:lvlText w:val="%1.%2"/>
      <w:lvlJc w:val="left"/>
      <w:pPr>
        <w:tabs>
          <w:tab w:val="num" w:pos="0"/>
        </w:tabs>
        <w:ind w:left="375" w:hanging="375"/>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1080" w:hanging="108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440" w:hanging="144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800" w:hanging="1800"/>
      </w:pPr>
      <w:rPr/>
    </w:lvl>
    <w:lvl w:ilvl="8">
      <w:start w:val="1"/>
      <w:numFmt w:val="decimal"/>
      <w:lvlText w:val="%1.%2.%3.%4.%5.%6.%7.%8.%9"/>
      <w:lvlJc w:val="left"/>
      <w:pPr>
        <w:tabs>
          <w:tab w:val="num" w:pos="0"/>
        </w:tabs>
        <w:ind w:left="2160" w:hanging="2160"/>
      </w:pPr>
      <w:rPr/>
    </w:lvl>
  </w:abstractNum>
  <w:abstractNum w:abstractNumId="4">
    <w:lvl w:ilvl="0">
      <w:start w:val="1"/>
      <w:numFmt w:val="bullet"/>
      <w:lvlText w:val=""/>
      <w:lvlJc w:val="left"/>
      <w:pPr>
        <w:tabs>
          <w:tab w:val="num" w:pos="1134"/>
        </w:tabs>
        <w:ind w:left="0" w:firstLine="851"/>
      </w:pPr>
      <w:rPr>
        <w:rFonts w:ascii="Symbol" w:hAnsi="Symbol" w:cs="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cs="Wingdings" w:hint="default"/>
      </w:rPr>
    </w:lvl>
    <w:lvl w:ilvl="3">
      <w:start w:val="1"/>
      <w:numFmt w:val="bullet"/>
      <w:lvlText w:val=""/>
      <w:lvlJc w:val="left"/>
      <w:pPr>
        <w:tabs>
          <w:tab w:val="num" w:pos="3589"/>
        </w:tabs>
        <w:ind w:left="3589" w:hanging="360"/>
      </w:pPr>
      <w:rPr>
        <w:rFonts w:ascii="Symbol" w:hAnsi="Symbol" w:cs="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cs="Wingdings" w:hint="default"/>
      </w:rPr>
    </w:lvl>
    <w:lvl w:ilvl="6">
      <w:start w:val="1"/>
      <w:numFmt w:val="bullet"/>
      <w:lvlText w:val=""/>
      <w:lvlJc w:val="left"/>
      <w:pPr>
        <w:tabs>
          <w:tab w:val="num" w:pos="5749"/>
        </w:tabs>
        <w:ind w:left="5749" w:hanging="360"/>
      </w:pPr>
      <w:rPr>
        <w:rFonts w:ascii="Symbol" w:hAnsi="Symbol" w:cs="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cs="Wingdings" w:hint="default"/>
      </w:rPr>
    </w:lvl>
  </w:abstractNum>
  <w:abstractNum w:abstractNumId="5">
    <w:lvl w:ilvl="0">
      <w:start w:val="1"/>
      <w:numFmt w:val="bullet"/>
      <w:lvlText w:val="–"/>
      <w:lvlJc w:val="left"/>
      <w:pPr>
        <w:tabs>
          <w:tab w:val="num" w:pos="720"/>
        </w:tabs>
        <w:ind w:left="947" w:hanging="227"/>
      </w:pPr>
      <w:rPr>
        <w:rFonts w:ascii="Times New Roman" w:hAnsi="Times New Roman" w:cs="Times New Roman"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6">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7">
    <w:lvl w:ilvl="0">
      <w:start w:val="1"/>
      <w:numFmt w:val="decimal"/>
      <w:lvlText w:val="%1."/>
      <w:lvlJc w:val="left"/>
      <w:pPr>
        <w:tabs>
          <w:tab w:val="num" w:pos="0"/>
        </w:tabs>
        <w:ind w:left="720" w:hanging="360"/>
      </w:pPr>
      <w:rPr>
        <w:color w:val="000000"/>
      </w:rPr>
    </w:lvl>
    <w:lvl w:ilvl="1">
      <w:start w:val="1"/>
      <w:numFmt w:val="decimal"/>
      <w:lvlText w:val="%1.%2."/>
      <w:lvlJc w:val="left"/>
      <w:pPr>
        <w:tabs>
          <w:tab w:val="num" w:pos="0"/>
        </w:tabs>
        <w:ind w:left="1080" w:hanging="720"/>
      </w:pPr>
      <w:rPr>
        <w:b/>
        <w:color w:val="000000"/>
      </w:rPr>
    </w:lvl>
    <w:lvl w:ilvl="2">
      <w:start w:val="1"/>
      <w:numFmt w:val="decimal"/>
      <w:lvlText w:val="%1.%2.%3."/>
      <w:lvlJc w:val="left"/>
      <w:pPr>
        <w:tabs>
          <w:tab w:val="num" w:pos="0"/>
        </w:tabs>
        <w:ind w:left="1146"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8">
    <w:lvl w:ilvl="0">
      <w:start w:val="1"/>
      <w:numFmt w:val="bullet"/>
      <w:lvlText w:val="–"/>
      <w:lvlJc w:val="left"/>
      <w:pPr>
        <w:tabs>
          <w:tab w:val="num" w:pos="851"/>
        </w:tabs>
        <w:ind w:left="1078" w:hanging="227"/>
      </w:pPr>
      <w:rPr>
        <w:rFonts w:ascii="Times New Roman" w:hAnsi="Times New Roman" w:cs="Times New Roman" w:hint="default"/>
        <w:color w:val="000000"/>
      </w:rPr>
    </w:lvl>
  </w:abstractNum>
  <w:abstractNum w:abstractNumId="9">
    <w:lvl w:ilvl="0">
      <w:start w:val="1"/>
      <w:numFmt w:val="bullet"/>
      <w:lvlText w:val=""/>
      <w:lvlJc w:val="left"/>
      <w:pPr>
        <w:tabs>
          <w:tab w:val="num" w:pos="708"/>
        </w:tabs>
        <w:ind w:left="0" w:firstLine="851"/>
      </w:pPr>
      <w:rPr>
        <w:rFonts w:ascii="Symbol" w:hAnsi="Symbol" w:cs="Symbol" w:hint="default"/>
        <w:color w:val="000000"/>
      </w:rPr>
    </w:lvl>
  </w:abstractNum>
  <w:abstractNum w:abstractNumId="10">
    <w:lvl w:ilvl="0">
      <w:start w:val="1"/>
      <w:numFmt w:val="bullet"/>
      <w:lvlText w:val=""/>
      <w:lvlJc w:val="left"/>
      <w:pPr>
        <w:tabs>
          <w:tab w:val="num" w:pos="708"/>
        </w:tabs>
        <w:ind w:left="0" w:firstLine="851"/>
      </w:pPr>
      <w:rPr>
        <w:rFonts w:ascii="Symbol" w:hAnsi="Symbol" w:cs="Symbol" w:hint="default"/>
        <w:color w:val="000000"/>
      </w:rPr>
    </w:lvl>
  </w:abstractNum>
  <w:abstractNum w:abstractNumId="11">
    <w:lvl w:ilvl="0">
      <w:start w:val="1"/>
      <w:numFmt w:val="decimal"/>
      <w:lvlText w:val="%1."/>
      <w:lvlJc w:val="left"/>
      <w:pPr>
        <w:tabs>
          <w:tab w:val="num" w:pos="0"/>
        </w:tabs>
        <w:ind w:left="1069" w:hanging="360"/>
      </w:pPr>
      <w:rPr/>
    </w:lvl>
  </w:abstractNum>
  <w:abstractNum w:abstractNumId="12">
    <w:lvl w:ilvl="0">
      <w:start w:val="1"/>
      <w:numFmt w:val="bullet"/>
      <w:lvlText w:val="–"/>
      <w:lvlJc w:val="left"/>
      <w:pPr>
        <w:tabs>
          <w:tab w:val="num" w:pos="0"/>
        </w:tabs>
        <w:ind w:left="1429" w:hanging="360"/>
      </w:pPr>
      <w:rPr>
        <w:rFonts w:ascii="Times New Roman" w:hAnsi="Times New Roman" w:cs="Times New Roman" w:hint="default"/>
        <w:color w:val="000000"/>
      </w:rPr>
    </w:lvl>
  </w:abstractNum>
  <w:abstractNum w:abstractNumId="13">
    <w:lvl w:ilvl="0">
      <w:start w:val="1"/>
      <w:numFmt w:val="decimal"/>
      <w:lvlText w:val="%1."/>
      <w:lvlJc w:val="left"/>
      <w:pPr>
        <w:tabs>
          <w:tab w:val="num" w:pos="0"/>
        </w:tabs>
        <w:ind w:left="1069" w:hanging="360"/>
      </w:pPr>
      <w:rPr/>
    </w:lvl>
  </w:abstractNum>
  <w:abstractNum w:abstractNumId="1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15">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lvl w:ilvl="0">
      <w:start w:val="1"/>
      <w:numFmt w:val="decimal"/>
      <w:lvlText w:val="%1."/>
      <w:lvlJc w:val="left"/>
      <w:pPr>
        <w:tabs>
          <w:tab w:val="num" w:pos="1211"/>
        </w:tabs>
        <w:ind w:left="1211" w:hanging="360"/>
      </w:pPr>
      <w:rPr/>
    </w:lvl>
  </w:abstractNum>
  <w:abstractNum w:abstractNumId="17">
    <w:lvl w:ilvl="0">
      <w:start w:val="1"/>
      <w:numFmt w:val="decimal"/>
      <w:lvlText w:val="%1."/>
      <w:lvlJc w:val="left"/>
      <w:pPr>
        <w:tabs>
          <w:tab w:val="num" w:pos="360"/>
        </w:tabs>
        <w:ind w:left="360" w:hanging="360"/>
      </w:pPr>
      <w:rPr>
        <w:b w:val="false"/>
      </w:rPr>
    </w:lvl>
    <w:lvl w:ilvl="1">
      <w:start w:val="1"/>
      <w:numFmt w:val="decimal"/>
      <w:lvlText w:val="%1.%2."/>
      <w:lvlJc w:val="left"/>
      <w:pPr>
        <w:tabs>
          <w:tab w:val="num" w:pos="1070"/>
        </w:tabs>
        <w:ind w:left="1070" w:hanging="360"/>
      </w:pPr>
      <w:rPr/>
    </w:lvl>
    <w:lvl w:ilvl="2">
      <w:start w:val="1"/>
      <w:numFmt w:val="decimal"/>
      <w:lvlText w:val="%1.%2.%3."/>
      <w:lvlJc w:val="left"/>
      <w:pPr>
        <w:tabs>
          <w:tab w:val="num" w:pos="2140"/>
        </w:tabs>
        <w:ind w:left="2140" w:hanging="720"/>
      </w:pPr>
      <w:rPr/>
    </w:lvl>
    <w:lvl w:ilvl="3">
      <w:start w:val="1"/>
      <w:numFmt w:val="decimal"/>
      <w:lvlText w:val="%1.%2.%3.%4."/>
      <w:lvlJc w:val="left"/>
      <w:pPr>
        <w:tabs>
          <w:tab w:val="num" w:pos="2850"/>
        </w:tabs>
        <w:ind w:left="2850" w:hanging="720"/>
      </w:pPr>
      <w:rPr/>
    </w:lvl>
    <w:lvl w:ilvl="4">
      <w:start w:val="1"/>
      <w:numFmt w:val="decimal"/>
      <w:lvlText w:val="%1.%2.%3.%4.%5."/>
      <w:lvlJc w:val="left"/>
      <w:pPr>
        <w:tabs>
          <w:tab w:val="num" w:pos="3920"/>
        </w:tabs>
        <w:ind w:left="3920" w:hanging="1080"/>
      </w:pPr>
      <w:rPr/>
    </w:lvl>
    <w:lvl w:ilvl="5">
      <w:start w:val="1"/>
      <w:numFmt w:val="decimal"/>
      <w:lvlText w:val="%1.%2.%3.%4.%5.%6."/>
      <w:lvlJc w:val="left"/>
      <w:pPr>
        <w:tabs>
          <w:tab w:val="num" w:pos="4630"/>
        </w:tabs>
        <w:ind w:left="4630" w:hanging="1080"/>
      </w:pPr>
      <w:rPr/>
    </w:lvl>
    <w:lvl w:ilvl="6">
      <w:start w:val="1"/>
      <w:numFmt w:val="decimal"/>
      <w:lvlText w:val="%1.%2.%3.%4.%5.%6.%7."/>
      <w:lvlJc w:val="left"/>
      <w:pPr>
        <w:tabs>
          <w:tab w:val="num" w:pos="5700"/>
        </w:tabs>
        <w:ind w:left="5700" w:hanging="1440"/>
      </w:pPr>
      <w:rPr/>
    </w:lvl>
    <w:lvl w:ilvl="7">
      <w:start w:val="1"/>
      <w:numFmt w:val="decimal"/>
      <w:lvlText w:val="%1.%2.%3.%4.%5.%6.%7.%8."/>
      <w:lvlJc w:val="left"/>
      <w:pPr>
        <w:tabs>
          <w:tab w:val="num" w:pos="6410"/>
        </w:tabs>
        <w:ind w:left="6410" w:hanging="1440"/>
      </w:pPr>
      <w:rPr/>
    </w:lvl>
    <w:lvl w:ilvl="8">
      <w:start w:val="1"/>
      <w:numFmt w:val="decimal"/>
      <w:lvlText w:val="%1.%2.%3.%4.%5.%6.%7.%8.%9."/>
      <w:lvlJc w:val="left"/>
      <w:pPr>
        <w:tabs>
          <w:tab w:val="num" w:pos="7480"/>
        </w:tabs>
        <w:ind w:left="7480" w:hanging="1800"/>
      </w:pPr>
      <w:rPr/>
    </w:lvl>
  </w:abstractNum>
  <w:abstractNum w:abstractNumId="18">
    <w:lvl w:ilvl="0">
      <w:start w:val="1"/>
      <w:numFmt w:val="decimal"/>
      <w:lvlText w:val="%1."/>
      <w:lvlJc w:val="left"/>
      <w:pPr>
        <w:tabs>
          <w:tab w:val="num" w:pos="800"/>
        </w:tabs>
        <w:ind w:left="1160" w:firstLine="349"/>
      </w:pPr>
      <w:rPr>
        <w:color w:val="000000"/>
      </w:rPr>
    </w:lvl>
  </w:abstractNum>
  <w:abstractNum w:abstractNumId="19">
    <w:lvl w:ilvl="0">
      <w:start w:val="1"/>
      <w:numFmt w:val="decimal"/>
      <w:lvlText w:val="%1."/>
      <w:lvlJc w:val="left"/>
      <w:pPr>
        <w:tabs>
          <w:tab w:val="num" w:pos="1060"/>
        </w:tabs>
        <w:ind w:left="1060" w:hanging="360"/>
      </w:pPr>
      <w:rPr>
        <w:color w:val="000000"/>
      </w:rPr>
    </w:lvl>
  </w:abstractNum>
  <w:abstractNum w:abstractNumId="20">
    <w:lvl w:ilvl="0">
      <w:start w:val="1"/>
      <w:numFmt w:val="decimal"/>
      <w:lvlText w:val="%1."/>
      <w:lvlJc w:val="left"/>
      <w:pPr>
        <w:tabs>
          <w:tab w:val="num" w:pos="1060"/>
        </w:tabs>
        <w:ind w:left="1060" w:hanging="360"/>
      </w:pPr>
      <w:rPr>
        <w:color w:val="000000"/>
      </w:rPr>
    </w:lvl>
  </w:abstractNum>
  <w:abstractNum w:abstractNumId="21">
    <w:lvl w:ilvl="0">
      <w:start w:val="1"/>
      <w:numFmt w:val="decimal"/>
      <w:lvlText w:val="%1."/>
      <w:lvlJc w:val="left"/>
      <w:pPr>
        <w:tabs>
          <w:tab w:val="num" w:pos="0"/>
        </w:tabs>
        <w:ind w:left="1080" w:hanging="360"/>
      </w:pPr>
      <w:rPr/>
    </w:lvl>
  </w:abstractNum>
  <w:abstractNum w:abstractNumId="22">
    <w:lvl w:ilvl="0">
      <w:start w:val="1"/>
      <w:numFmt w:val="decimal"/>
      <w:lvlText w:val="%1."/>
      <w:lvlJc w:val="left"/>
      <w:pPr>
        <w:tabs>
          <w:tab w:val="num" w:pos="360"/>
        </w:tabs>
        <w:ind w:left="360" w:hanging="360"/>
      </w:pPr>
      <w:rPr/>
    </w:lvl>
    <w:lvl w:ilvl="1">
      <w:start w:val="1"/>
      <w:numFmt w:val="decimal"/>
      <w:lvlText w:val="%1.%2."/>
      <w:lvlJc w:val="left"/>
      <w:pPr>
        <w:tabs>
          <w:tab w:val="num" w:pos="1070"/>
        </w:tabs>
        <w:ind w:left="1070" w:hanging="360"/>
      </w:pPr>
      <w:rPr/>
    </w:lvl>
    <w:lvl w:ilvl="2">
      <w:start w:val="1"/>
      <w:numFmt w:val="decimal"/>
      <w:lvlText w:val="%1.%2.%3."/>
      <w:lvlJc w:val="left"/>
      <w:pPr>
        <w:tabs>
          <w:tab w:val="num" w:pos="2140"/>
        </w:tabs>
        <w:ind w:left="2140" w:hanging="720"/>
      </w:pPr>
      <w:rPr/>
    </w:lvl>
    <w:lvl w:ilvl="3">
      <w:start w:val="1"/>
      <w:numFmt w:val="decimal"/>
      <w:lvlText w:val="%1.%2.%3.%4."/>
      <w:lvlJc w:val="left"/>
      <w:pPr>
        <w:tabs>
          <w:tab w:val="num" w:pos="2850"/>
        </w:tabs>
        <w:ind w:left="2850" w:hanging="720"/>
      </w:pPr>
      <w:rPr/>
    </w:lvl>
    <w:lvl w:ilvl="4">
      <w:start w:val="1"/>
      <w:numFmt w:val="decimal"/>
      <w:lvlText w:val="%1.%2.%3.%4.%5."/>
      <w:lvlJc w:val="left"/>
      <w:pPr>
        <w:tabs>
          <w:tab w:val="num" w:pos="3920"/>
        </w:tabs>
        <w:ind w:left="3920" w:hanging="1080"/>
      </w:pPr>
      <w:rPr/>
    </w:lvl>
    <w:lvl w:ilvl="5">
      <w:start w:val="1"/>
      <w:numFmt w:val="decimal"/>
      <w:lvlText w:val="%1.%2.%3.%4.%5.%6."/>
      <w:lvlJc w:val="left"/>
      <w:pPr>
        <w:tabs>
          <w:tab w:val="num" w:pos="4630"/>
        </w:tabs>
        <w:ind w:left="4630" w:hanging="1080"/>
      </w:pPr>
      <w:rPr/>
    </w:lvl>
    <w:lvl w:ilvl="6">
      <w:start w:val="1"/>
      <w:numFmt w:val="decimal"/>
      <w:lvlText w:val="%1.%2.%3.%4.%5.%6.%7."/>
      <w:lvlJc w:val="left"/>
      <w:pPr>
        <w:tabs>
          <w:tab w:val="num" w:pos="5700"/>
        </w:tabs>
        <w:ind w:left="5700" w:hanging="1440"/>
      </w:pPr>
      <w:rPr/>
    </w:lvl>
    <w:lvl w:ilvl="7">
      <w:start w:val="1"/>
      <w:numFmt w:val="decimal"/>
      <w:lvlText w:val="%1.%2.%3.%4.%5.%6.%7.%8."/>
      <w:lvlJc w:val="left"/>
      <w:pPr>
        <w:tabs>
          <w:tab w:val="num" w:pos="6410"/>
        </w:tabs>
        <w:ind w:left="6410" w:hanging="1440"/>
      </w:pPr>
      <w:rPr/>
    </w:lvl>
    <w:lvl w:ilvl="8">
      <w:start w:val="1"/>
      <w:numFmt w:val="decimal"/>
      <w:lvlText w:val="%1.%2.%3.%4.%5.%6.%7.%8.%9."/>
      <w:lvlJc w:val="left"/>
      <w:pPr>
        <w:tabs>
          <w:tab w:val="num" w:pos="7480"/>
        </w:tabs>
        <w:ind w:left="7480" w:hanging="1800"/>
      </w:pPr>
      <w:rPr/>
    </w:lvl>
  </w:abstractNum>
  <w:abstractNum w:abstractNumId="23">
    <w:lvl w:ilvl="0">
      <w:start w:val="1"/>
      <w:numFmt w:val="decimal"/>
      <w:lvlText w:val="%1."/>
      <w:lvlJc w:val="left"/>
      <w:pPr>
        <w:tabs>
          <w:tab w:val="num" w:pos="0"/>
        </w:tabs>
        <w:ind w:left="735" w:hanging="375"/>
      </w:pPr>
      <w:rPr>
        <w:i w:val="false"/>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4">
    <w:lvl w:ilvl="0">
      <w:start w:val="1"/>
      <w:numFmt w:val="decimal"/>
      <w:suff w:val="space"/>
      <w:lvlText w:val="%1."/>
      <w:lvlJc w:val="left"/>
      <w:pPr>
        <w:tabs>
          <w:tab w:val="num" w:pos="0"/>
        </w:tabs>
        <w:ind w:left="3053" w:hanging="360"/>
      </w:pPr>
      <w:rPr/>
    </w:lvl>
    <w:lvl w:ilvl="1">
      <w:start w:val="1"/>
      <w:numFmt w:val="decimal"/>
      <w:suff w:val="space"/>
      <w:lvlText w:val="%1.%2"/>
      <w:lvlJc w:val="left"/>
      <w:pPr>
        <w:tabs>
          <w:tab w:val="num" w:pos="0"/>
        </w:tabs>
        <w:ind w:left="2912" w:hanging="360"/>
      </w:pPr>
      <w:rPr/>
    </w:lvl>
    <w:lvl w:ilvl="2">
      <w:start w:val="1"/>
      <w:numFmt w:val="decimal"/>
      <w:lvlText w:val="%1.%2.%3"/>
      <w:lvlJc w:val="left"/>
      <w:pPr>
        <w:tabs>
          <w:tab w:val="num" w:pos="0"/>
        </w:tabs>
        <w:ind w:left="3272" w:hanging="720"/>
      </w:pPr>
      <w:rPr/>
    </w:lvl>
    <w:lvl w:ilvl="3">
      <w:start w:val="1"/>
      <w:numFmt w:val="decimal"/>
      <w:lvlText w:val="%1.%2.%3.%4"/>
      <w:lvlJc w:val="left"/>
      <w:pPr>
        <w:tabs>
          <w:tab w:val="num" w:pos="0"/>
        </w:tabs>
        <w:ind w:left="3272" w:hanging="720"/>
      </w:pPr>
      <w:rPr/>
    </w:lvl>
    <w:lvl w:ilvl="4">
      <w:start w:val="1"/>
      <w:numFmt w:val="decimal"/>
      <w:lvlText w:val="%1.%2.%3.%4.%5"/>
      <w:lvlJc w:val="left"/>
      <w:pPr>
        <w:tabs>
          <w:tab w:val="num" w:pos="0"/>
        </w:tabs>
        <w:ind w:left="3632" w:hanging="1080"/>
      </w:pPr>
      <w:rPr/>
    </w:lvl>
    <w:lvl w:ilvl="5">
      <w:start w:val="1"/>
      <w:numFmt w:val="decimal"/>
      <w:lvlText w:val="%1.%2.%3.%4.%5.%6"/>
      <w:lvlJc w:val="left"/>
      <w:pPr>
        <w:tabs>
          <w:tab w:val="num" w:pos="0"/>
        </w:tabs>
        <w:ind w:left="3632" w:hanging="1080"/>
      </w:pPr>
      <w:rPr/>
    </w:lvl>
    <w:lvl w:ilvl="6">
      <w:start w:val="1"/>
      <w:numFmt w:val="decimal"/>
      <w:lvlText w:val="%1.%2.%3.%4.%5.%6.%7"/>
      <w:lvlJc w:val="left"/>
      <w:pPr>
        <w:tabs>
          <w:tab w:val="num" w:pos="0"/>
        </w:tabs>
        <w:ind w:left="3992" w:hanging="1440"/>
      </w:pPr>
      <w:rPr/>
    </w:lvl>
    <w:lvl w:ilvl="7">
      <w:start w:val="1"/>
      <w:numFmt w:val="decimal"/>
      <w:lvlText w:val="%1.%2.%3.%4.%5.%6.%7.%8"/>
      <w:lvlJc w:val="left"/>
      <w:pPr>
        <w:tabs>
          <w:tab w:val="num" w:pos="0"/>
        </w:tabs>
        <w:ind w:left="3992" w:hanging="1440"/>
      </w:pPr>
      <w:rPr/>
    </w:lvl>
    <w:lvl w:ilvl="8">
      <w:start w:val="1"/>
      <w:numFmt w:val="decimal"/>
      <w:lvlText w:val="%1.%2.%3.%4.%5.%6.%7.%8.%9"/>
      <w:lvlJc w:val="left"/>
      <w:pPr>
        <w:tabs>
          <w:tab w:val="num" w:pos="0"/>
        </w:tabs>
        <w:ind w:left="3992" w:hanging="1440"/>
      </w:pPr>
      <w:rPr/>
    </w:lvl>
  </w:abstractNum>
  <w:abstractNum w:abstractNumId="25">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7">
    <w:lvl w:ilvl="0">
      <w:start w:val="1"/>
      <w:numFmt w:val="decimal"/>
      <w:lvlText w:val="%1."/>
      <w:lvlJc w:val="left"/>
      <w:pPr>
        <w:tabs>
          <w:tab w:val="num" w:pos="0"/>
        </w:tabs>
        <w:ind w:left="525" w:hanging="525"/>
      </w:pPr>
      <w:rPr/>
    </w:lvl>
    <w:lvl w:ilvl="1">
      <w:start w:val="1"/>
      <w:numFmt w:val="decimal"/>
      <w:lvlText w:val="%1.%2."/>
      <w:lvlJc w:val="left"/>
      <w:pPr>
        <w:tabs>
          <w:tab w:val="num" w:pos="0"/>
        </w:tabs>
        <w:ind w:left="720" w:hanging="720"/>
      </w:pPr>
      <w:rPr/>
    </w:lvl>
    <w:lvl w:ilvl="2">
      <w:start w:val="1"/>
      <w:numFmt w:val="decimal"/>
      <w:suff w:val="nothing"/>
      <w:lvlText w:val="Таблица %1.%2.%3"/>
      <w:lvlJc w:val="left"/>
      <w:pPr>
        <w:tabs>
          <w:tab w:val="num" w:pos="0"/>
        </w:tabs>
        <w:ind w:left="0" w:hanging="0"/>
      </w:pPr>
      <w:rPr/>
    </w:lvl>
    <w:lvl w:ilvl="3">
      <w:start w:val="1"/>
      <w:numFmt w:val="decimal"/>
      <w:suff w:val="space"/>
      <w:lvlText w:val="Рисунок %1.%2.%4."/>
      <w:lvlJc w:val="right"/>
      <w:pPr>
        <w:tabs>
          <w:tab w:val="num" w:pos="0"/>
        </w:tabs>
        <w:ind w:left="-288" w:firstLine="288"/>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440" w:hanging="1440"/>
      </w:pPr>
      <w:rPr/>
    </w:lvl>
    <w:lvl w:ilvl="6">
      <w:start w:val="1"/>
      <w:numFmt w:val="decimal"/>
      <w:lvlText w:val="%1.%2.%3.%4.%5.%6.%7."/>
      <w:lvlJc w:val="left"/>
      <w:pPr>
        <w:tabs>
          <w:tab w:val="num" w:pos="0"/>
        </w:tabs>
        <w:ind w:left="1800" w:hanging="1800"/>
      </w:pPr>
      <w:rPr/>
    </w:lvl>
    <w:lvl w:ilvl="7">
      <w:start w:val="1"/>
      <w:numFmt w:val="decimal"/>
      <w:lvlText w:val="%1.%2.%3.%4.%5.%6.%7.%8."/>
      <w:lvlJc w:val="left"/>
      <w:pPr>
        <w:tabs>
          <w:tab w:val="num" w:pos="0"/>
        </w:tabs>
        <w:ind w:left="1800" w:hanging="1800"/>
      </w:pPr>
      <w:rPr/>
    </w:lvl>
    <w:lvl w:ilvl="8">
      <w:start w:val="1"/>
      <w:numFmt w:val="decimal"/>
      <w:lvlText w:val="%1.%2.%3.%4.%5.%6.%7.%8.%9."/>
      <w:lvlJc w:val="left"/>
      <w:pPr>
        <w:tabs>
          <w:tab w:val="num" w:pos="0"/>
        </w:tabs>
        <w:ind w:left="2160" w:hanging="2160"/>
      </w:pPr>
      <w:rPr/>
    </w:lvl>
  </w:abstractNum>
  <w:abstractNum w:abstractNumId="28">
    <w:lvl w:ilvl="0">
      <w:start w:val="1"/>
      <w:numFmt w:val="bullet"/>
      <w:lvlText w:val=""/>
      <w:lvlJc w:val="left"/>
      <w:pPr>
        <w:tabs>
          <w:tab w:val="num" w:pos="2204"/>
        </w:tabs>
        <w:ind w:left="2204" w:hanging="360"/>
      </w:pPr>
      <w:rPr>
        <w:rFonts w:ascii="Symbol" w:hAnsi="Symbol" w:cs="Symbol" w:hint="default"/>
      </w:rPr>
    </w:lvl>
    <w:lvl w:ilvl="1">
      <w:start w:val="1"/>
      <w:numFmt w:val="bullet"/>
      <w:lvlText w:val="o"/>
      <w:lvlJc w:val="left"/>
      <w:pPr>
        <w:tabs>
          <w:tab w:val="num" w:pos="3660"/>
        </w:tabs>
        <w:ind w:left="3660" w:hanging="360"/>
      </w:pPr>
      <w:rPr>
        <w:rFonts w:ascii="Courier New" w:hAnsi="Courier New" w:cs="Courier New" w:hint="default"/>
      </w:rPr>
    </w:lvl>
    <w:lvl w:ilvl="2">
      <w:start w:val="1"/>
      <w:numFmt w:val="bullet"/>
      <w:lvlText w:val=""/>
      <w:lvlJc w:val="left"/>
      <w:pPr>
        <w:tabs>
          <w:tab w:val="num" w:pos="4380"/>
        </w:tabs>
        <w:ind w:left="4380" w:hanging="360"/>
      </w:pPr>
      <w:rPr>
        <w:rFonts w:ascii="Wingdings" w:hAnsi="Wingdings" w:cs="Wingdings" w:hint="default"/>
      </w:rPr>
    </w:lvl>
    <w:lvl w:ilvl="3">
      <w:start w:val="1"/>
      <w:numFmt w:val="bullet"/>
      <w:lvlText w:val=""/>
      <w:lvlJc w:val="left"/>
      <w:pPr>
        <w:tabs>
          <w:tab w:val="num" w:pos="5100"/>
        </w:tabs>
        <w:ind w:left="5100" w:hanging="360"/>
      </w:pPr>
      <w:rPr>
        <w:rFonts w:ascii="Symbol" w:hAnsi="Symbol" w:cs="Symbol" w:hint="default"/>
      </w:rPr>
    </w:lvl>
    <w:lvl w:ilvl="4">
      <w:start w:val="1"/>
      <w:numFmt w:val="bullet"/>
      <w:lvlText w:val="o"/>
      <w:lvlJc w:val="left"/>
      <w:pPr>
        <w:tabs>
          <w:tab w:val="num" w:pos="5820"/>
        </w:tabs>
        <w:ind w:left="5820" w:hanging="360"/>
      </w:pPr>
      <w:rPr>
        <w:rFonts w:ascii="Courier New" w:hAnsi="Courier New" w:cs="Courier New" w:hint="default"/>
      </w:rPr>
    </w:lvl>
    <w:lvl w:ilvl="5">
      <w:start w:val="1"/>
      <w:numFmt w:val="bullet"/>
      <w:lvlText w:val=""/>
      <w:lvlJc w:val="left"/>
      <w:pPr>
        <w:tabs>
          <w:tab w:val="num" w:pos="6540"/>
        </w:tabs>
        <w:ind w:left="6540" w:hanging="360"/>
      </w:pPr>
      <w:rPr>
        <w:rFonts w:ascii="Wingdings" w:hAnsi="Wingdings" w:cs="Wingdings" w:hint="default"/>
      </w:rPr>
    </w:lvl>
    <w:lvl w:ilvl="6">
      <w:start w:val="1"/>
      <w:numFmt w:val="bullet"/>
      <w:lvlText w:val=""/>
      <w:lvlJc w:val="left"/>
      <w:pPr>
        <w:tabs>
          <w:tab w:val="num" w:pos="7260"/>
        </w:tabs>
        <w:ind w:left="7260" w:hanging="360"/>
      </w:pPr>
      <w:rPr>
        <w:rFonts w:ascii="Symbol" w:hAnsi="Symbol" w:cs="Symbol" w:hint="default"/>
      </w:rPr>
    </w:lvl>
    <w:lvl w:ilvl="7">
      <w:start w:val="1"/>
      <w:numFmt w:val="bullet"/>
      <w:lvlText w:val="o"/>
      <w:lvlJc w:val="left"/>
      <w:pPr>
        <w:tabs>
          <w:tab w:val="num" w:pos="7980"/>
        </w:tabs>
        <w:ind w:left="7980" w:hanging="360"/>
      </w:pPr>
      <w:rPr>
        <w:rFonts w:ascii="Courier New" w:hAnsi="Courier New" w:cs="Courier New" w:hint="default"/>
      </w:rPr>
    </w:lvl>
    <w:lvl w:ilvl="8">
      <w:start w:val="1"/>
      <w:numFmt w:val="bullet"/>
      <w:lvlText w:val=""/>
      <w:lvlJc w:val="left"/>
      <w:pPr>
        <w:tabs>
          <w:tab w:val="num" w:pos="8700"/>
        </w:tabs>
        <w:ind w:left="8700" w:hanging="360"/>
      </w:pPr>
      <w:rPr>
        <w:rFonts w:ascii="Wingdings" w:hAnsi="Wingdings" w:cs="Wingdings" w:hint="default"/>
      </w:rPr>
    </w:lvl>
  </w:abstractNum>
  <w:abstractNum w:abstractNumId="29">
    <w:lvl w:ilvl="0">
      <w:start w:val="1"/>
      <w:numFmt w:val="bullet"/>
      <w:lvlText w:val=""/>
      <w:lvlJc w:val="left"/>
      <w:pPr>
        <w:tabs>
          <w:tab w:val="num" w:pos="1751"/>
        </w:tabs>
        <w:ind w:left="900" w:hanging="0"/>
      </w:pPr>
      <w:rPr>
        <w:rFonts w:ascii="Symbol" w:hAnsi="Symbol" w:cs="Symbol" w:hint="default"/>
        <w:sz w:val="20"/>
        <w:szCs w:val="20"/>
      </w:rPr>
    </w:lvl>
    <w:lvl w:ilvl="1">
      <w:start w:val="1"/>
      <w:numFmt w:val="bullet"/>
      <w:lvlText w:val="o"/>
      <w:lvlJc w:val="left"/>
      <w:pPr>
        <w:tabs>
          <w:tab w:val="num" w:pos="2340"/>
        </w:tabs>
        <w:ind w:left="2340" w:hanging="360"/>
      </w:pPr>
      <w:rPr>
        <w:rFonts w:ascii="Courier New" w:hAnsi="Courier New" w:cs="Courier New" w:hint="default"/>
      </w:rPr>
    </w:lvl>
    <w:lvl w:ilvl="2">
      <w:start w:val="1"/>
      <w:numFmt w:val="bullet"/>
      <w:lvlText w:val=""/>
      <w:lvlJc w:val="left"/>
      <w:pPr>
        <w:tabs>
          <w:tab w:val="num" w:pos="3060"/>
        </w:tabs>
        <w:ind w:left="3060" w:hanging="360"/>
      </w:pPr>
      <w:rPr>
        <w:rFonts w:ascii="Wingdings" w:hAnsi="Wingdings" w:cs="Wingdings" w:hint="default"/>
      </w:rPr>
    </w:lvl>
    <w:lvl w:ilvl="3">
      <w:start w:val="1"/>
      <w:numFmt w:val="bullet"/>
      <w:lvlText w:val=""/>
      <w:lvlJc w:val="left"/>
      <w:pPr>
        <w:tabs>
          <w:tab w:val="num" w:pos="3780"/>
        </w:tabs>
        <w:ind w:left="3780" w:hanging="360"/>
      </w:pPr>
      <w:rPr>
        <w:rFonts w:ascii="Symbol" w:hAnsi="Symbol" w:cs="Symbol" w:hint="default"/>
      </w:rPr>
    </w:lvl>
    <w:lvl w:ilvl="4">
      <w:start w:val="1"/>
      <w:numFmt w:val="bullet"/>
      <w:lvlText w:val="o"/>
      <w:lvlJc w:val="left"/>
      <w:pPr>
        <w:tabs>
          <w:tab w:val="num" w:pos="4500"/>
        </w:tabs>
        <w:ind w:left="4500" w:hanging="360"/>
      </w:pPr>
      <w:rPr>
        <w:rFonts w:ascii="Courier New" w:hAnsi="Courier New" w:cs="Courier New" w:hint="default"/>
      </w:rPr>
    </w:lvl>
    <w:lvl w:ilvl="5">
      <w:start w:val="1"/>
      <w:numFmt w:val="bullet"/>
      <w:lvlText w:val=""/>
      <w:lvlJc w:val="left"/>
      <w:pPr>
        <w:tabs>
          <w:tab w:val="num" w:pos="5220"/>
        </w:tabs>
        <w:ind w:left="5220" w:hanging="360"/>
      </w:pPr>
      <w:rPr>
        <w:rFonts w:ascii="Wingdings" w:hAnsi="Wingdings" w:cs="Wingdings" w:hint="default"/>
      </w:rPr>
    </w:lvl>
    <w:lvl w:ilvl="6">
      <w:start w:val="1"/>
      <w:numFmt w:val="bullet"/>
      <w:lvlText w:val=""/>
      <w:lvlJc w:val="left"/>
      <w:pPr>
        <w:tabs>
          <w:tab w:val="num" w:pos="5940"/>
        </w:tabs>
        <w:ind w:left="5940" w:hanging="360"/>
      </w:pPr>
      <w:rPr>
        <w:rFonts w:ascii="Symbol" w:hAnsi="Symbol" w:cs="Symbol" w:hint="default"/>
      </w:rPr>
    </w:lvl>
    <w:lvl w:ilvl="7">
      <w:start w:val="1"/>
      <w:numFmt w:val="bullet"/>
      <w:lvlText w:val="o"/>
      <w:lvlJc w:val="left"/>
      <w:pPr>
        <w:tabs>
          <w:tab w:val="num" w:pos="6660"/>
        </w:tabs>
        <w:ind w:left="6660" w:hanging="360"/>
      </w:pPr>
      <w:rPr>
        <w:rFonts w:ascii="Courier New" w:hAnsi="Courier New" w:cs="Courier New" w:hint="default"/>
      </w:rPr>
    </w:lvl>
    <w:lvl w:ilvl="8">
      <w:start w:val="1"/>
      <w:numFmt w:val="bullet"/>
      <w:lvlText w:val=""/>
      <w:lvlJc w:val="left"/>
      <w:pPr>
        <w:tabs>
          <w:tab w:val="num" w:pos="7380"/>
        </w:tabs>
        <w:ind w:left="7380" w:hanging="360"/>
      </w:pPr>
      <w:rPr>
        <w:rFonts w:ascii="Wingdings" w:hAnsi="Wingdings" w:cs="Wingdings" w:hint="default"/>
      </w:rPr>
    </w:lvl>
  </w:abstractNum>
  <w:abstractNum w:abstractNumId="30">
    <w:lvl w:ilvl="0">
      <w:start w:val="2"/>
      <w:numFmt w:val="decimal"/>
      <w:lvlText w:val="Раздел %1."/>
      <w:lvlJc w:val="left"/>
      <w:pPr>
        <w:tabs>
          <w:tab w:val="num" w:pos="0"/>
        </w:tabs>
        <w:ind w:left="788" w:hanging="72"/>
      </w:pPr>
      <w:rPr>
        <w:sz w:val="32"/>
        <w:i w:val="false"/>
        <w:b/>
        <w:szCs w:val="32"/>
        <w:color w:val="auto"/>
      </w:rPr>
    </w:lvl>
    <w:lvl w:ilvl="1">
      <w:start w:val="1"/>
      <w:numFmt w:val="decimal"/>
      <w:suff w:val="space"/>
      <w:lvlText w:val="%1.%2"/>
      <w:lvlJc w:val="center"/>
      <w:pPr>
        <w:tabs>
          <w:tab w:val="num" w:pos="0"/>
        </w:tabs>
        <w:ind w:left="964" w:hanging="0"/>
      </w:pPr>
      <w:rPr>
        <w:sz w:val="28"/>
        <w:i w:val="false"/>
        <w:b/>
        <w:rFonts w:ascii="Times New Roman" w:hAnsi="Times New Roman"/>
      </w:rPr>
    </w:lvl>
    <w:lvl w:ilvl="2">
      <w:start w:val="1"/>
      <w:numFmt w:val="decimal"/>
      <w:suff w:val="space"/>
      <w:lvlText w:val="%1.%2.%3"/>
      <w:lvlJc w:val="left"/>
      <w:pPr>
        <w:tabs>
          <w:tab w:val="num" w:pos="0"/>
        </w:tabs>
        <w:ind w:left="2484" w:hanging="504"/>
      </w:pPr>
      <w:rPr>
        <w:sz w:val="28"/>
        <w:i w:val="false"/>
        <w:b/>
        <w:rFonts w:ascii="Times New Roman" w:hAnsi="Times New Roman"/>
      </w:rPr>
    </w:lvl>
    <w:lvl w:ilvl="3">
      <w:start w:val="1"/>
      <w:numFmt w:val="decimal"/>
      <w:lvlText w:val="%1.%2.%3.%4."/>
      <w:lvlJc w:val="left"/>
      <w:pPr>
        <w:tabs>
          <w:tab w:val="num" w:pos="2588"/>
        </w:tabs>
        <w:ind w:left="2156" w:hanging="648"/>
      </w:pPr>
      <w:rPr/>
    </w:lvl>
    <w:lvl w:ilvl="4">
      <w:start w:val="1"/>
      <w:numFmt w:val="decimal"/>
      <w:lvlText w:val="%1.%2.%3.%4.%5."/>
      <w:lvlJc w:val="left"/>
      <w:pPr>
        <w:tabs>
          <w:tab w:val="num" w:pos="2948"/>
        </w:tabs>
        <w:ind w:left="2660" w:hanging="792"/>
      </w:pPr>
      <w:rPr/>
    </w:lvl>
    <w:lvl w:ilvl="5">
      <w:start w:val="1"/>
      <w:numFmt w:val="decimal"/>
      <w:lvlText w:val="%1.%2.%3.%4.%5.%6."/>
      <w:lvlJc w:val="left"/>
      <w:pPr>
        <w:tabs>
          <w:tab w:val="num" w:pos="3668"/>
        </w:tabs>
        <w:ind w:left="3164" w:hanging="936"/>
      </w:pPr>
      <w:rPr/>
    </w:lvl>
    <w:lvl w:ilvl="6">
      <w:start w:val="1"/>
      <w:numFmt w:val="decimal"/>
      <w:lvlText w:val="%1.%2.%3.%4.%5.%6.%7."/>
      <w:lvlJc w:val="left"/>
      <w:pPr>
        <w:tabs>
          <w:tab w:val="num" w:pos="4388"/>
        </w:tabs>
        <w:ind w:left="3668" w:hanging="1080"/>
      </w:pPr>
      <w:rPr/>
    </w:lvl>
    <w:lvl w:ilvl="7">
      <w:start w:val="1"/>
      <w:numFmt w:val="decimal"/>
      <w:lvlText w:val="%1.%2.%3.%4.%5.%6.%7.%8."/>
      <w:lvlJc w:val="left"/>
      <w:pPr>
        <w:tabs>
          <w:tab w:val="num" w:pos="4748"/>
        </w:tabs>
        <w:ind w:left="4172" w:hanging="1224"/>
      </w:pPr>
      <w:rPr/>
    </w:lvl>
    <w:lvl w:ilvl="8">
      <w:start w:val="1"/>
      <w:numFmt w:val="decimal"/>
      <w:lvlText w:val="%1.%2.%3.%4.%5.%6.%7.%8.%9."/>
      <w:lvlJc w:val="left"/>
      <w:pPr>
        <w:tabs>
          <w:tab w:val="num" w:pos="5468"/>
        </w:tabs>
        <w:ind w:left="4748" w:hanging="1440"/>
      </w:pPr>
      <w:rPr/>
    </w:lvl>
  </w:abstractNum>
  <w:abstractNum w:abstractNumId="31">
    <w:lvl w:ilvl="0">
      <w:start w:val="1"/>
      <w:numFmt w:val="bullet"/>
      <w:lvlText w:val="–"/>
      <w:lvlJc w:val="left"/>
      <w:pPr>
        <w:tabs>
          <w:tab w:val="num" w:pos="0"/>
        </w:tabs>
        <w:ind w:left="1429" w:hanging="360"/>
      </w:pPr>
      <w:rPr>
        <w:rFonts w:ascii="Times New Roman" w:hAnsi="Times New Roman" w:cs="Times New Roman"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2">
    <w:lvl w:ilvl="0">
      <w:start w:val="1"/>
      <w:numFmt w:val="bullet"/>
      <w:lvlText w:val="–"/>
      <w:lvlJc w:val="left"/>
      <w:pPr>
        <w:tabs>
          <w:tab w:val="num" w:pos="0"/>
        </w:tabs>
        <w:ind w:left="1429" w:hanging="360"/>
      </w:pPr>
      <w:rPr>
        <w:rFonts w:ascii="Times New Roman" w:hAnsi="Times New Roman" w:cs="Times New Roman" w:hint="default"/>
        <w:sz w:val="20"/>
        <w:szCs w:val="20"/>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3">
    <w:lvl w:ilvl="0">
      <w:start w:val="1"/>
      <w:numFmt w:val="bullet"/>
      <w:lvlText w:val="–"/>
      <w:lvlJc w:val="left"/>
      <w:pPr>
        <w:tabs>
          <w:tab w:val="num" w:pos="0"/>
        </w:tabs>
        <w:ind w:left="1429" w:hanging="360"/>
      </w:pPr>
      <w:rPr>
        <w:rFonts w:ascii="Times New Roman" w:hAnsi="Times New Roman" w:cs="Times New Roman" w:hint="default"/>
        <w:sz w:val="20"/>
        <w:szCs w:val="20"/>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4">
    <w:lvl w:ilvl="0">
      <w:start w:val="1"/>
      <w:numFmt w:val="bullet"/>
      <w:lvlText w:val="–"/>
      <w:lvlJc w:val="left"/>
      <w:pPr>
        <w:tabs>
          <w:tab w:val="num" w:pos="0"/>
        </w:tabs>
        <w:ind w:left="1428" w:hanging="360"/>
      </w:pPr>
      <w:rPr>
        <w:rFonts w:ascii="Times New Roman" w:hAnsi="Times New Roman" w:cs="Times New Roman" w:hint="default"/>
        <w:sz w:val="20"/>
        <w:szCs w:val="20"/>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35">
    <w:lvl w:ilvl="0">
      <w:start w:val="1"/>
      <w:numFmt w:val="bullet"/>
      <w:lvlText w:val="–"/>
      <w:lvlJc w:val="left"/>
      <w:pPr>
        <w:tabs>
          <w:tab w:val="num" w:pos="0"/>
        </w:tabs>
        <w:ind w:left="1429" w:hanging="360"/>
      </w:pPr>
      <w:rPr>
        <w:rFonts w:ascii="Times New Roman" w:hAnsi="Times New Roman" w:cs="Times New Roman" w:hint="default"/>
        <w:sz w:val="20"/>
        <w:szCs w:val="20"/>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6">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7">
    <w:lvl w:ilvl="0">
      <w:start w:val="2"/>
      <w:numFmt w:val="decimal"/>
      <w:lvlText w:val="%1."/>
      <w:lvlJc w:val="left"/>
      <w:pPr>
        <w:tabs>
          <w:tab w:val="num" w:pos="0"/>
        </w:tabs>
        <w:ind w:left="450" w:hanging="450"/>
      </w:pPr>
      <w:rPr/>
    </w:lvl>
    <w:lvl w:ilvl="1">
      <w:start w:val="6"/>
      <w:numFmt w:val="decimal"/>
      <w:lvlText w:val="%1.%2."/>
      <w:lvlJc w:val="left"/>
      <w:pPr>
        <w:tabs>
          <w:tab w:val="num" w:pos="0"/>
        </w:tabs>
        <w:ind w:left="1684" w:hanging="720"/>
      </w:pPr>
      <w:rPr/>
    </w:lvl>
    <w:lvl w:ilvl="2">
      <w:start w:val="1"/>
      <w:numFmt w:val="decimal"/>
      <w:lvlText w:val="%1.%2.%3."/>
      <w:lvlJc w:val="left"/>
      <w:pPr>
        <w:tabs>
          <w:tab w:val="num" w:pos="0"/>
        </w:tabs>
        <w:ind w:left="2648" w:hanging="720"/>
      </w:pPr>
      <w:rPr/>
    </w:lvl>
    <w:lvl w:ilvl="3">
      <w:start w:val="1"/>
      <w:numFmt w:val="decimal"/>
      <w:lvlText w:val="%1.%2.%3.%4."/>
      <w:lvlJc w:val="left"/>
      <w:pPr>
        <w:tabs>
          <w:tab w:val="num" w:pos="0"/>
        </w:tabs>
        <w:ind w:left="3972" w:hanging="1080"/>
      </w:pPr>
      <w:rPr/>
    </w:lvl>
    <w:lvl w:ilvl="4">
      <w:start w:val="1"/>
      <w:numFmt w:val="decimal"/>
      <w:lvlText w:val="%1.%2.%3.%4.%5."/>
      <w:lvlJc w:val="left"/>
      <w:pPr>
        <w:tabs>
          <w:tab w:val="num" w:pos="0"/>
        </w:tabs>
        <w:ind w:left="4936" w:hanging="1080"/>
      </w:pPr>
      <w:rPr/>
    </w:lvl>
    <w:lvl w:ilvl="5">
      <w:start w:val="1"/>
      <w:numFmt w:val="decimal"/>
      <w:lvlText w:val="%1.%2.%3.%4.%5.%6."/>
      <w:lvlJc w:val="left"/>
      <w:pPr>
        <w:tabs>
          <w:tab w:val="num" w:pos="0"/>
        </w:tabs>
        <w:ind w:left="6260" w:hanging="1440"/>
      </w:pPr>
      <w:rPr/>
    </w:lvl>
    <w:lvl w:ilvl="6">
      <w:start w:val="1"/>
      <w:numFmt w:val="decimal"/>
      <w:lvlText w:val="%1.%2.%3.%4.%5.%6.%7."/>
      <w:lvlJc w:val="left"/>
      <w:pPr>
        <w:tabs>
          <w:tab w:val="num" w:pos="0"/>
        </w:tabs>
        <w:ind w:left="7584" w:hanging="1800"/>
      </w:pPr>
      <w:rPr/>
    </w:lvl>
    <w:lvl w:ilvl="7">
      <w:start w:val="1"/>
      <w:numFmt w:val="decimal"/>
      <w:lvlText w:val="%1.%2.%3.%4.%5.%6.%7.%8."/>
      <w:lvlJc w:val="left"/>
      <w:pPr>
        <w:tabs>
          <w:tab w:val="num" w:pos="0"/>
        </w:tabs>
        <w:ind w:left="8548" w:hanging="1800"/>
      </w:pPr>
      <w:rPr/>
    </w:lvl>
    <w:lvl w:ilvl="8">
      <w:start w:val="1"/>
      <w:numFmt w:val="decimal"/>
      <w:lvlText w:val="%1.%2.%3.%4.%5.%6.%7.%8.%9."/>
      <w:lvlJc w:val="left"/>
      <w:pPr>
        <w:tabs>
          <w:tab w:val="num" w:pos="0"/>
        </w:tabs>
        <w:ind w:left="9872" w:hanging="2160"/>
      </w:pPr>
      <w:rPr/>
    </w:lvl>
  </w:abstractNum>
  <w:abstractNum w:abstractNumId="38">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9">
    <w:lvl w:ilvl="0">
      <w:start w:val="1"/>
      <w:numFmt w:val="bullet"/>
      <w:lvlText w:val=""/>
      <w:lvlJc w:val="left"/>
      <w:pPr>
        <w:tabs>
          <w:tab w:val="num" w:pos="0"/>
        </w:tabs>
        <w:ind w:left="1143" w:hanging="360"/>
      </w:pPr>
      <w:rPr>
        <w:rFonts w:ascii="Symbol" w:hAnsi="Symbol" w:cs="Symbol" w:hint="default"/>
      </w:rPr>
    </w:lvl>
    <w:lvl w:ilvl="1">
      <w:start w:val="1"/>
      <w:numFmt w:val="bullet"/>
      <w:lvlText w:val="o"/>
      <w:lvlJc w:val="left"/>
      <w:pPr>
        <w:tabs>
          <w:tab w:val="num" w:pos="0"/>
        </w:tabs>
        <w:ind w:left="1863" w:hanging="360"/>
      </w:pPr>
      <w:rPr>
        <w:rFonts w:ascii="Courier New" w:hAnsi="Courier New" w:cs="Courier New" w:hint="default"/>
      </w:rPr>
    </w:lvl>
    <w:lvl w:ilvl="2">
      <w:start w:val="1"/>
      <w:numFmt w:val="bullet"/>
      <w:lvlText w:val=""/>
      <w:lvlJc w:val="left"/>
      <w:pPr>
        <w:tabs>
          <w:tab w:val="num" w:pos="0"/>
        </w:tabs>
        <w:ind w:left="2583" w:hanging="360"/>
      </w:pPr>
      <w:rPr>
        <w:rFonts w:ascii="Wingdings" w:hAnsi="Wingdings" w:cs="Wingdings" w:hint="default"/>
      </w:rPr>
    </w:lvl>
    <w:lvl w:ilvl="3">
      <w:start w:val="1"/>
      <w:numFmt w:val="bullet"/>
      <w:lvlText w:val=""/>
      <w:lvlJc w:val="left"/>
      <w:pPr>
        <w:tabs>
          <w:tab w:val="num" w:pos="0"/>
        </w:tabs>
        <w:ind w:left="3303" w:hanging="360"/>
      </w:pPr>
      <w:rPr>
        <w:rFonts w:ascii="Symbol" w:hAnsi="Symbol" w:cs="Symbol" w:hint="default"/>
      </w:rPr>
    </w:lvl>
    <w:lvl w:ilvl="4">
      <w:start w:val="1"/>
      <w:numFmt w:val="bullet"/>
      <w:lvlText w:val="o"/>
      <w:lvlJc w:val="left"/>
      <w:pPr>
        <w:tabs>
          <w:tab w:val="num" w:pos="0"/>
        </w:tabs>
        <w:ind w:left="4023" w:hanging="360"/>
      </w:pPr>
      <w:rPr>
        <w:rFonts w:ascii="Courier New" w:hAnsi="Courier New" w:cs="Courier New" w:hint="default"/>
      </w:rPr>
    </w:lvl>
    <w:lvl w:ilvl="5">
      <w:start w:val="1"/>
      <w:numFmt w:val="bullet"/>
      <w:lvlText w:val=""/>
      <w:lvlJc w:val="left"/>
      <w:pPr>
        <w:tabs>
          <w:tab w:val="num" w:pos="0"/>
        </w:tabs>
        <w:ind w:left="4743" w:hanging="360"/>
      </w:pPr>
      <w:rPr>
        <w:rFonts w:ascii="Wingdings" w:hAnsi="Wingdings" w:cs="Wingdings" w:hint="default"/>
      </w:rPr>
    </w:lvl>
    <w:lvl w:ilvl="6">
      <w:start w:val="1"/>
      <w:numFmt w:val="bullet"/>
      <w:lvlText w:val=""/>
      <w:lvlJc w:val="left"/>
      <w:pPr>
        <w:tabs>
          <w:tab w:val="num" w:pos="0"/>
        </w:tabs>
        <w:ind w:left="5463" w:hanging="360"/>
      </w:pPr>
      <w:rPr>
        <w:rFonts w:ascii="Symbol" w:hAnsi="Symbol" w:cs="Symbol" w:hint="default"/>
      </w:rPr>
    </w:lvl>
    <w:lvl w:ilvl="7">
      <w:start w:val="1"/>
      <w:numFmt w:val="bullet"/>
      <w:lvlText w:val="o"/>
      <w:lvlJc w:val="left"/>
      <w:pPr>
        <w:tabs>
          <w:tab w:val="num" w:pos="0"/>
        </w:tabs>
        <w:ind w:left="6183" w:hanging="360"/>
      </w:pPr>
      <w:rPr>
        <w:rFonts w:ascii="Courier New" w:hAnsi="Courier New" w:cs="Courier New" w:hint="default"/>
      </w:rPr>
    </w:lvl>
    <w:lvl w:ilvl="8">
      <w:start w:val="1"/>
      <w:numFmt w:val="bullet"/>
      <w:lvlText w:val=""/>
      <w:lvlJc w:val="left"/>
      <w:pPr>
        <w:tabs>
          <w:tab w:val="num" w:pos="0"/>
        </w:tabs>
        <w:ind w:left="6903" w:hanging="360"/>
      </w:pPr>
      <w:rPr>
        <w:rFonts w:ascii="Wingdings" w:hAnsi="Wingdings" w:cs="Wingdings" w:hint="default"/>
      </w:rPr>
    </w:lvl>
  </w:abstractNum>
  <w:abstractNum w:abstractNumId="40">
    <w:lvl w:ilvl="0">
      <w:start w:val="1"/>
      <w:numFmt w:val="bullet"/>
      <w:lvlText w:val=""/>
      <w:lvlJc w:val="left"/>
      <w:pPr>
        <w:tabs>
          <w:tab w:val="num" w:pos="0"/>
        </w:tabs>
        <w:ind w:left="1140" w:hanging="360"/>
      </w:pPr>
      <w:rPr>
        <w:rFonts w:ascii="Symbol" w:hAnsi="Symbol" w:cs="Symbol" w:hint="default"/>
      </w:rPr>
    </w:lvl>
    <w:lvl w:ilvl="1">
      <w:start w:val="1"/>
      <w:numFmt w:val="bullet"/>
      <w:lvlText w:val="o"/>
      <w:lvlJc w:val="left"/>
      <w:pPr>
        <w:tabs>
          <w:tab w:val="num" w:pos="0"/>
        </w:tabs>
        <w:ind w:left="1860" w:hanging="360"/>
      </w:pPr>
      <w:rPr>
        <w:rFonts w:ascii="Courier New" w:hAnsi="Courier New" w:cs="Courier New" w:hint="default"/>
      </w:rPr>
    </w:lvl>
    <w:lvl w:ilvl="2">
      <w:start w:val="1"/>
      <w:numFmt w:val="bullet"/>
      <w:lvlText w:val=""/>
      <w:lvlJc w:val="left"/>
      <w:pPr>
        <w:tabs>
          <w:tab w:val="num" w:pos="0"/>
        </w:tabs>
        <w:ind w:left="2580" w:hanging="360"/>
      </w:pPr>
      <w:rPr>
        <w:rFonts w:ascii="Wingdings" w:hAnsi="Wingdings" w:cs="Wingdings" w:hint="default"/>
      </w:rPr>
    </w:lvl>
    <w:lvl w:ilvl="3">
      <w:start w:val="1"/>
      <w:numFmt w:val="bullet"/>
      <w:lvlText w:val=""/>
      <w:lvlJc w:val="left"/>
      <w:pPr>
        <w:tabs>
          <w:tab w:val="num" w:pos="0"/>
        </w:tabs>
        <w:ind w:left="3300" w:hanging="360"/>
      </w:pPr>
      <w:rPr>
        <w:rFonts w:ascii="Symbol" w:hAnsi="Symbol" w:cs="Symbol" w:hint="default"/>
      </w:rPr>
    </w:lvl>
    <w:lvl w:ilvl="4">
      <w:start w:val="1"/>
      <w:numFmt w:val="bullet"/>
      <w:lvlText w:val="o"/>
      <w:lvlJc w:val="left"/>
      <w:pPr>
        <w:tabs>
          <w:tab w:val="num" w:pos="0"/>
        </w:tabs>
        <w:ind w:left="4020" w:hanging="360"/>
      </w:pPr>
      <w:rPr>
        <w:rFonts w:ascii="Courier New" w:hAnsi="Courier New" w:cs="Courier New" w:hint="default"/>
      </w:rPr>
    </w:lvl>
    <w:lvl w:ilvl="5">
      <w:start w:val="1"/>
      <w:numFmt w:val="bullet"/>
      <w:lvlText w:val=""/>
      <w:lvlJc w:val="left"/>
      <w:pPr>
        <w:tabs>
          <w:tab w:val="num" w:pos="0"/>
        </w:tabs>
        <w:ind w:left="4740" w:hanging="360"/>
      </w:pPr>
      <w:rPr>
        <w:rFonts w:ascii="Wingdings" w:hAnsi="Wingdings" w:cs="Wingdings" w:hint="default"/>
      </w:rPr>
    </w:lvl>
    <w:lvl w:ilvl="6">
      <w:start w:val="1"/>
      <w:numFmt w:val="bullet"/>
      <w:lvlText w:val=""/>
      <w:lvlJc w:val="left"/>
      <w:pPr>
        <w:tabs>
          <w:tab w:val="num" w:pos="0"/>
        </w:tabs>
        <w:ind w:left="5460" w:hanging="360"/>
      </w:pPr>
      <w:rPr>
        <w:rFonts w:ascii="Symbol" w:hAnsi="Symbol" w:cs="Symbol" w:hint="default"/>
      </w:rPr>
    </w:lvl>
    <w:lvl w:ilvl="7">
      <w:start w:val="1"/>
      <w:numFmt w:val="bullet"/>
      <w:lvlText w:val="o"/>
      <w:lvlJc w:val="left"/>
      <w:pPr>
        <w:tabs>
          <w:tab w:val="num" w:pos="0"/>
        </w:tabs>
        <w:ind w:left="6180" w:hanging="360"/>
      </w:pPr>
      <w:rPr>
        <w:rFonts w:ascii="Courier New" w:hAnsi="Courier New" w:cs="Courier New" w:hint="default"/>
      </w:rPr>
    </w:lvl>
    <w:lvl w:ilvl="8">
      <w:start w:val="1"/>
      <w:numFmt w:val="bullet"/>
      <w:lvlText w:val=""/>
      <w:lvlJc w:val="left"/>
      <w:pPr>
        <w:tabs>
          <w:tab w:val="num" w:pos="0"/>
        </w:tabs>
        <w:ind w:left="6900" w:hanging="360"/>
      </w:pPr>
      <w:rPr>
        <w:rFonts w:ascii="Wingdings" w:hAnsi="Wingdings" w:cs="Wingdings" w:hint="default"/>
      </w:rPr>
    </w:lvl>
  </w:abstractNum>
  <w:abstractNum w:abstractNumId="41">
    <w:lvl w:ilvl="0">
      <w:start w:val="5"/>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6"/>
      <w:numFmt w:val="decimal"/>
      <w:lvlText w:val="%1"/>
      <w:lvlJc w:val="left"/>
      <w:pPr>
        <w:tabs>
          <w:tab w:val="num" w:pos="0"/>
        </w:tabs>
        <w:ind w:left="375" w:hanging="375"/>
      </w:pPr>
      <w:rPr/>
    </w:lvl>
    <w:lvl w:ilvl="1">
      <w:start w:val="1"/>
      <w:numFmt w:val="decimal"/>
      <w:suff w:val="space"/>
      <w:lvlText w:val="%1.%2"/>
      <w:lvlJc w:val="left"/>
      <w:pPr>
        <w:tabs>
          <w:tab w:val="num" w:pos="0"/>
        </w:tabs>
        <w:ind w:left="801" w:hanging="375"/>
      </w:pPr>
      <w:rPr/>
    </w:lvl>
    <w:lvl w:ilvl="2">
      <w:start w:val="1"/>
      <w:numFmt w:val="decimal"/>
      <w:lvlText w:val="%1.%2.%3"/>
      <w:lvlJc w:val="left"/>
      <w:pPr>
        <w:tabs>
          <w:tab w:val="num" w:pos="0"/>
        </w:tabs>
        <w:ind w:left="2648" w:hanging="720"/>
      </w:pPr>
      <w:rPr/>
    </w:lvl>
    <w:lvl w:ilvl="3">
      <w:start w:val="1"/>
      <w:numFmt w:val="decimal"/>
      <w:lvlText w:val="%1.%2.%3.%4"/>
      <w:lvlJc w:val="left"/>
      <w:pPr>
        <w:tabs>
          <w:tab w:val="num" w:pos="0"/>
        </w:tabs>
        <w:ind w:left="3972" w:hanging="1080"/>
      </w:pPr>
      <w:rPr/>
    </w:lvl>
    <w:lvl w:ilvl="4">
      <w:start w:val="1"/>
      <w:numFmt w:val="decimal"/>
      <w:lvlText w:val="%1.%2.%3.%4.%5"/>
      <w:lvlJc w:val="left"/>
      <w:pPr>
        <w:tabs>
          <w:tab w:val="num" w:pos="0"/>
        </w:tabs>
        <w:ind w:left="4936" w:hanging="1080"/>
      </w:pPr>
      <w:rPr/>
    </w:lvl>
    <w:lvl w:ilvl="5">
      <w:start w:val="1"/>
      <w:numFmt w:val="decimal"/>
      <w:lvlText w:val="%1.%2.%3.%4.%5.%6"/>
      <w:lvlJc w:val="left"/>
      <w:pPr>
        <w:tabs>
          <w:tab w:val="num" w:pos="0"/>
        </w:tabs>
        <w:ind w:left="6260" w:hanging="1440"/>
      </w:pPr>
      <w:rPr/>
    </w:lvl>
    <w:lvl w:ilvl="6">
      <w:start w:val="1"/>
      <w:numFmt w:val="decimal"/>
      <w:lvlText w:val="%1.%2.%3.%4.%5.%6.%7"/>
      <w:lvlJc w:val="left"/>
      <w:pPr>
        <w:tabs>
          <w:tab w:val="num" w:pos="0"/>
        </w:tabs>
        <w:ind w:left="7224" w:hanging="1440"/>
      </w:pPr>
      <w:rPr/>
    </w:lvl>
    <w:lvl w:ilvl="7">
      <w:start w:val="1"/>
      <w:numFmt w:val="decimal"/>
      <w:lvlText w:val="%1.%2.%3.%4.%5.%6.%7.%8"/>
      <w:lvlJc w:val="left"/>
      <w:pPr>
        <w:tabs>
          <w:tab w:val="num" w:pos="0"/>
        </w:tabs>
        <w:ind w:left="8548" w:hanging="1800"/>
      </w:pPr>
      <w:rPr/>
    </w:lvl>
    <w:lvl w:ilvl="8">
      <w:start w:val="1"/>
      <w:numFmt w:val="decimal"/>
      <w:lvlText w:val="%1.%2.%3.%4.%5.%6.%7.%8.%9"/>
      <w:lvlJc w:val="left"/>
      <w:pPr>
        <w:tabs>
          <w:tab w:val="num" w:pos="0"/>
        </w:tabs>
        <w:ind w:left="9872" w:hanging="2160"/>
      </w:pPr>
      <w:rPr/>
    </w:lvl>
  </w:abstractNum>
  <w:abstractNum w:abstractNumId="43">
    <w:lvl w:ilvl="0">
      <w:start w:val="1"/>
      <w:numFmt w:val="bullet"/>
      <w:lvlText w:val=""/>
      <w:lvlJc w:val="left"/>
      <w:pPr>
        <w:tabs>
          <w:tab w:val="num" w:pos="3060"/>
        </w:tabs>
        <w:ind w:left="3060" w:hanging="360"/>
      </w:pPr>
      <w:rPr>
        <w:rFonts w:ascii="Symbol" w:hAnsi="Symbol" w:cs="Symbol" w:hint="default"/>
      </w:rPr>
    </w:lvl>
    <w:lvl w:ilvl="1">
      <w:start w:val="1"/>
      <w:numFmt w:val="decimal"/>
      <w:lvlText w:val="%2."/>
      <w:lvlJc w:val="left"/>
      <w:pPr>
        <w:tabs>
          <w:tab w:val="num" w:pos="2007"/>
        </w:tabs>
        <w:ind w:left="2007" w:hanging="360"/>
      </w:pPr>
      <w:rPr/>
    </w:lvl>
    <w:lvl w:ilvl="2">
      <w:start w:val="1"/>
      <w:numFmt w:val="bullet"/>
      <w:lvlText w:val=""/>
      <w:lvlJc w:val="left"/>
      <w:pPr>
        <w:tabs>
          <w:tab w:val="num" w:pos="2727"/>
        </w:tabs>
        <w:ind w:left="2727" w:hanging="360"/>
      </w:pPr>
      <w:rPr>
        <w:rFonts w:ascii="Symbol" w:hAnsi="Symbol" w:cs="Symbol" w:hint="default"/>
      </w:rPr>
    </w:lvl>
    <w:lvl w:ilvl="3">
      <w:start w:val="1"/>
      <w:numFmt w:val="bullet"/>
      <w:lvlText w:val=""/>
      <w:lvlJc w:val="left"/>
      <w:pPr>
        <w:tabs>
          <w:tab w:val="num" w:pos="3447"/>
        </w:tabs>
        <w:ind w:left="3447" w:hanging="360"/>
      </w:pPr>
      <w:rPr>
        <w:rFonts w:ascii="Symbol" w:hAnsi="Symbol" w:cs="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cs="Wingdings" w:hint="default"/>
      </w:rPr>
    </w:lvl>
    <w:lvl w:ilvl="6">
      <w:start w:val="1"/>
      <w:numFmt w:val="bullet"/>
      <w:lvlText w:val=""/>
      <w:lvlJc w:val="left"/>
      <w:pPr>
        <w:tabs>
          <w:tab w:val="num" w:pos="5607"/>
        </w:tabs>
        <w:ind w:left="5607" w:hanging="360"/>
      </w:pPr>
      <w:rPr>
        <w:rFonts w:ascii="Symbol" w:hAnsi="Symbol" w:cs="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cs="Wingdings" w:hint="default"/>
      </w:rPr>
    </w:lvl>
  </w:abstractNum>
  <w:abstractNum w:abstractNumId="44">
    <w:lvl w:ilvl="0">
      <w:start w:val="1"/>
      <w:numFmt w:val="decimal"/>
      <w:suff w:val="space"/>
      <w:lvlText w:val="%1)"/>
      <w:lvlJc w:val="left"/>
      <w:pPr>
        <w:tabs>
          <w:tab w:val="num" w:pos="0"/>
        </w:tabs>
        <w:ind w:left="72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5">
    <w:lvl w:ilvl="0">
      <w:start w:val="1"/>
      <w:numFmt w:val="decimal"/>
      <w:suff w:val="space"/>
      <w:lvlText w:val="%1."/>
      <w:lvlJc w:val="left"/>
      <w:pPr>
        <w:tabs>
          <w:tab w:val="num" w:pos="0"/>
        </w:tabs>
        <w:ind w:left="720"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46">
    <w:lvl w:ilvl="0">
      <w:start w:val="6"/>
      <w:numFmt w:val="decimal"/>
      <w:lvlText w:val="%1"/>
      <w:lvlJc w:val="left"/>
      <w:pPr>
        <w:tabs>
          <w:tab w:val="num" w:pos="0"/>
        </w:tabs>
        <w:ind w:left="375" w:hanging="375"/>
      </w:pPr>
      <w:rPr/>
    </w:lvl>
    <w:lvl w:ilvl="1">
      <w:start w:val="6"/>
      <w:numFmt w:val="decimal"/>
      <w:suff w:val="space"/>
      <w:lvlText w:val="%1.%2"/>
      <w:lvlJc w:val="left"/>
      <w:pPr>
        <w:tabs>
          <w:tab w:val="num" w:pos="0"/>
        </w:tabs>
        <w:ind w:left="1793" w:hanging="375"/>
      </w:pPr>
      <w:rPr/>
    </w:lvl>
    <w:lvl w:ilvl="2">
      <w:start w:val="1"/>
      <w:numFmt w:val="decimal"/>
      <w:lvlText w:val="%1.%2.%3"/>
      <w:lvlJc w:val="left"/>
      <w:pPr>
        <w:tabs>
          <w:tab w:val="num" w:pos="0"/>
        </w:tabs>
        <w:ind w:left="3398" w:hanging="720"/>
      </w:pPr>
      <w:rPr/>
    </w:lvl>
    <w:lvl w:ilvl="3">
      <w:start w:val="1"/>
      <w:numFmt w:val="decimal"/>
      <w:lvlText w:val="%1.%2.%3.%4"/>
      <w:lvlJc w:val="left"/>
      <w:pPr>
        <w:tabs>
          <w:tab w:val="num" w:pos="0"/>
        </w:tabs>
        <w:ind w:left="5097" w:hanging="1080"/>
      </w:pPr>
      <w:rPr/>
    </w:lvl>
    <w:lvl w:ilvl="4">
      <w:start w:val="1"/>
      <w:numFmt w:val="decimal"/>
      <w:lvlText w:val="%1.%2.%3.%4.%5"/>
      <w:lvlJc w:val="left"/>
      <w:pPr>
        <w:tabs>
          <w:tab w:val="num" w:pos="0"/>
        </w:tabs>
        <w:ind w:left="6436" w:hanging="1080"/>
      </w:pPr>
      <w:rPr/>
    </w:lvl>
    <w:lvl w:ilvl="5">
      <w:start w:val="1"/>
      <w:numFmt w:val="decimal"/>
      <w:lvlText w:val="%1.%2.%3.%4.%5.%6"/>
      <w:lvlJc w:val="left"/>
      <w:pPr>
        <w:tabs>
          <w:tab w:val="num" w:pos="0"/>
        </w:tabs>
        <w:ind w:left="8135" w:hanging="1440"/>
      </w:pPr>
      <w:rPr/>
    </w:lvl>
    <w:lvl w:ilvl="6">
      <w:start w:val="1"/>
      <w:numFmt w:val="decimal"/>
      <w:lvlText w:val="%1.%2.%3.%4.%5.%6.%7"/>
      <w:lvlJc w:val="left"/>
      <w:pPr>
        <w:tabs>
          <w:tab w:val="num" w:pos="0"/>
        </w:tabs>
        <w:ind w:left="9474" w:hanging="1440"/>
      </w:pPr>
      <w:rPr/>
    </w:lvl>
    <w:lvl w:ilvl="7">
      <w:start w:val="1"/>
      <w:numFmt w:val="decimal"/>
      <w:lvlText w:val="%1.%2.%3.%4.%5.%6.%7.%8"/>
      <w:lvlJc w:val="left"/>
      <w:pPr>
        <w:tabs>
          <w:tab w:val="num" w:pos="0"/>
        </w:tabs>
        <w:ind w:left="11173" w:hanging="1800"/>
      </w:pPr>
      <w:rPr/>
    </w:lvl>
    <w:lvl w:ilvl="8">
      <w:start w:val="1"/>
      <w:numFmt w:val="decimal"/>
      <w:lvlText w:val="%1.%2.%3.%4.%5.%6.%7.%8.%9"/>
      <w:lvlJc w:val="left"/>
      <w:pPr>
        <w:tabs>
          <w:tab w:val="num" w:pos="0"/>
        </w:tabs>
        <w:ind w:left="12872" w:hanging="2160"/>
      </w:pPr>
      <w:rPr/>
    </w:lvl>
  </w:abstractNum>
  <w:abstractNum w:abstractNumId="47">
    <w:lvl w:ilvl="0">
      <w:start w:val="1"/>
      <w:numFmt w:val="bullet"/>
      <w:lvlText w:val=""/>
      <w:lvlJc w:val="left"/>
      <w:pPr>
        <w:tabs>
          <w:tab w:val="num" w:pos="2869"/>
        </w:tabs>
        <w:ind w:left="2869" w:hanging="360"/>
      </w:pPr>
      <w:rPr>
        <w:rFonts w:ascii="Symbol" w:hAnsi="Symbol" w:cs="Symbol" w:hint="default"/>
        <w:sz w:val="20"/>
        <w:szCs w:val="20"/>
      </w:rPr>
    </w:lvl>
    <w:lvl w:ilvl="1">
      <w:start w:val="1"/>
      <w:numFmt w:val="bullet"/>
      <w:lvlText w:val=""/>
      <w:lvlJc w:val="left"/>
      <w:pPr>
        <w:tabs>
          <w:tab w:val="num" w:pos="2160"/>
        </w:tabs>
        <w:ind w:left="2160" w:hanging="360"/>
      </w:pPr>
      <w:rPr>
        <w:rFonts w:ascii="Wingdings" w:hAnsi="Wingdings" w:cs="Wingdings"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8">
    <w:lvl w:ilvl="0">
      <w:start w:val="1"/>
      <w:numFmt w:val="bullet"/>
      <w:lvlText w:val="–"/>
      <w:lvlJc w:val="left"/>
      <w:pPr>
        <w:tabs>
          <w:tab w:val="num" w:pos="0"/>
        </w:tabs>
        <w:ind w:left="1429" w:hanging="360"/>
      </w:pPr>
      <w:rPr>
        <w:rFonts w:ascii="Times New Roman" w:hAnsi="Times New Roman" w:cs="Times New Roman"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49">
    <w:lvl w:ilvl="0">
      <w:start w:val="7"/>
      <w:numFmt w:val="decimal"/>
      <w:lvlText w:val="%1."/>
      <w:lvlJc w:val="left"/>
      <w:pPr>
        <w:tabs>
          <w:tab w:val="num" w:pos="0"/>
        </w:tabs>
        <w:ind w:left="450" w:hanging="450"/>
      </w:pPr>
      <w:rPr>
        <w:rFonts w:eastAsia="Calibri" w:eastAsiaTheme="minorHAnsi"/>
      </w:rPr>
    </w:lvl>
    <w:lvl w:ilvl="1">
      <w:start w:val="1"/>
      <w:numFmt w:val="decimal"/>
      <w:lvlText w:val="%1.%2."/>
      <w:lvlJc w:val="left"/>
      <w:pPr>
        <w:tabs>
          <w:tab w:val="num" w:pos="0"/>
        </w:tabs>
        <w:ind w:left="1800" w:hanging="720"/>
      </w:pPr>
      <w:rPr>
        <w:rFonts w:eastAsia="Calibri" w:eastAsiaTheme="minorHAnsi"/>
      </w:rPr>
    </w:lvl>
    <w:lvl w:ilvl="2">
      <w:start w:val="1"/>
      <w:numFmt w:val="decimal"/>
      <w:lvlText w:val="%1.%2.%3."/>
      <w:lvlJc w:val="left"/>
      <w:pPr>
        <w:tabs>
          <w:tab w:val="num" w:pos="0"/>
        </w:tabs>
        <w:ind w:left="2880" w:hanging="720"/>
      </w:pPr>
      <w:rPr>
        <w:rFonts w:eastAsia="Calibri" w:eastAsiaTheme="minorHAnsi"/>
      </w:rPr>
    </w:lvl>
    <w:lvl w:ilvl="3">
      <w:start w:val="1"/>
      <w:numFmt w:val="decimal"/>
      <w:lvlText w:val="%1.%2.%3.%4."/>
      <w:lvlJc w:val="left"/>
      <w:pPr>
        <w:tabs>
          <w:tab w:val="num" w:pos="0"/>
        </w:tabs>
        <w:ind w:left="4320" w:hanging="1080"/>
      </w:pPr>
      <w:rPr>
        <w:rFonts w:eastAsia="Calibri" w:eastAsiaTheme="minorHAnsi"/>
      </w:rPr>
    </w:lvl>
    <w:lvl w:ilvl="4">
      <w:start w:val="1"/>
      <w:numFmt w:val="decimal"/>
      <w:lvlText w:val="%1.%2.%3.%4.%5."/>
      <w:lvlJc w:val="left"/>
      <w:pPr>
        <w:tabs>
          <w:tab w:val="num" w:pos="0"/>
        </w:tabs>
        <w:ind w:left="5400" w:hanging="1080"/>
      </w:pPr>
      <w:rPr>
        <w:rFonts w:eastAsia="Calibri" w:eastAsiaTheme="minorHAnsi"/>
      </w:rPr>
    </w:lvl>
    <w:lvl w:ilvl="5">
      <w:start w:val="1"/>
      <w:numFmt w:val="decimal"/>
      <w:lvlText w:val="%1.%2.%3.%4.%5.%6."/>
      <w:lvlJc w:val="left"/>
      <w:pPr>
        <w:tabs>
          <w:tab w:val="num" w:pos="0"/>
        </w:tabs>
        <w:ind w:left="6840" w:hanging="1440"/>
      </w:pPr>
      <w:rPr>
        <w:rFonts w:eastAsia="Calibri" w:eastAsiaTheme="minorHAnsi"/>
      </w:rPr>
    </w:lvl>
    <w:lvl w:ilvl="6">
      <w:start w:val="1"/>
      <w:numFmt w:val="decimal"/>
      <w:lvlText w:val="%1.%2.%3.%4.%5.%6.%7."/>
      <w:lvlJc w:val="left"/>
      <w:pPr>
        <w:tabs>
          <w:tab w:val="num" w:pos="0"/>
        </w:tabs>
        <w:ind w:left="8280" w:hanging="1800"/>
      </w:pPr>
      <w:rPr>
        <w:rFonts w:eastAsia="Calibri" w:eastAsiaTheme="minorHAnsi"/>
      </w:rPr>
    </w:lvl>
    <w:lvl w:ilvl="7">
      <w:start w:val="1"/>
      <w:numFmt w:val="decimal"/>
      <w:lvlText w:val="%1.%2.%3.%4.%5.%6.%7.%8."/>
      <w:lvlJc w:val="left"/>
      <w:pPr>
        <w:tabs>
          <w:tab w:val="num" w:pos="0"/>
        </w:tabs>
        <w:ind w:left="9360" w:hanging="1800"/>
      </w:pPr>
      <w:rPr>
        <w:rFonts w:eastAsia="Calibri" w:eastAsiaTheme="minorHAnsi"/>
      </w:rPr>
    </w:lvl>
    <w:lvl w:ilvl="8">
      <w:start w:val="1"/>
      <w:numFmt w:val="decimal"/>
      <w:lvlText w:val="%1.%2.%3.%4.%5.%6.%7.%8.%9."/>
      <w:lvlJc w:val="left"/>
      <w:pPr>
        <w:tabs>
          <w:tab w:val="num" w:pos="0"/>
        </w:tabs>
        <w:ind w:left="10800" w:hanging="2160"/>
      </w:pPr>
      <w:rPr>
        <w:rFonts w:eastAsia="Calibri" w:eastAsiaTheme="minorHAnsi"/>
      </w:rPr>
    </w:lvl>
  </w:abstractNum>
  <w:abstractNum w:abstractNumId="50">
    <w:lvl w:ilvl="0">
      <w:start w:val="1"/>
      <w:numFmt w:val="bullet"/>
      <w:lvlText w:val="–"/>
      <w:lvlJc w:val="left"/>
      <w:pPr>
        <w:tabs>
          <w:tab w:val="num" w:pos="0"/>
        </w:tabs>
        <w:ind w:left="2564" w:hanging="360"/>
      </w:pPr>
      <w:rPr>
        <w:rFonts w:ascii="Times New Roman" w:hAnsi="Times New Roman" w:cs="Times New Roman" w:hint="default"/>
      </w:rPr>
    </w:lvl>
    <w:lvl w:ilvl="1">
      <w:start w:val="1"/>
      <w:numFmt w:val="bullet"/>
      <w:lvlText w:val="o"/>
      <w:lvlJc w:val="left"/>
      <w:pPr>
        <w:tabs>
          <w:tab w:val="num" w:pos="0"/>
        </w:tabs>
        <w:ind w:left="3284" w:hanging="360"/>
      </w:pPr>
      <w:rPr>
        <w:rFonts w:ascii="Courier New" w:hAnsi="Courier New" w:cs="Courier New" w:hint="default"/>
      </w:rPr>
    </w:lvl>
    <w:lvl w:ilvl="2">
      <w:start w:val="1"/>
      <w:numFmt w:val="bullet"/>
      <w:lvlText w:val=""/>
      <w:lvlJc w:val="left"/>
      <w:pPr>
        <w:tabs>
          <w:tab w:val="num" w:pos="0"/>
        </w:tabs>
        <w:ind w:left="4004" w:hanging="360"/>
      </w:pPr>
      <w:rPr>
        <w:rFonts w:ascii="Wingdings" w:hAnsi="Wingdings" w:cs="Wingdings" w:hint="default"/>
      </w:rPr>
    </w:lvl>
    <w:lvl w:ilvl="3">
      <w:start w:val="1"/>
      <w:numFmt w:val="bullet"/>
      <w:lvlText w:val=""/>
      <w:lvlJc w:val="left"/>
      <w:pPr>
        <w:tabs>
          <w:tab w:val="num" w:pos="0"/>
        </w:tabs>
        <w:ind w:left="4724" w:hanging="360"/>
      </w:pPr>
      <w:rPr>
        <w:rFonts w:ascii="Symbol" w:hAnsi="Symbol" w:cs="Symbol" w:hint="default"/>
      </w:rPr>
    </w:lvl>
    <w:lvl w:ilvl="4">
      <w:start w:val="1"/>
      <w:numFmt w:val="bullet"/>
      <w:lvlText w:val="o"/>
      <w:lvlJc w:val="left"/>
      <w:pPr>
        <w:tabs>
          <w:tab w:val="num" w:pos="0"/>
        </w:tabs>
        <w:ind w:left="5444" w:hanging="360"/>
      </w:pPr>
      <w:rPr>
        <w:rFonts w:ascii="Courier New" w:hAnsi="Courier New" w:cs="Courier New" w:hint="default"/>
      </w:rPr>
    </w:lvl>
    <w:lvl w:ilvl="5">
      <w:start w:val="1"/>
      <w:numFmt w:val="bullet"/>
      <w:lvlText w:val=""/>
      <w:lvlJc w:val="left"/>
      <w:pPr>
        <w:tabs>
          <w:tab w:val="num" w:pos="0"/>
        </w:tabs>
        <w:ind w:left="6164" w:hanging="360"/>
      </w:pPr>
      <w:rPr>
        <w:rFonts w:ascii="Wingdings" w:hAnsi="Wingdings" w:cs="Wingdings" w:hint="default"/>
      </w:rPr>
    </w:lvl>
    <w:lvl w:ilvl="6">
      <w:start w:val="1"/>
      <w:numFmt w:val="bullet"/>
      <w:lvlText w:val=""/>
      <w:lvlJc w:val="left"/>
      <w:pPr>
        <w:tabs>
          <w:tab w:val="num" w:pos="0"/>
        </w:tabs>
        <w:ind w:left="6884" w:hanging="360"/>
      </w:pPr>
      <w:rPr>
        <w:rFonts w:ascii="Symbol" w:hAnsi="Symbol" w:cs="Symbol" w:hint="default"/>
      </w:rPr>
    </w:lvl>
    <w:lvl w:ilvl="7">
      <w:start w:val="1"/>
      <w:numFmt w:val="bullet"/>
      <w:lvlText w:val="o"/>
      <w:lvlJc w:val="left"/>
      <w:pPr>
        <w:tabs>
          <w:tab w:val="num" w:pos="0"/>
        </w:tabs>
        <w:ind w:left="7604" w:hanging="360"/>
      </w:pPr>
      <w:rPr>
        <w:rFonts w:ascii="Courier New" w:hAnsi="Courier New" w:cs="Courier New" w:hint="default"/>
      </w:rPr>
    </w:lvl>
    <w:lvl w:ilvl="8">
      <w:start w:val="1"/>
      <w:numFmt w:val="bullet"/>
      <w:lvlText w:val=""/>
      <w:lvlJc w:val="left"/>
      <w:pPr>
        <w:tabs>
          <w:tab w:val="num" w:pos="0"/>
        </w:tabs>
        <w:ind w:left="8324" w:hanging="360"/>
      </w:pPr>
      <w:rPr>
        <w:rFonts w:ascii="Wingdings" w:hAnsi="Wingdings" w:cs="Wingdings" w:hint="default"/>
      </w:rPr>
    </w:lvl>
  </w:abstractNum>
  <w:abstractNum w:abstractNumId="51">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5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5">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6"/>
    <w:lvlOverride w:ilvl="0">
      <w:startOverride w:val="1"/>
    </w:lvlOverride>
  </w:num>
  <w:num w:numId="59">
    <w:abstractNumId w:val="14"/>
    <w:lvlOverride w:ilvl="0">
      <w:startOverride w:val="1"/>
    </w:lvlOverride>
  </w:num>
  <w:num w:numId="60">
    <w:abstractNumId w:val="16"/>
    <w:lvlOverride w:ilvl="0">
      <w:startOverride w:val="1"/>
    </w:lvlOverride>
  </w:num>
</w:numbering>
</file>

<file path=word/settings.xml><?xml version="1.0" encoding="utf-8"?>
<w:settings xmlns:w="http://schemas.openxmlformats.org/wordprocessingml/2006/main">
  <w:zoom w:percent="100"/>
  <w:defaultTabStop w:val="709"/>
  <w:autoHyphenation w:val="true"/>
  <w:footnotePr>
    <w:numFmt w:val="decimal"/>
    <w:footnote w:id="0"/>
    <w:footnote w:id="1"/>
  </w:footnotePr>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ource Han Sans CN Regular" w:cs="Lohit Devanagari"/>
        <w:kern w:val="2"/>
        <w:sz w:val="24"/>
        <w:szCs w:val="24"/>
        <w:lang w:val="ru-RU" w:eastAsia="ru-RU" w:bidi="ru-RU"/>
      </w:rPr>
    </w:rPrDefault>
    <w:pPrDefault>
      <w:pPr>
        <w:suppressAutoHyphens w:val="true"/>
      </w:pPr>
    </w:pPrDefault>
  </w:docDefaults>
  <w:style w:type="paragraph" w:styleId="Normal">
    <w:name w:val="Normal"/>
    <w:qFormat/>
    <w:pPr>
      <w:widowControl w:val="false"/>
      <w:suppressAutoHyphens w:val="true"/>
      <w:overflowPunct w:val="false"/>
      <w:bidi w:val="0"/>
      <w:spacing w:lineRule="auto" w:line="240" w:before="0" w:after="0"/>
      <w:jc w:val="center"/>
    </w:pPr>
    <w:rPr>
      <w:rFonts w:ascii="PT Astra Serif" w:hAnsi="PT Astra Serif" w:eastAsia="Source Han Sans CN Regular" w:cs="Lohit Devanagari"/>
      <w:color w:val="auto"/>
      <w:kern w:val="2"/>
      <w:sz w:val="28"/>
      <w:szCs w:val="24"/>
      <w:lang w:val="ru-RU" w:eastAsia="ru-RU" w:bidi="ru-RU"/>
    </w:rPr>
  </w:style>
  <w:style w:type="paragraph" w:styleId="1">
    <w:name w:val="Heading 1"/>
    <w:basedOn w:val="Style29"/>
    <w:next w:val="BodyTextIndent"/>
    <w:qFormat/>
    <w:pPr>
      <w:numPr>
        <w:ilvl w:val="0"/>
        <w:numId w:val="0"/>
      </w:numPr>
      <w:spacing w:before="0" w:after="0"/>
      <w:outlineLvl w:val="0"/>
    </w:pPr>
    <w:rPr/>
  </w:style>
  <w:style w:type="paragraph" w:styleId="2">
    <w:name w:val="Heading 2"/>
    <w:basedOn w:val="Style29"/>
    <w:next w:val="Style30"/>
    <w:qFormat/>
    <w:pPr>
      <w:numPr>
        <w:ilvl w:val="0"/>
        <w:numId w:val="0"/>
      </w:numPr>
      <w:spacing w:before="0" w:after="0"/>
      <w:outlineLvl w:val="1"/>
    </w:pPr>
    <w:rPr/>
  </w:style>
  <w:style w:type="paragraph" w:styleId="3">
    <w:name w:val="Heading 3"/>
    <w:basedOn w:val="Style29"/>
    <w:next w:val="Style30"/>
    <w:qFormat/>
    <w:pPr>
      <w:numPr>
        <w:ilvl w:val="0"/>
        <w:numId w:val="0"/>
      </w:numPr>
      <w:spacing w:before="0" w:after="0"/>
      <w:outlineLvl w:val="2"/>
    </w:pPr>
    <w:rPr/>
  </w:style>
  <w:style w:type="paragraph" w:styleId="4">
    <w:name w:val="Heading 4"/>
    <w:basedOn w:val="Style29"/>
    <w:next w:val="Style30"/>
    <w:qFormat/>
    <w:pPr>
      <w:numPr>
        <w:ilvl w:val="0"/>
        <w:numId w:val="0"/>
      </w:numPr>
      <w:spacing w:before="0" w:after="0"/>
    </w:pPr>
    <w:rPr/>
  </w:style>
  <w:style w:type="paragraph" w:styleId="5">
    <w:name w:val="Heading 5"/>
    <w:basedOn w:val="Style29"/>
    <w:next w:val="Style30"/>
    <w:qFormat/>
    <w:pPr>
      <w:numPr>
        <w:ilvl w:val="0"/>
        <w:numId w:val="0"/>
      </w:numPr>
      <w:spacing w:before="0" w:after="0"/>
    </w:pPr>
    <w:rPr/>
  </w:style>
  <w:style w:type="paragraph" w:styleId="6">
    <w:name w:val="Heading 6"/>
    <w:basedOn w:val="Style29"/>
    <w:next w:val="Style30"/>
    <w:qFormat/>
    <w:pPr>
      <w:numPr>
        <w:ilvl w:val="0"/>
        <w:numId w:val="0"/>
      </w:numPr>
    </w:pPr>
    <w:rPr/>
  </w:style>
  <w:style w:type="paragraph" w:styleId="7">
    <w:name w:val="Heading 7"/>
    <w:basedOn w:val="Style29"/>
    <w:next w:val="Style30"/>
    <w:qFormat/>
    <w:pPr>
      <w:numPr>
        <w:ilvl w:val="0"/>
        <w:numId w:val="0"/>
      </w:numPr>
      <w:spacing w:before="0" w:after="0"/>
    </w:pPr>
    <w:rPr/>
  </w:style>
  <w:style w:type="paragraph" w:styleId="8">
    <w:name w:val="Heading 8"/>
    <w:basedOn w:val="Style29"/>
    <w:next w:val="Style30"/>
    <w:qFormat/>
    <w:pPr>
      <w:numPr>
        <w:ilvl w:val="0"/>
        <w:numId w:val="0"/>
      </w:numPr>
      <w:spacing w:before="0" w:after="0"/>
    </w:pPr>
    <w:rPr/>
  </w:style>
  <w:style w:type="paragraph" w:styleId="9">
    <w:name w:val="Heading 9"/>
    <w:basedOn w:val="Style29"/>
    <w:next w:val="Style30"/>
    <w:qFormat/>
    <w:pPr>
      <w:numPr>
        <w:ilvl w:val="0"/>
        <w:numId w:val="0"/>
      </w:numPr>
      <w:spacing w:before="0" w:after="0"/>
    </w:pPr>
    <w:rPr/>
  </w:style>
  <w:style w:type="character" w:styleId="Style5">
    <w:name w:val="Символ нумерации"/>
    <w:qFormat/>
    <w:rPr/>
  </w:style>
  <w:style w:type="character" w:styleId="Style6">
    <w:name w:val="Маркеры"/>
    <w:qFormat/>
    <w:rPr>
      <w:rFonts w:ascii="OpenSymbol" w:hAnsi="OpenSymbol" w:eastAsia="OpenSymbol" w:cs="OpenSymbol"/>
    </w:rPr>
  </w:style>
  <w:style w:type="character" w:styleId="Style7">
    <w:name w:val="Символ сноски"/>
    <w:qFormat/>
    <w:rPr>
      <w:vertAlign w:val="superscript"/>
    </w:rPr>
  </w:style>
  <w:style w:type="character" w:styleId="Style8">
    <w:name w:val="Footnote Reference"/>
    <w:rPr>
      <w:vertAlign w:val="superscript"/>
    </w:rPr>
  </w:style>
  <w:style w:type="character" w:styleId="Style9">
    <w:name w:val="Page Number"/>
    <w:rPr/>
  </w:style>
  <w:style w:type="character" w:styleId="Style10">
    <w:name w:val="Символы названия"/>
    <w:qFormat/>
    <w:rPr/>
  </w:style>
  <w:style w:type="character" w:styleId="Style11">
    <w:name w:val="Буквица"/>
    <w:qFormat/>
    <w:rPr/>
  </w:style>
  <w:style w:type="character" w:styleId="-">
    <w:name w:val="Hyperlink"/>
    <w:rPr>
      <w:color w:val="000080"/>
      <w:u w:val="single"/>
      <w:lang w:val="zxx" w:eastAsia="zxx" w:bidi="zxx"/>
    </w:rPr>
  </w:style>
  <w:style w:type="character" w:styleId="Style12">
    <w:name w:val="FollowedHyperlink"/>
    <w:rPr>
      <w:color w:val="800000"/>
      <w:u w:val="single"/>
      <w:lang w:val="zxx" w:eastAsia="zxx" w:bidi="zxx"/>
    </w:rPr>
  </w:style>
  <w:style w:type="character" w:styleId="Style13">
    <w:name w:val="Заполнитель"/>
    <w:qFormat/>
    <w:rPr>
      <w:smallCaps/>
      <w:color w:val="008080"/>
      <w:u w:val="dotted"/>
    </w:rPr>
  </w:style>
  <w:style w:type="character" w:styleId="Style14">
    <w:name w:val="Ссылка указателя"/>
    <w:qFormat/>
    <w:rPr/>
  </w:style>
  <w:style w:type="character" w:styleId="Style15">
    <w:name w:val="Символ концевой сноски"/>
    <w:qFormat/>
    <w:rPr>
      <w:vertAlign w:val="superscript"/>
    </w:rPr>
  </w:style>
  <w:style w:type="character" w:styleId="Style16">
    <w:name w:val="Line Number"/>
    <w:rPr/>
  </w:style>
  <w:style w:type="character" w:styleId="Style17">
    <w:name w:val="Основной элемент указателя"/>
    <w:qFormat/>
    <w:rPr>
      <w:b/>
      <w:bCs/>
    </w:rPr>
  </w:style>
  <w:style w:type="character" w:styleId="Style18">
    <w:name w:val="Endnote Reference"/>
    <w:rPr>
      <w:vertAlign w:val="superscript"/>
    </w:rPr>
  </w:style>
  <w:style w:type="character" w:styleId="Style19">
    <w:name w:val="Фуригана"/>
    <w:qFormat/>
    <w:rPr>
      <w:sz w:val="12"/>
      <w:szCs w:val="12"/>
      <w:u w:val="none"/>
      <w:em w:val="none"/>
    </w:rPr>
  </w:style>
  <w:style w:type="character" w:styleId="Style20">
    <w:name w:val="Вертикальное направление символов"/>
    <w:qFormat/>
    <w:rPr>
      <w:eastAsianLayout w:vert="true"/>
    </w:rPr>
  </w:style>
  <w:style w:type="character" w:styleId="Style21">
    <w:name w:val="Emphasis"/>
    <w:qFormat/>
    <w:rPr>
      <w:i/>
      <w:iCs/>
    </w:rPr>
  </w:style>
  <w:style w:type="character" w:styleId="Style22">
    <w:name w:val="Цитата"/>
    <w:qFormat/>
    <w:rPr>
      <w:i/>
      <w:iCs/>
    </w:rPr>
  </w:style>
  <w:style w:type="character" w:styleId="Strong">
    <w:name w:val="Strong"/>
    <w:qFormat/>
    <w:rPr>
      <w:b/>
      <w:bCs/>
    </w:rPr>
  </w:style>
  <w:style w:type="character" w:styleId="Style23">
    <w:name w:val="Исходный текст"/>
    <w:qFormat/>
    <w:rPr>
      <w:rFonts w:ascii="Liberation Mono" w:hAnsi="Liberation Mono" w:eastAsia="Liberation Mono" w:cs="Liberation Mono"/>
    </w:rPr>
  </w:style>
  <w:style w:type="character" w:styleId="Style24">
    <w:name w:val="Пример"/>
    <w:qFormat/>
    <w:rPr>
      <w:rFonts w:ascii="Liberation Mono" w:hAnsi="Liberation Mono" w:eastAsia="Liberation Mono" w:cs="Liberation Mono"/>
    </w:rPr>
  </w:style>
  <w:style w:type="character" w:styleId="Style25">
    <w:name w:val="Ввод пользователя"/>
    <w:qFormat/>
    <w:rPr>
      <w:rFonts w:ascii="Liberation Mono" w:hAnsi="Liberation Mono" w:eastAsia="Liberation Mono" w:cs="Liberation Mono"/>
    </w:rPr>
  </w:style>
  <w:style w:type="character" w:styleId="Style26">
    <w:name w:val="Переменная"/>
    <w:qFormat/>
    <w:rPr>
      <w:i/>
      <w:iCs/>
    </w:rPr>
  </w:style>
  <w:style w:type="character" w:styleId="Style27">
    <w:name w:val="Определение"/>
    <w:qFormat/>
    <w:rPr/>
  </w:style>
  <w:style w:type="character" w:styleId="Style28">
    <w:name w:val="Непропорциональный текст"/>
    <w:qFormat/>
    <w:rPr>
      <w:rFonts w:ascii="Liberation Mono" w:hAnsi="Liberation Mono" w:eastAsia="Liberation Mono" w:cs="Liberation Mono"/>
    </w:rPr>
  </w:style>
  <w:style w:type="character" w:styleId="Pagenumber">
    <w:name w:val="page number"/>
    <w:qFormat/>
    <w:rPr>
      <w:rFonts w:cs="Times New Roman"/>
    </w:rPr>
  </w:style>
  <w:style w:type="character" w:styleId="WW8Num58z0">
    <w:name w:val="WW8Num58z0"/>
    <w:qFormat/>
    <w:rPr>
      <w:color w:val="000000"/>
    </w:rPr>
  </w:style>
  <w:style w:type="character" w:styleId="WW8Num58z1">
    <w:name w:val="WW8Num58z1"/>
    <w:qFormat/>
    <w:rPr>
      <w:b/>
      <w:color w:val="000000"/>
    </w:rPr>
  </w:style>
  <w:style w:type="character" w:styleId="WW8Num58z2">
    <w:name w:val="WW8Num58z2"/>
    <w:qFormat/>
    <w:rPr/>
  </w:style>
  <w:style w:type="character" w:styleId="WW8Num6z0">
    <w:name w:val="WW8Num6z0"/>
    <w:qFormat/>
    <w:rPr>
      <w:rFonts w:ascii="Times New Roman" w:hAnsi="Times New Roman" w:cs="Times New Roman"/>
      <w:color w:val="000000"/>
    </w:rPr>
  </w:style>
  <w:style w:type="character" w:styleId="WW8Num6z1">
    <w:name w:val="WW8Num6z1"/>
    <w:qFormat/>
    <w:rPr>
      <w:rFonts w:ascii="Courier New" w:hAnsi="Courier New" w:cs="Courier New"/>
    </w:rPr>
  </w:style>
  <w:style w:type="character" w:styleId="WW8Num6z2">
    <w:name w:val="WW8Num6z2"/>
    <w:qFormat/>
    <w:rPr>
      <w:rFonts w:ascii="Wingdings" w:hAnsi="Wingdings" w:cs="Wingdings"/>
    </w:rPr>
  </w:style>
  <w:style w:type="character" w:styleId="WW8Num6z3">
    <w:name w:val="WW8Num6z3"/>
    <w:qFormat/>
    <w:rPr>
      <w:rFonts w:ascii="Symbol" w:hAnsi="Symbol" w:cs="Symbol"/>
    </w:rPr>
  </w:style>
  <w:style w:type="character" w:styleId="WW8Num21z0">
    <w:name w:val="WW8Num21z0"/>
    <w:qFormat/>
    <w:rPr>
      <w:rFonts w:ascii="Symbol" w:hAnsi="Symbol" w:cs="Symbol"/>
      <w:color w:val="000000"/>
    </w:rPr>
  </w:style>
  <w:style w:type="character" w:styleId="WW8Num21z1">
    <w:name w:val="WW8Num21z1"/>
    <w:qFormat/>
    <w:rPr>
      <w:rFonts w:ascii="Courier New" w:hAnsi="Courier New" w:cs="Courier New"/>
    </w:rPr>
  </w:style>
  <w:style w:type="character" w:styleId="WW8Num21z2">
    <w:name w:val="WW8Num21z2"/>
    <w:qFormat/>
    <w:rPr>
      <w:rFonts w:ascii="Wingdings" w:hAnsi="Wingdings" w:cs="Wingdings"/>
    </w:rPr>
  </w:style>
  <w:style w:type="character" w:styleId="WW8Num21z3">
    <w:name w:val="WW8Num21z3"/>
    <w:qFormat/>
    <w:rPr>
      <w:rFonts w:ascii="Symbol" w:hAnsi="Symbol" w:cs="Symbol"/>
    </w:rPr>
  </w:style>
  <w:style w:type="character" w:styleId="WW8Num72z0">
    <w:name w:val="WW8Num72z0"/>
    <w:qFormat/>
    <w:rPr/>
  </w:style>
  <w:style w:type="character" w:styleId="WW8Num35z0">
    <w:name w:val="WW8Num35z0"/>
    <w:qFormat/>
    <w:rPr>
      <w:rFonts w:ascii="Times New Roman" w:hAnsi="Times New Roman" w:cs="Times New Roman"/>
      <w:color w:val="000000"/>
    </w:rPr>
  </w:style>
  <w:style w:type="character" w:styleId="WW8Num35z1">
    <w:name w:val="WW8Num35z1"/>
    <w:qFormat/>
    <w:rPr>
      <w:rFonts w:ascii="Courier New" w:hAnsi="Courier New" w:cs="Courier New"/>
    </w:rPr>
  </w:style>
  <w:style w:type="character" w:styleId="WW8Num35z2">
    <w:name w:val="WW8Num35z2"/>
    <w:qFormat/>
    <w:rPr>
      <w:rFonts w:ascii="Wingdings" w:hAnsi="Wingdings" w:cs="Wingdings"/>
    </w:rPr>
  </w:style>
  <w:style w:type="character" w:styleId="WW8Num35z3">
    <w:name w:val="WW8Num35z3"/>
    <w:qFormat/>
    <w:rPr>
      <w:rFonts w:ascii="Symbol" w:hAnsi="Symbol" w:cs="Symbol"/>
    </w:rPr>
  </w:style>
  <w:style w:type="character" w:styleId="WW8Num20z0">
    <w:name w:val="WW8Num20z0"/>
    <w:qFormat/>
    <w:rPr/>
  </w:style>
  <w:style w:type="character" w:styleId="WW8Num8z0">
    <w:name w:val="WW8Num8z0"/>
    <w:qFormat/>
    <w:rPr>
      <w:rFonts w:ascii="Symbol" w:hAnsi="Symbol" w:cs="Symbol"/>
    </w:rPr>
  </w:style>
  <w:style w:type="character" w:styleId="WW8Num8z2">
    <w:name w:val="WW8Num8z2"/>
    <w:qFormat/>
    <w:rPr>
      <w:rFonts w:ascii="Wingdings" w:hAnsi="Wingdings" w:cs="Wingdings"/>
    </w:rPr>
  </w:style>
  <w:style w:type="character" w:styleId="WW8Num8z4">
    <w:name w:val="WW8Num8z4"/>
    <w:qFormat/>
    <w:rPr>
      <w:rFonts w:ascii="Courier New" w:hAnsi="Courier New" w:cs="Courier New"/>
    </w:rPr>
  </w:style>
  <w:style w:type="character" w:styleId="WW8Num49z0">
    <w:name w:val="WW8Num49z0"/>
    <w:qFormat/>
    <w:rPr/>
  </w:style>
  <w:style w:type="character" w:styleId="WW8Num82z0">
    <w:name w:val="WW8Num82z0"/>
    <w:qFormat/>
    <w:rPr>
      <w:b w:val="false"/>
    </w:rPr>
  </w:style>
  <w:style w:type="character" w:styleId="WW8Num82z1">
    <w:name w:val="WW8Num82z1"/>
    <w:qFormat/>
    <w:rPr/>
  </w:style>
  <w:style w:type="character" w:styleId="WW8Num77z0">
    <w:name w:val="WW8Num77z0"/>
    <w:qFormat/>
    <w:rPr>
      <w:color w:val="000000"/>
    </w:rPr>
  </w:style>
  <w:style w:type="character" w:styleId="WW8Num29z0">
    <w:name w:val="WW8Num29z0"/>
    <w:qFormat/>
    <w:rPr>
      <w:color w:val="000000"/>
    </w:rPr>
  </w:style>
  <w:style w:type="character" w:styleId="WW8Num37z0">
    <w:name w:val="WW8Num37z0"/>
    <w:qFormat/>
    <w:rPr>
      <w:color w:val="000000"/>
    </w:rPr>
  </w:style>
  <w:style w:type="character" w:styleId="WW8Num57z0">
    <w:name w:val="WW8Num57z0"/>
    <w:qFormat/>
    <w:rPr/>
  </w:style>
  <w:style w:type="character" w:styleId="WW8Num3z0">
    <w:name w:val="WW8Num3z0"/>
    <w:qFormat/>
    <w:rPr/>
  </w:style>
  <w:style w:type="character" w:styleId="DefaultParagraphFont">
    <w:name w:val="Default Paragraph Font"/>
    <w:qFormat/>
    <w:rPr/>
  </w:style>
  <w:style w:type="character" w:styleId="Annotationreference">
    <w:name w:val="annotation reference"/>
    <w:basedOn w:val="DefaultParagraphFont"/>
    <w:qFormat/>
    <w:rPr>
      <w:sz w:val="16"/>
      <w:szCs w:val="16"/>
    </w:rPr>
  </w:style>
  <w:style w:type="paragraph" w:styleId="Style29">
    <w:name w:val="Заголовок"/>
    <w:basedOn w:val="Normal"/>
    <w:next w:val="BodyTextIndent"/>
    <w:qFormat/>
    <w:pPr>
      <w:keepNext w:val="false"/>
      <w:spacing w:before="0" w:after="0"/>
      <w:jc w:val="center"/>
    </w:pPr>
    <w:rPr>
      <w:b/>
    </w:rPr>
  </w:style>
  <w:style w:type="paragraph" w:styleId="Style30">
    <w:name w:val="Body Text"/>
    <w:basedOn w:val="Normal"/>
    <w:pPr>
      <w:jc w:val="both"/>
    </w:pPr>
    <w:rPr/>
  </w:style>
  <w:style w:type="paragraph" w:styleId="Style31">
    <w:name w:val="List"/>
    <w:basedOn w:val="Style30"/>
    <w:pPr/>
    <w:rPr>
      <w:rFonts w:cs="Lohit Devanagari"/>
    </w:rPr>
  </w:style>
  <w:style w:type="paragraph" w:styleId="Style32">
    <w:name w:val="Caption"/>
    <w:basedOn w:val="Normal"/>
    <w:qFormat/>
    <w:pPr>
      <w:spacing w:before="0" w:after="0"/>
    </w:pPr>
    <w:rPr>
      <w:rFonts w:cs="Lohit Devanagari"/>
      <w:i w:val="false"/>
      <w:iCs w:val="false"/>
      <w:sz w:val="28"/>
      <w:szCs w:val="24"/>
    </w:rPr>
  </w:style>
  <w:style w:type="paragraph" w:styleId="Style33">
    <w:name w:val="Указатель"/>
    <w:basedOn w:val="Normal"/>
    <w:qFormat/>
    <w:pPr>
      <w:jc w:val="left"/>
    </w:pPr>
    <w:rPr>
      <w:rFonts w:cs="Lohit Devanagari"/>
    </w:rPr>
  </w:style>
  <w:style w:type="paragraph" w:styleId="Style34">
    <w:name w:val="Блочная цитата"/>
    <w:basedOn w:val="Normal"/>
    <w:qFormat/>
    <w:pPr>
      <w:spacing w:before="0" w:after="0"/>
      <w:ind w:left="0" w:right="0" w:hanging="0"/>
    </w:pPr>
    <w:rPr/>
  </w:style>
  <w:style w:type="paragraph" w:styleId="Style35">
    <w:name w:val="Title"/>
    <w:basedOn w:val="Normal"/>
    <w:next w:val="BodyTextIndent"/>
    <w:qFormat/>
    <w:pPr>
      <w:spacing w:before="0" w:after="170"/>
    </w:pPr>
    <w:rPr>
      <w:b/>
    </w:rPr>
  </w:style>
  <w:style w:type="paragraph" w:styleId="Style36">
    <w:name w:val="Subtitle"/>
    <w:basedOn w:val="Normal"/>
    <w:next w:val="BodyTextIndent"/>
    <w:qFormat/>
    <w:pPr>
      <w:spacing w:before="0" w:after="0"/>
      <w:ind w:left="709" w:right="0" w:hanging="0"/>
      <w:jc w:val="both"/>
    </w:pPr>
    <w:rPr>
      <w:b/>
    </w:rPr>
  </w:style>
  <w:style w:type="paragraph" w:styleId="BodyTextIndent">
    <w:name w:val="Body Text Indent"/>
    <w:basedOn w:val="Normal"/>
    <w:qFormat/>
    <w:pPr>
      <w:ind w:left="0" w:right="0" w:firstLine="709"/>
      <w:jc w:val="both"/>
    </w:pPr>
    <w:rPr/>
  </w:style>
  <w:style w:type="paragraph" w:styleId="Style37">
    <w:name w:val="Обратный отступ"/>
    <w:basedOn w:val="Style30"/>
    <w:qFormat/>
    <w:pPr>
      <w:tabs>
        <w:tab w:val="clear" w:pos="709"/>
        <w:tab w:val="left" w:pos="0" w:leader="none"/>
      </w:tabs>
      <w:ind w:left="0" w:right="0" w:hanging="0"/>
    </w:pPr>
    <w:rPr/>
  </w:style>
  <w:style w:type="paragraph" w:styleId="Style38">
    <w:name w:val="Body Text Indent"/>
    <w:basedOn w:val="Style30"/>
    <w:pPr>
      <w:ind w:left="0" w:right="0" w:hanging="0"/>
    </w:pPr>
    <w:rPr/>
  </w:style>
  <w:style w:type="paragraph" w:styleId="Style39">
    <w:name w:val="Salutation"/>
    <w:basedOn w:val="Normal"/>
    <w:pPr/>
    <w:rPr/>
  </w:style>
  <w:style w:type="paragraph" w:styleId="Style40">
    <w:name w:val="Signature"/>
    <w:basedOn w:val="Normal"/>
    <w:pPr>
      <w:tabs>
        <w:tab w:val="clear" w:pos="709"/>
        <w:tab w:val="right" w:pos="31748" w:leader="none"/>
      </w:tabs>
      <w:ind w:left="0" w:right="0" w:hanging="0"/>
      <w:jc w:val="left"/>
    </w:pPr>
    <w:rPr/>
  </w:style>
  <w:style w:type="paragraph" w:styleId="Style41">
    <w:name w:val="Отступы"/>
    <w:basedOn w:val="Style30"/>
    <w:qFormat/>
    <w:pPr>
      <w:tabs>
        <w:tab w:val="clear" w:pos="709"/>
        <w:tab w:val="left" w:pos="0" w:leader="none"/>
      </w:tabs>
      <w:ind w:left="0" w:right="0" w:hanging="0"/>
    </w:pPr>
    <w:rPr/>
  </w:style>
  <w:style w:type="paragraph" w:styleId="AnnotationText">
    <w:name w:val="Annotation Text"/>
    <w:basedOn w:val="Style30"/>
    <w:qFormat/>
    <w:pPr>
      <w:ind w:left="0" w:right="0" w:hanging="0"/>
    </w:pPr>
    <w:rPr/>
  </w:style>
  <w:style w:type="paragraph" w:styleId="10">
    <w:name w:val="Заголовок 10"/>
    <w:basedOn w:val="Style29"/>
    <w:next w:val="Style30"/>
    <w:qFormat/>
    <w:pPr>
      <w:numPr>
        <w:ilvl w:val="0"/>
        <w:numId w:val="0"/>
      </w:numPr>
      <w:spacing w:before="0" w:after="0"/>
    </w:pPr>
    <w:rPr/>
  </w:style>
  <w:style w:type="paragraph" w:styleId="11">
    <w:name w:val="Нумерованный 1 начало"/>
    <w:basedOn w:val="Style31"/>
    <w:next w:val="31"/>
    <w:qFormat/>
    <w:pPr>
      <w:spacing w:before="0" w:after="0"/>
      <w:ind w:left="0" w:right="0" w:hanging="0"/>
    </w:pPr>
    <w:rPr/>
  </w:style>
  <w:style w:type="paragraph" w:styleId="31">
    <w:name w:val="List Bullet 4"/>
    <w:basedOn w:val="Style31"/>
    <w:pPr>
      <w:numPr>
        <w:ilvl w:val="0"/>
        <w:numId w:val="1"/>
      </w:numPr>
      <w:spacing w:before="0" w:after="0"/>
    </w:pPr>
    <w:rPr/>
  </w:style>
  <w:style w:type="paragraph" w:styleId="12">
    <w:name w:val="Нумерованный 1 конец"/>
    <w:basedOn w:val="Style31"/>
    <w:next w:val="31"/>
    <w:qFormat/>
    <w:pPr>
      <w:spacing w:before="0" w:after="0"/>
      <w:ind w:left="0" w:right="0" w:hanging="0"/>
    </w:pPr>
    <w:rPr/>
  </w:style>
  <w:style w:type="paragraph" w:styleId="13">
    <w:name w:val="Нумерованный 1 прод."/>
    <w:basedOn w:val="Style31"/>
    <w:qFormat/>
    <w:pPr>
      <w:spacing w:before="0" w:after="0"/>
      <w:ind w:left="0" w:right="0" w:hanging="0"/>
    </w:pPr>
    <w:rPr/>
  </w:style>
  <w:style w:type="paragraph" w:styleId="21">
    <w:name w:val="Нумерованный 2 начало"/>
    <w:basedOn w:val="Style31"/>
    <w:next w:val="ListNumber2"/>
    <w:qFormat/>
    <w:pPr>
      <w:spacing w:before="0" w:after="0"/>
      <w:ind w:left="0" w:right="0" w:hanging="0"/>
    </w:pPr>
    <w:rPr/>
  </w:style>
  <w:style w:type="paragraph" w:styleId="ListNumber2">
    <w:name w:val="List Number 2"/>
    <w:basedOn w:val="Style31"/>
    <w:qFormat/>
    <w:pPr>
      <w:spacing w:before="0" w:after="0"/>
      <w:ind w:left="0" w:right="0" w:hanging="0"/>
    </w:pPr>
    <w:rPr/>
  </w:style>
  <w:style w:type="paragraph" w:styleId="22">
    <w:name w:val="Нумерованный 2 конец"/>
    <w:basedOn w:val="Style31"/>
    <w:next w:val="ListNumber2"/>
    <w:qFormat/>
    <w:pPr>
      <w:spacing w:before="0" w:after="0"/>
      <w:ind w:left="0" w:right="0" w:hanging="0"/>
    </w:pPr>
    <w:rPr/>
  </w:style>
  <w:style w:type="paragraph" w:styleId="23">
    <w:name w:val="Нумерованный 2 прод."/>
    <w:basedOn w:val="Style31"/>
    <w:qFormat/>
    <w:pPr>
      <w:spacing w:before="0" w:after="0"/>
      <w:ind w:left="0" w:right="0" w:hanging="0"/>
    </w:pPr>
    <w:rPr/>
  </w:style>
  <w:style w:type="paragraph" w:styleId="32">
    <w:name w:val="Нумерованный 3 начало"/>
    <w:basedOn w:val="Style31"/>
    <w:next w:val="ListNumber3"/>
    <w:qFormat/>
    <w:pPr>
      <w:spacing w:before="0" w:after="0"/>
      <w:ind w:left="0" w:right="0" w:hanging="0"/>
    </w:pPr>
    <w:rPr/>
  </w:style>
  <w:style w:type="paragraph" w:styleId="ListNumber3">
    <w:name w:val="List Number 3"/>
    <w:basedOn w:val="Style31"/>
    <w:qFormat/>
    <w:pPr>
      <w:spacing w:before="0" w:after="0"/>
      <w:ind w:left="0" w:right="0" w:hanging="0"/>
    </w:pPr>
    <w:rPr/>
  </w:style>
  <w:style w:type="paragraph" w:styleId="33">
    <w:name w:val="Нумерованный 3 конец"/>
    <w:basedOn w:val="Style31"/>
    <w:next w:val="ListNumber3"/>
    <w:qFormat/>
    <w:pPr>
      <w:spacing w:before="0" w:after="0"/>
      <w:ind w:left="0" w:right="0" w:hanging="0"/>
    </w:pPr>
    <w:rPr/>
  </w:style>
  <w:style w:type="paragraph" w:styleId="34">
    <w:name w:val="Нумерованный 3 прод."/>
    <w:basedOn w:val="Style31"/>
    <w:qFormat/>
    <w:pPr>
      <w:spacing w:before="0" w:after="0"/>
      <w:ind w:left="0" w:right="0" w:hanging="0"/>
    </w:pPr>
    <w:rPr/>
  </w:style>
  <w:style w:type="paragraph" w:styleId="41">
    <w:name w:val="Нумерованный 4 начало"/>
    <w:basedOn w:val="Style31"/>
    <w:next w:val="ListNumber4"/>
    <w:qFormat/>
    <w:pPr>
      <w:spacing w:before="0" w:after="0"/>
      <w:ind w:left="0" w:right="0" w:hanging="0"/>
    </w:pPr>
    <w:rPr/>
  </w:style>
  <w:style w:type="paragraph" w:styleId="ListNumber4">
    <w:name w:val="List Number 4"/>
    <w:basedOn w:val="Style31"/>
    <w:qFormat/>
    <w:pPr>
      <w:spacing w:before="0" w:after="0"/>
      <w:ind w:left="0" w:right="0" w:hanging="0"/>
    </w:pPr>
    <w:rPr/>
  </w:style>
  <w:style w:type="paragraph" w:styleId="42">
    <w:name w:val="Нумерованный 4 конец"/>
    <w:basedOn w:val="Style31"/>
    <w:next w:val="ListNumber4"/>
    <w:qFormat/>
    <w:pPr>
      <w:spacing w:before="0" w:after="0"/>
      <w:ind w:left="0" w:right="0" w:hanging="0"/>
    </w:pPr>
    <w:rPr/>
  </w:style>
  <w:style w:type="paragraph" w:styleId="43">
    <w:name w:val="Нумерованный 4 прод."/>
    <w:basedOn w:val="Style31"/>
    <w:qFormat/>
    <w:pPr>
      <w:spacing w:before="0" w:after="0"/>
      <w:ind w:left="0" w:right="0" w:hanging="0"/>
    </w:pPr>
    <w:rPr/>
  </w:style>
  <w:style w:type="paragraph" w:styleId="51">
    <w:name w:val="Нумерованный 5 начало"/>
    <w:basedOn w:val="Style31"/>
    <w:next w:val="ListNumber5"/>
    <w:qFormat/>
    <w:pPr>
      <w:spacing w:before="0" w:after="0"/>
      <w:ind w:left="0" w:right="0" w:hanging="0"/>
    </w:pPr>
    <w:rPr/>
  </w:style>
  <w:style w:type="paragraph" w:styleId="ListNumber5">
    <w:name w:val="List Number 5"/>
    <w:basedOn w:val="Style31"/>
    <w:qFormat/>
    <w:pPr>
      <w:spacing w:before="0" w:after="0"/>
      <w:ind w:left="0" w:right="0" w:hanging="0"/>
    </w:pPr>
    <w:rPr/>
  </w:style>
  <w:style w:type="paragraph" w:styleId="52">
    <w:name w:val="Нумерованный 5 конец"/>
    <w:basedOn w:val="Style31"/>
    <w:next w:val="ListNumber5"/>
    <w:qFormat/>
    <w:pPr>
      <w:spacing w:before="0" w:after="0"/>
      <w:ind w:left="0" w:right="0" w:hanging="0"/>
    </w:pPr>
    <w:rPr/>
  </w:style>
  <w:style w:type="paragraph" w:styleId="53">
    <w:name w:val="Нумерованный 5 прод."/>
    <w:basedOn w:val="Style31"/>
    <w:qFormat/>
    <w:pPr>
      <w:spacing w:before="0" w:after="0"/>
      <w:ind w:left="0" w:right="0" w:hanging="0"/>
    </w:pPr>
    <w:rPr/>
  </w:style>
  <w:style w:type="paragraph" w:styleId="14">
    <w:name w:val="Список 1 начало"/>
    <w:basedOn w:val="Style31"/>
    <w:next w:val="24"/>
    <w:qFormat/>
    <w:pPr>
      <w:spacing w:before="0" w:after="0"/>
      <w:ind w:left="0" w:right="0" w:hanging="0"/>
    </w:pPr>
    <w:rPr/>
  </w:style>
  <w:style w:type="paragraph" w:styleId="24">
    <w:name w:val="List Bullet 3"/>
    <w:basedOn w:val="Style31"/>
    <w:pPr>
      <w:numPr>
        <w:ilvl w:val="0"/>
        <w:numId w:val="2"/>
      </w:numPr>
      <w:spacing w:before="0" w:after="0"/>
    </w:pPr>
    <w:rPr/>
  </w:style>
  <w:style w:type="paragraph" w:styleId="15">
    <w:name w:val="Список 1 конец"/>
    <w:basedOn w:val="Style31"/>
    <w:next w:val="24"/>
    <w:qFormat/>
    <w:pPr>
      <w:spacing w:before="0" w:after="0"/>
      <w:ind w:left="0" w:right="0" w:hanging="0"/>
    </w:pPr>
    <w:rPr/>
  </w:style>
  <w:style w:type="paragraph" w:styleId="ListContinue">
    <w:name w:val="List Continue"/>
    <w:basedOn w:val="Style31"/>
    <w:qFormat/>
    <w:pPr>
      <w:spacing w:before="0" w:after="0"/>
      <w:ind w:left="0" w:right="0" w:hanging="0"/>
    </w:pPr>
    <w:rPr/>
  </w:style>
  <w:style w:type="paragraph" w:styleId="25">
    <w:name w:val="Список 2 начало"/>
    <w:basedOn w:val="Style31"/>
    <w:next w:val="ListBullet3"/>
    <w:qFormat/>
    <w:pPr>
      <w:spacing w:before="0" w:after="0"/>
      <w:ind w:left="0" w:right="0" w:hanging="0"/>
    </w:pPr>
    <w:rPr/>
  </w:style>
  <w:style w:type="paragraph" w:styleId="ListBullet3">
    <w:name w:val="List Bullet 3"/>
    <w:basedOn w:val="Style31"/>
    <w:qFormat/>
    <w:pPr>
      <w:spacing w:before="0" w:after="0"/>
      <w:ind w:left="0" w:right="0" w:hanging="0"/>
    </w:pPr>
    <w:rPr/>
  </w:style>
  <w:style w:type="paragraph" w:styleId="26">
    <w:name w:val="Список 2 конец"/>
    <w:basedOn w:val="Style31"/>
    <w:next w:val="ListBullet3"/>
    <w:qFormat/>
    <w:pPr>
      <w:spacing w:before="0" w:after="0"/>
      <w:ind w:left="0" w:right="0" w:hanging="0"/>
    </w:pPr>
    <w:rPr/>
  </w:style>
  <w:style w:type="paragraph" w:styleId="ListContinue2">
    <w:name w:val="List Continue 2"/>
    <w:basedOn w:val="Style31"/>
    <w:qFormat/>
    <w:pPr>
      <w:spacing w:before="0" w:after="0"/>
      <w:ind w:left="0" w:right="0" w:hanging="0"/>
    </w:pPr>
    <w:rPr/>
  </w:style>
  <w:style w:type="paragraph" w:styleId="35">
    <w:name w:val="Список 3 начало"/>
    <w:basedOn w:val="Style31"/>
    <w:next w:val="ListBullet4"/>
    <w:qFormat/>
    <w:pPr>
      <w:spacing w:before="0" w:after="0"/>
      <w:ind w:left="0" w:right="0" w:hanging="0"/>
    </w:pPr>
    <w:rPr/>
  </w:style>
  <w:style w:type="paragraph" w:styleId="ListBullet4">
    <w:name w:val="List Bullet 4"/>
    <w:basedOn w:val="Style31"/>
    <w:qFormat/>
    <w:pPr>
      <w:spacing w:before="0" w:after="0"/>
      <w:ind w:left="0" w:right="0" w:hanging="0"/>
    </w:pPr>
    <w:rPr/>
  </w:style>
  <w:style w:type="paragraph" w:styleId="36">
    <w:name w:val="Список 3 конец"/>
    <w:basedOn w:val="Style31"/>
    <w:next w:val="ListBullet4"/>
    <w:qFormat/>
    <w:pPr>
      <w:spacing w:before="0" w:after="0"/>
      <w:ind w:left="0" w:right="0" w:hanging="0"/>
    </w:pPr>
    <w:rPr/>
  </w:style>
  <w:style w:type="paragraph" w:styleId="ListContinue3">
    <w:name w:val="List Continue 3"/>
    <w:basedOn w:val="Style31"/>
    <w:qFormat/>
    <w:pPr>
      <w:spacing w:before="0" w:after="0"/>
      <w:ind w:left="0" w:right="0" w:hanging="0"/>
    </w:pPr>
    <w:rPr/>
  </w:style>
  <w:style w:type="paragraph" w:styleId="44">
    <w:name w:val="Список 4 начало"/>
    <w:basedOn w:val="Style31"/>
    <w:next w:val="ListBullet5"/>
    <w:qFormat/>
    <w:pPr>
      <w:spacing w:before="0" w:after="0"/>
      <w:ind w:left="0" w:right="0" w:hanging="0"/>
    </w:pPr>
    <w:rPr/>
  </w:style>
  <w:style w:type="paragraph" w:styleId="ListBullet5">
    <w:name w:val="List Bullet 5"/>
    <w:basedOn w:val="Style31"/>
    <w:qFormat/>
    <w:pPr>
      <w:spacing w:before="0" w:after="0"/>
      <w:ind w:left="0" w:right="0" w:hanging="0"/>
    </w:pPr>
    <w:rPr/>
  </w:style>
  <w:style w:type="paragraph" w:styleId="45">
    <w:name w:val="Список 4 конец"/>
    <w:basedOn w:val="Style31"/>
    <w:next w:val="ListBullet5"/>
    <w:qFormat/>
    <w:pPr>
      <w:spacing w:before="0" w:after="0"/>
      <w:ind w:left="0" w:right="0" w:hanging="0"/>
    </w:pPr>
    <w:rPr/>
  </w:style>
  <w:style w:type="paragraph" w:styleId="ListContinue4">
    <w:name w:val="List Continue 4"/>
    <w:basedOn w:val="Style31"/>
    <w:qFormat/>
    <w:pPr>
      <w:spacing w:before="0" w:after="0"/>
      <w:ind w:left="0" w:right="0" w:hanging="0"/>
    </w:pPr>
    <w:rPr/>
  </w:style>
  <w:style w:type="paragraph" w:styleId="54">
    <w:name w:val="Список 5 начало"/>
    <w:basedOn w:val="Style31"/>
    <w:next w:val="ListNumber"/>
    <w:qFormat/>
    <w:pPr>
      <w:spacing w:before="0" w:after="0"/>
      <w:ind w:left="0" w:right="0" w:hanging="0"/>
    </w:pPr>
    <w:rPr/>
  </w:style>
  <w:style w:type="paragraph" w:styleId="ListNumber">
    <w:name w:val="List Number"/>
    <w:basedOn w:val="Style31"/>
    <w:qFormat/>
    <w:pPr>
      <w:spacing w:before="0" w:after="0"/>
      <w:ind w:left="0" w:right="0" w:hanging="0"/>
    </w:pPr>
    <w:rPr/>
  </w:style>
  <w:style w:type="paragraph" w:styleId="55">
    <w:name w:val="Список 5 конец"/>
    <w:basedOn w:val="Style31"/>
    <w:next w:val="ListNumber"/>
    <w:qFormat/>
    <w:pPr>
      <w:spacing w:before="0" w:after="0"/>
      <w:ind w:left="0" w:right="0" w:hanging="0"/>
    </w:pPr>
    <w:rPr/>
  </w:style>
  <w:style w:type="paragraph" w:styleId="ListContinue5">
    <w:name w:val="List Continue 5"/>
    <w:basedOn w:val="Style31"/>
    <w:qFormat/>
    <w:pPr>
      <w:spacing w:before="0" w:after="0"/>
      <w:ind w:left="0" w:right="0" w:hanging="0"/>
    </w:pPr>
    <w:rPr/>
  </w:style>
  <w:style w:type="paragraph" w:styleId="Style42">
    <w:name w:val="Index Heading"/>
    <w:basedOn w:val="Style29"/>
    <w:pPr>
      <w:ind w:left="0" w:right="0" w:hanging="0"/>
    </w:pPr>
    <w:rPr/>
  </w:style>
  <w:style w:type="paragraph" w:styleId="16">
    <w:name w:val="Index 1"/>
    <w:basedOn w:val="Style33"/>
    <w:pPr>
      <w:ind w:left="0" w:right="0" w:hanging="0"/>
    </w:pPr>
    <w:rPr/>
  </w:style>
  <w:style w:type="paragraph" w:styleId="27">
    <w:name w:val="Index 2"/>
    <w:basedOn w:val="Style33"/>
    <w:pPr>
      <w:ind w:left="0" w:right="0" w:hanging="0"/>
    </w:pPr>
    <w:rPr/>
  </w:style>
  <w:style w:type="paragraph" w:styleId="37">
    <w:name w:val="Index 3"/>
    <w:basedOn w:val="Style33"/>
    <w:pPr>
      <w:ind w:left="0" w:right="0" w:hanging="0"/>
    </w:pPr>
    <w:rPr/>
  </w:style>
  <w:style w:type="paragraph" w:styleId="Style43">
    <w:name w:val="Разделитель предметного указателя"/>
    <w:basedOn w:val="Style33"/>
    <w:qFormat/>
    <w:pPr>
      <w:ind w:left="0" w:right="0" w:hanging="0"/>
    </w:pPr>
    <w:rPr/>
  </w:style>
  <w:style w:type="paragraph" w:styleId="Style44">
    <w:name w:val="TOC Heading"/>
    <w:basedOn w:val="Style29"/>
    <w:next w:val="17"/>
    <w:pPr>
      <w:ind w:left="0" w:right="0" w:hanging="0"/>
    </w:pPr>
    <w:rPr/>
  </w:style>
  <w:style w:type="paragraph" w:styleId="17">
    <w:name w:val="TOC 1"/>
    <w:basedOn w:val="Style33"/>
    <w:pPr>
      <w:tabs>
        <w:tab w:val="clear" w:pos="709"/>
        <w:tab w:val="right" w:pos="9638" w:leader="dot"/>
      </w:tabs>
      <w:ind w:left="0" w:right="0" w:hanging="0"/>
    </w:pPr>
    <w:rPr/>
  </w:style>
  <w:style w:type="paragraph" w:styleId="28">
    <w:name w:val="TOC 2"/>
    <w:basedOn w:val="Style33"/>
    <w:pPr>
      <w:tabs>
        <w:tab w:val="clear" w:pos="709"/>
        <w:tab w:val="right" w:pos="9355" w:leader="dot"/>
      </w:tabs>
      <w:ind w:left="0" w:right="0" w:hanging="0"/>
    </w:pPr>
    <w:rPr/>
  </w:style>
  <w:style w:type="paragraph" w:styleId="38">
    <w:name w:val="TOC 3"/>
    <w:basedOn w:val="Style33"/>
    <w:pPr>
      <w:tabs>
        <w:tab w:val="clear" w:pos="709"/>
        <w:tab w:val="right" w:pos="9072" w:leader="dot"/>
      </w:tabs>
      <w:ind w:left="0" w:right="0" w:hanging="0"/>
    </w:pPr>
    <w:rPr/>
  </w:style>
  <w:style w:type="paragraph" w:styleId="46">
    <w:name w:val="TOC 4"/>
    <w:basedOn w:val="Style33"/>
    <w:pPr>
      <w:tabs>
        <w:tab w:val="clear" w:pos="709"/>
        <w:tab w:val="right" w:pos="8789" w:leader="dot"/>
      </w:tabs>
      <w:ind w:left="0" w:right="0" w:hanging="0"/>
    </w:pPr>
    <w:rPr/>
  </w:style>
  <w:style w:type="paragraph" w:styleId="56">
    <w:name w:val="TOC 5"/>
    <w:basedOn w:val="Style33"/>
    <w:pPr>
      <w:tabs>
        <w:tab w:val="clear" w:pos="709"/>
        <w:tab w:val="right" w:pos="8506" w:leader="dot"/>
      </w:tabs>
      <w:ind w:left="0" w:right="0" w:hanging="0"/>
    </w:pPr>
    <w:rPr/>
  </w:style>
  <w:style w:type="paragraph" w:styleId="Style45">
    <w:name w:val="Заголовок указателей пользователя"/>
    <w:basedOn w:val="Style29"/>
    <w:qFormat/>
    <w:pPr/>
    <w:rPr/>
  </w:style>
  <w:style w:type="paragraph" w:styleId="18">
    <w:name w:val="Указатель пользователя 1"/>
    <w:basedOn w:val="Style33"/>
    <w:qFormat/>
    <w:pPr>
      <w:tabs>
        <w:tab w:val="clear" w:pos="709"/>
        <w:tab w:val="right" w:pos="9638" w:leader="dot"/>
      </w:tabs>
      <w:ind w:left="0" w:right="0" w:hanging="0"/>
    </w:pPr>
    <w:rPr/>
  </w:style>
  <w:style w:type="paragraph" w:styleId="29">
    <w:name w:val="Указатель пользователя 2"/>
    <w:basedOn w:val="Style33"/>
    <w:qFormat/>
    <w:pPr>
      <w:tabs>
        <w:tab w:val="clear" w:pos="709"/>
        <w:tab w:val="right" w:pos="9355" w:leader="dot"/>
      </w:tabs>
      <w:ind w:left="0" w:right="0" w:hanging="0"/>
    </w:pPr>
    <w:rPr/>
  </w:style>
  <w:style w:type="paragraph" w:styleId="39">
    <w:name w:val="Указатель пользователя 3"/>
    <w:basedOn w:val="Style33"/>
    <w:qFormat/>
    <w:pPr>
      <w:tabs>
        <w:tab w:val="clear" w:pos="709"/>
        <w:tab w:val="right" w:pos="9072" w:leader="dot"/>
      </w:tabs>
      <w:ind w:left="0" w:right="0" w:hanging="0"/>
    </w:pPr>
    <w:rPr/>
  </w:style>
  <w:style w:type="paragraph" w:styleId="47">
    <w:name w:val="Указатель пользователя 4"/>
    <w:basedOn w:val="Style33"/>
    <w:qFormat/>
    <w:pPr>
      <w:tabs>
        <w:tab w:val="clear" w:pos="709"/>
        <w:tab w:val="right" w:pos="8789" w:leader="dot"/>
      </w:tabs>
      <w:ind w:left="0" w:right="0" w:hanging="0"/>
    </w:pPr>
    <w:rPr/>
  </w:style>
  <w:style w:type="paragraph" w:styleId="57">
    <w:name w:val="Указатель пользователя 5"/>
    <w:basedOn w:val="Style33"/>
    <w:qFormat/>
    <w:pPr>
      <w:tabs>
        <w:tab w:val="clear" w:pos="709"/>
        <w:tab w:val="right" w:pos="8506" w:leader="dot"/>
      </w:tabs>
      <w:ind w:left="0" w:right="0" w:hanging="0"/>
    </w:pPr>
    <w:rPr/>
  </w:style>
  <w:style w:type="paragraph" w:styleId="61">
    <w:name w:val="TOC 6"/>
    <w:basedOn w:val="Style33"/>
    <w:pPr>
      <w:tabs>
        <w:tab w:val="clear" w:pos="709"/>
        <w:tab w:val="right" w:pos="8223" w:leader="dot"/>
      </w:tabs>
      <w:ind w:left="0" w:right="0" w:hanging="0"/>
    </w:pPr>
    <w:rPr/>
  </w:style>
  <w:style w:type="paragraph" w:styleId="71">
    <w:name w:val="TOC 7"/>
    <w:basedOn w:val="Style33"/>
    <w:pPr>
      <w:tabs>
        <w:tab w:val="clear" w:pos="709"/>
        <w:tab w:val="right" w:pos="7940" w:leader="dot"/>
      </w:tabs>
      <w:ind w:left="0" w:right="0" w:hanging="0"/>
    </w:pPr>
    <w:rPr/>
  </w:style>
  <w:style w:type="paragraph" w:styleId="81">
    <w:name w:val="TOC 8"/>
    <w:basedOn w:val="Style33"/>
    <w:pPr>
      <w:tabs>
        <w:tab w:val="clear" w:pos="709"/>
        <w:tab w:val="right" w:pos="7657" w:leader="dot"/>
      </w:tabs>
      <w:ind w:left="0" w:right="0" w:hanging="0"/>
    </w:pPr>
    <w:rPr/>
  </w:style>
  <w:style w:type="paragraph" w:styleId="91">
    <w:name w:val="TOC 9"/>
    <w:basedOn w:val="Style33"/>
    <w:pPr>
      <w:tabs>
        <w:tab w:val="clear" w:pos="709"/>
        <w:tab w:val="right" w:pos="7374" w:leader="dot"/>
      </w:tabs>
      <w:ind w:left="0" w:right="0" w:hanging="0"/>
    </w:pPr>
    <w:rPr/>
  </w:style>
  <w:style w:type="paragraph" w:styleId="101">
    <w:name w:val="Оглавление 10"/>
    <w:basedOn w:val="Style33"/>
    <w:qFormat/>
    <w:pPr>
      <w:tabs>
        <w:tab w:val="clear" w:pos="709"/>
        <w:tab w:val="right" w:pos="7091" w:leader="dot"/>
      </w:tabs>
      <w:ind w:left="0" w:right="0" w:hanging="0"/>
    </w:pPr>
    <w:rPr/>
  </w:style>
  <w:style w:type="paragraph" w:styleId="IllustrationIndex1">
    <w:name w:val="Illustration Index 1"/>
    <w:basedOn w:val="Style33"/>
    <w:qFormat/>
    <w:pPr>
      <w:tabs>
        <w:tab w:val="clear" w:pos="709"/>
        <w:tab w:val="right" w:pos="9638" w:leader="dot"/>
      </w:tabs>
      <w:ind w:left="0" w:right="0" w:hanging="0"/>
    </w:pPr>
    <w:rPr/>
  </w:style>
  <w:style w:type="paragraph" w:styleId="Style46">
    <w:name w:val="Заголовок списка объектов"/>
    <w:basedOn w:val="Style29"/>
    <w:qFormat/>
    <w:pPr>
      <w:ind w:left="0" w:right="0" w:hanging="0"/>
    </w:pPr>
    <w:rPr/>
  </w:style>
  <w:style w:type="paragraph" w:styleId="19">
    <w:name w:val="Список объектов 1"/>
    <w:basedOn w:val="Style33"/>
    <w:qFormat/>
    <w:pPr>
      <w:tabs>
        <w:tab w:val="clear" w:pos="709"/>
        <w:tab w:val="right" w:pos="9638" w:leader="dot"/>
      </w:tabs>
      <w:ind w:left="0" w:right="0" w:hanging="0"/>
    </w:pPr>
    <w:rPr/>
  </w:style>
  <w:style w:type="paragraph" w:styleId="Style47">
    <w:name w:val="Заголовок списка таблиц"/>
    <w:basedOn w:val="Style29"/>
    <w:qFormat/>
    <w:pPr>
      <w:ind w:left="0" w:right="0" w:hanging="0"/>
    </w:pPr>
    <w:rPr/>
  </w:style>
  <w:style w:type="paragraph" w:styleId="110">
    <w:name w:val="Список таблиц 1"/>
    <w:basedOn w:val="Style33"/>
    <w:qFormat/>
    <w:pPr>
      <w:tabs>
        <w:tab w:val="clear" w:pos="709"/>
        <w:tab w:val="right" w:pos="9638" w:leader="dot"/>
      </w:tabs>
      <w:ind w:left="0" w:right="0" w:hanging="0"/>
    </w:pPr>
    <w:rPr/>
  </w:style>
  <w:style w:type="paragraph" w:styleId="TableofAuthorities">
    <w:name w:val="Table of Authorities"/>
    <w:basedOn w:val="Style29"/>
    <w:qFormat/>
    <w:pPr>
      <w:ind w:left="0" w:right="0" w:hanging="0"/>
    </w:pPr>
    <w:rPr/>
  </w:style>
  <w:style w:type="paragraph" w:styleId="111">
    <w:name w:val="Библиография 1"/>
    <w:basedOn w:val="Style33"/>
    <w:qFormat/>
    <w:pPr>
      <w:tabs>
        <w:tab w:val="clear" w:pos="709"/>
        <w:tab w:val="right" w:pos="9638" w:leader="dot"/>
      </w:tabs>
      <w:ind w:left="0" w:right="0" w:hanging="0"/>
    </w:pPr>
    <w:rPr/>
  </w:style>
  <w:style w:type="paragraph" w:styleId="62">
    <w:name w:val="Указатель пользователя 6"/>
    <w:basedOn w:val="Style33"/>
    <w:qFormat/>
    <w:pPr>
      <w:tabs>
        <w:tab w:val="clear" w:pos="709"/>
        <w:tab w:val="right" w:pos="8223" w:leader="dot"/>
      </w:tabs>
      <w:ind w:left="0" w:right="0" w:hanging="0"/>
    </w:pPr>
    <w:rPr/>
  </w:style>
  <w:style w:type="paragraph" w:styleId="72">
    <w:name w:val="Указатель пользователя 7"/>
    <w:basedOn w:val="Style33"/>
    <w:qFormat/>
    <w:pPr>
      <w:tabs>
        <w:tab w:val="clear" w:pos="709"/>
        <w:tab w:val="right" w:pos="7940" w:leader="dot"/>
      </w:tabs>
      <w:ind w:left="0" w:right="0" w:hanging="0"/>
    </w:pPr>
    <w:rPr/>
  </w:style>
  <w:style w:type="paragraph" w:styleId="82">
    <w:name w:val="Указатель пользователя 8"/>
    <w:basedOn w:val="Style33"/>
    <w:qFormat/>
    <w:pPr>
      <w:tabs>
        <w:tab w:val="clear" w:pos="709"/>
        <w:tab w:val="right" w:pos="7657" w:leader="dot"/>
      </w:tabs>
      <w:ind w:left="0" w:right="0" w:hanging="0"/>
    </w:pPr>
    <w:rPr/>
  </w:style>
  <w:style w:type="paragraph" w:styleId="92">
    <w:name w:val="Указатель пользователя 9"/>
    <w:basedOn w:val="Style33"/>
    <w:qFormat/>
    <w:pPr>
      <w:tabs>
        <w:tab w:val="clear" w:pos="709"/>
        <w:tab w:val="right" w:pos="7374" w:leader="dot"/>
      </w:tabs>
      <w:ind w:left="0" w:right="0" w:hanging="0"/>
    </w:pPr>
    <w:rPr/>
  </w:style>
  <w:style w:type="paragraph" w:styleId="102">
    <w:name w:val="Указатель пользователя 10"/>
    <w:basedOn w:val="Style33"/>
    <w:qFormat/>
    <w:pPr>
      <w:tabs>
        <w:tab w:val="clear" w:pos="709"/>
        <w:tab w:val="right" w:pos="7091" w:leader="dot"/>
      </w:tabs>
      <w:ind w:left="0" w:right="0" w:hanging="0"/>
    </w:pPr>
    <w:rPr/>
  </w:style>
  <w:style w:type="paragraph" w:styleId="Style48">
    <w:name w:val="Колонтитул"/>
    <w:basedOn w:val="Normal"/>
    <w:qFormat/>
    <w:pPr>
      <w:suppressLineNumbers/>
      <w:tabs>
        <w:tab w:val="clear" w:pos="709"/>
        <w:tab w:val="center" w:pos="4819" w:leader="none"/>
        <w:tab w:val="right" w:pos="9638" w:leader="none"/>
      </w:tabs>
    </w:pPr>
    <w:rPr/>
  </w:style>
  <w:style w:type="paragraph" w:styleId="Style49">
    <w:name w:val="Header"/>
    <w:basedOn w:val="Normal"/>
    <w:pPr>
      <w:tabs>
        <w:tab w:val="clear" w:pos="709"/>
        <w:tab w:val="center" w:pos="4819" w:leader="none"/>
        <w:tab w:val="right" w:pos="9638" w:leader="none"/>
      </w:tabs>
      <w:jc w:val="center"/>
    </w:pPr>
    <w:rPr/>
  </w:style>
  <w:style w:type="paragraph" w:styleId="Style50">
    <w:name w:val="Верхний колонтитул слева"/>
    <w:basedOn w:val="Normal"/>
    <w:qFormat/>
    <w:pPr>
      <w:tabs>
        <w:tab w:val="clear" w:pos="709"/>
        <w:tab w:val="center" w:pos="4819" w:leader="none"/>
        <w:tab w:val="right" w:pos="9638" w:leader="none"/>
      </w:tabs>
      <w:jc w:val="left"/>
    </w:pPr>
    <w:rPr/>
  </w:style>
  <w:style w:type="paragraph" w:styleId="Style51">
    <w:name w:val="Верхний колонтитул справа"/>
    <w:basedOn w:val="Normal"/>
    <w:qFormat/>
    <w:pPr>
      <w:tabs>
        <w:tab w:val="clear" w:pos="709"/>
        <w:tab w:val="center" w:pos="4819" w:leader="none"/>
        <w:tab w:val="right" w:pos="9638" w:leader="none"/>
      </w:tabs>
      <w:jc w:val="right"/>
    </w:pPr>
    <w:rPr/>
  </w:style>
  <w:style w:type="paragraph" w:styleId="Style52">
    <w:name w:val="Footer"/>
    <w:basedOn w:val="Normal"/>
    <w:pPr>
      <w:tabs>
        <w:tab w:val="clear" w:pos="709"/>
        <w:tab w:val="center" w:pos="4819" w:leader="none"/>
        <w:tab w:val="right" w:pos="9638" w:leader="none"/>
      </w:tabs>
      <w:jc w:val="center"/>
    </w:pPr>
    <w:rPr/>
  </w:style>
  <w:style w:type="paragraph" w:styleId="Style53">
    <w:name w:val="Нижний колонтитул слева"/>
    <w:basedOn w:val="Normal"/>
    <w:qFormat/>
    <w:pPr>
      <w:tabs>
        <w:tab w:val="clear" w:pos="709"/>
        <w:tab w:val="center" w:pos="4819" w:leader="none"/>
        <w:tab w:val="right" w:pos="9638" w:leader="none"/>
      </w:tabs>
      <w:jc w:val="left"/>
    </w:pPr>
    <w:rPr/>
  </w:style>
  <w:style w:type="paragraph" w:styleId="Style54">
    <w:name w:val="Нижний колонтитул справа"/>
    <w:basedOn w:val="Normal"/>
    <w:qFormat/>
    <w:pPr>
      <w:tabs>
        <w:tab w:val="clear" w:pos="709"/>
        <w:tab w:val="center" w:pos="4819" w:leader="none"/>
        <w:tab w:val="right" w:pos="9638" w:leader="none"/>
      </w:tabs>
      <w:jc w:val="right"/>
    </w:pPr>
    <w:rPr/>
  </w:style>
  <w:style w:type="paragraph" w:styleId="Style55">
    <w:name w:val="Содержимое таблицы"/>
    <w:basedOn w:val="Normal"/>
    <w:qFormat/>
    <w:pPr/>
    <w:rPr/>
  </w:style>
  <w:style w:type="paragraph" w:styleId="Style56">
    <w:name w:val="Заголовок таблицы"/>
    <w:basedOn w:val="Style55"/>
    <w:qFormat/>
    <w:pPr>
      <w:jc w:val="center"/>
    </w:pPr>
    <w:rPr>
      <w:b/>
    </w:rPr>
  </w:style>
  <w:style w:type="paragraph" w:styleId="Style57">
    <w:name w:val="Иллюстрация"/>
    <w:basedOn w:val="Style32"/>
    <w:qFormat/>
    <w:pPr/>
    <w:rPr/>
  </w:style>
  <w:style w:type="paragraph" w:styleId="Style58">
    <w:name w:val="Таблица"/>
    <w:basedOn w:val="Style32"/>
    <w:qFormat/>
    <w:pPr/>
    <w:rPr/>
  </w:style>
  <w:style w:type="paragraph" w:styleId="Style59">
    <w:name w:val="Текст"/>
    <w:basedOn w:val="Style32"/>
    <w:qFormat/>
    <w:pPr/>
    <w:rPr/>
  </w:style>
  <w:style w:type="paragraph" w:styleId="Style60">
    <w:name w:val="Содержимое врезки"/>
    <w:basedOn w:val="Normal"/>
    <w:qFormat/>
    <w:pPr/>
    <w:rPr/>
  </w:style>
  <w:style w:type="paragraph" w:styleId="Style61">
    <w:name w:val="Footnote Text"/>
    <w:basedOn w:val="Normal"/>
    <w:pPr>
      <w:ind w:left="0" w:right="0" w:hanging="0"/>
      <w:jc w:val="left"/>
    </w:pPr>
    <w:rPr>
      <w:sz w:val="28"/>
      <w:szCs w:val="24"/>
    </w:rPr>
  </w:style>
  <w:style w:type="paragraph" w:styleId="Style62">
    <w:name w:val="Envelope Address"/>
    <w:basedOn w:val="Normal"/>
    <w:pPr>
      <w:spacing w:before="0" w:after="0"/>
    </w:pPr>
    <w:rPr/>
  </w:style>
  <w:style w:type="paragraph" w:styleId="Style63">
    <w:name w:val="Envelope Return"/>
    <w:basedOn w:val="Normal"/>
    <w:pPr>
      <w:spacing w:before="0" w:after="0"/>
    </w:pPr>
    <w:rPr/>
  </w:style>
  <w:style w:type="paragraph" w:styleId="Style64">
    <w:name w:val="Endnote Text"/>
    <w:basedOn w:val="Normal"/>
    <w:pPr>
      <w:ind w:left="0" w:right="0" w:hanging="0"/>
    </w:pPr>
    <w:rPr>
      <w:sz w:val="28"/>
      <w:szCs w:val="24"/>
    </w:rPr>
  </w:style>
  <w:style w:type="paragraph" w:styleId="TableofFigures">
    <w:name w:val="Table of Figures"/>
    <w:basedOn w:val="Style32"/>
    <w:qFormat/>
    <w:pPr/>
    <w:rPr/>
  </w:style>
  <w:style w:type="paragraph" w:styleId="Style65">
    <w:name w:val="Текст в заданном формате"/>
    <w:basedOn w:val="Normal"/>
    <w:qFormat/>
    <w:pPr>
      <w:spacing w:before="0" w:after="0"/>
    </w:pPr>
    <w:rPr>
      <w:rFonts w:ascii="PT Astra Serif" w:hAnsi="PT Astra Serif" w:eastAsia="Source Han Sans CN Regular" w:cs="Lohit Devanagari"/>
      <w:sz w:val="28"/>
      <w:szCs w:val="24"/>
    </w:rPr>
  </w:style>
  <w:style w:type="paragraph" w:styleId="Style66">
    <w:name w:val="Горизонтальная линия"/>
    <w:basedOn w:val="Normal"/>
    <w:next w:val="Style30"/>
    <w:qFormat/>
    <w:pPr>
      <w:pBdr>
        <w:bottom w:val="single" w:sz="8" w:space="0" w:color="000000"/>
      </w:pBdr>
      <w:spacing w:before="0" w:after="0"/>
    </w:pPr>
    <w:rPr>
      <w:sz w:val="4"/>
      <w:szCs w:val="24"/>
    </w:rPr>
  </w:style>
  <w:style w:type="paragraph" w:styleId="Style67">
    <w:name w:val="Содержимое списка"/>
    <w:basedOn w:val="Normal"/>
    <w:qFormat/>
    <w:pPr>
      <w:ind w:left="0" w:right="0" w:hanging="0"/>
    </w:pPr>
    <w:rPr/>
  </w:style>
  <w:style w:type="paragraph" w:styleId="Style68">
    <w:name w:val="Заголовок списка"/>
    <w:basedOn w:val="Normal"/>
    <w:next w:val="Style67"/>
    <w:qFormat/>
    <w:pPr>
      <w:ind w:left="0" w:right="0" w:hanging="0"/>
    </w:pPr>
    <w:rPr/>
  </w:style>
  <w:style w:type="paragraph" w:styleId="Style69">
    <w:name w:val="Гриф_Экземпляр"/>
    <w:basedOn w:val="Normal"/>
    <w:qFormat/>
    <w:pPr>
      <w:ind w:left="0" w:right="0" w:hanging="0"/>
    </w:pPr>
    <w:rPr>
      <w:sz w:val="24"/>
    </w:rPr>
  </w:style>
  <w:style w:type="paragraph" w:styleId="Style70">
    <w:name w:val="Исполнитель документа"/>
    <w:basedOn w:val="Normal"/>
    <w:qFormat/>
    <w:pPr>
      <w:jc w:val="left"/>
    </w:pPr>
    <w:rPr>
      <w:sz w:val="24"/>
    </w:rPr>
  </w:style>
  <w:style w:type="paragraph" w:styleId="Style71">
    <w:name w:val="Заголовок списка иллюстраций"/>
    <w:basedOn w:val="Style29"/>
    <w:qFormat/>
    <w:pPr>
      <w:suppressLineNumbers/>
      <w:ind w:left="0" w:right="0" w:hanging="0"/>
      <w:jc w:val="center"/>
    </w:pPr>
    <w:rPr/>
  </w:style>
  <w:style w:type="paragraph" w:styleId="S1">
    <w:name w:val="s_1"/>
    <w:basedOn w:val="Normal"/>
    <w:qFormat/>
    <w:pPr>
      <w:spacing w:lineRule="auto" w:line="240" w:beforeAutospacing="1" w:afterAutospacing="1"/>
    </w:pPr>
    <w:rPr>
      <w:rFonts w:ascii="Times New Roman" w:hAnsi="Times New Roman" w:eastAsia="Times New Roman" w:cs="Times New Roman"/>
      <w:sz w:val="24"/>
      <w:szCs w:val="24"/>
      <w:lang w:eastAsia="ru-RU"/>
    </w:rPr>
  </w:style>
  <w:style w:type="paragraph" w:styleId="ListParagraph">
    <w:name w:val="List Paragraph"/>
    <w:basedOn w:val="Normal"/>
    <w:qFormat/>
    <w:pPr>
      <w:spacing w:before="0" w:after="200"/>
      <w:ind w:left="720" w:hanging="0"/>
      <w:contextualSpacing/>
    </w:pPr>
    <w:rPr/>
  </w:style>
  <w:style w:type="paragraph" w:styleId="Style72">
    <w:name w:val="Осн_текст"/>
    <w:basedOn w:val="Style30"/>
    <w:qFormat/>
    <w:pPr>
      <w:spacing w:before="0" w:after="0"/>
      <w:ind w:firstLine="539"/>
    </w:pPr>
    <w:rPr>
      <w:lang w:val="ru-RU" w:eastAsia="ru-RU"/>
    </w:rPr>
  </w:style>
  <w:style w:type="paragraph" w:styleId="Style73">
    <w:name w:val="Оглавл"/>
    <w:basedOn w:val="Style38"/>
    <w:qFormat/>
    <w:pPr>
      <w:spacing w:before="0" w:after="0"/>
      <w:ind w:left="0" w:hanging="0"/>
      <w:jc w:val="center"/>
    </w:pPr>
    <w:rPr>
      <w:b/>
      <w:bCs/>
      <w:szCs w:val="20"/>
    </w:rPr>
  </w:style>
  <w:style w:type="paragraph" w:styleId="Style74">
    <w:name w:val="содержание"/>
    <w:basedOn w:val="1"/>
    <w:next w:val="Normal"/>
    <w:qFormat/>
    <w:pPr>
      <w:numPr>
        <w:ilvl w:val="0"/>
        <w:numId w:val="0"/>
      </w:numPr>
    </w:pPr>
    <w:rPr/>
  </w:style>
  <w:style w:type="paragraph" w:styleId="Tableoffigures1">
    <w:name w:val="table of figures"/>
    <w:basedOn w:val="Normal"/>
    <w:next w:val="Normal"/>
    <w:qFormat/>
    <w:pPr/>
    <w:rPr/>
  </w:style>
  <w:style w:type="paragraph" w:styleId="112">
    <w:name w:val="обычный 1"/>
    <w:basedOn w:val="Tableoffigures1"/>
    <w:qFormat/>
    <w:pPr>
      <w:spacing w:lineRule="auto" w:line="360"/>
      <w:ind w:firstLine="680"/>
    </w:pPr>
    <w:rPr>
      <w:color w:val="000000"/>
      <w:szCs w:val="20"/>
    </w:rPr>
  </w:style>
  <w:style w:type="paragraph" w:styleId="113">
    <w:name w:val="Обычный 1"/>
    <w:basedOn w:val="Normal"/>
    <w:qFormat/>
    <w:pPr>
      <w:spacing w:lineRule="auto" w:line="360"/>
      <w:ind w:firstLine="720"/>
    </w:pPr>
    <w:rPr>
      <w:sz w:val="20"/>
      <w:szCs w:val="20"/>
    </w:rPr>
  </w:style>
  <w:style w:type="paragraph" w:styleId="Style75">
    <w:name w:val="Шапка таблицы"/>
    <w:basedOn w:val="Normal"/>
    <w:qFormat/>
    <w:pPr>
      <w:ind w:hanging="0"/>
      <w:jc w:val="center"/>
    </w:pPr>
    <w:rPr>
      <w:sz w:val="24"/>
    </w:rPr>
  </w:style>
  <w:style w:type="paragraph" w:styleId="Style76">
    <w:name w:val="Текст в таблицах"/>
    <w:basedOn w:val="Normal"/>
    <w:qFormat/>
    <w:pPr>
      <w:ind w:hanging="0"/>
      <w:jc w:val="left"/>
    </w:pPr>
    <w:rPr>
      <w:sz w:val="24"/>
    </w:rPr>
  </w:style>
  <w:style w:type="paragraph" w:styleId="114">
    <w:name w:val="Шапка таблицы + 11 пт"/>
    <w:basedOn w:val="Style75"/>
    <w:qFormat/>
    <w:pPr/>
    <w:rPr>
      <w:sz w:val="22"/>
    </w:rPr>
  </w:style>
  <w:style w:type="paragraph" w:styleId="Default">
    <w:name w:val="Default"/>
    <w:qFormat/>
    <w:pPr>
      <w:widowControl/>
      <w:bidi w:val="0"/>
      <w:spacing w:before="0" w:after="0"/>
      <w:jc w:val="left"/>
    </w:pPr>
    <w:rPr>
      <w:rFonts w:ascii="Liberation Serif" w:hAnsi="Liberation Serif" w:eastAsia="Source Han Sans CN Regular" w:cs="Lohit Devanagari"/>
      <w:color w:val="000000"/>
      <w:kern w:val="2"/>
      <w:sz w:val="24"/>
      <w:szCs w:val="24"/>
      <w:lang w:val="ru-RU" w:eastAsia="ru-RU" w:bidi="ru-RU"/>
    </w:rPr>
  </w:style>
  <w:style w:type="paragraph" w:styleId="Style77">
    <w:name w:val="ОсновнойРПС"/>
    <w:basedOn w:val="Style38"/>
    <w:qFormat/>
    <w:pPr>
      <w:spacing w:lineRule="auto" w:line="360" w:before="0" w:after="0"/>
      <w:ind w:left="0" w:firstLine="709"/>
    </w:pPr>
    <w:rPr>
      <w:szCs w:val="28"/>
    </w:rPr>
  </w:style>
  <w:style w:type="paragraph" w:styleId="ListBullet">
    <w:name w:val="List Bullet"/>
    <w:basedOn w:val="Normal"/>
    <w:qFormat/>
    <w:pPr>
      <w:numPr>
        <w:ilvl w:val="0"/>
        <w:numId w:val="5"/>
      </w:numPr>
      <w:tabs>
        <w:tab w:val="clear" w:pos="709"/>
        <w:tab w:val="left" w:pos="1080" w:leader="none"/>
      </w:tabs>
      <w:ind w:left="0" w:firstLine="720"/>
    </w:pPr>
    <w:rPr>
      <w:szCs w:val="28"/>
    </w:rPr>
  </w:style>
  <w:style w:type="paragraph" w:styleId="NoSpacing">
    <w:name w:val="No Spacing"/>
    <w:qFormat/>
    <w:pPr>
      <w:widowControl/>
      <w:bidi w:val="0"/>
      <w:spacing w:before="0" w:after="0"/>
      <w:jc w:val="left"/>
    </w:pPr>
    <w:rPr>
      <w:rFonts w:ascii="Calibri" w:hAnsi="Calibri" w:eastAsia="Source Han Sans CN Regular" w:cs="Lohit Devanagari"/>
      <w:color w:val="auto"/>
      <w:kern w:val="2"/>
      <w:sz w:val="22"/>
      <w:szCs w:val="22"/>
      <w:lang w:eastAsia="en-US" w:val="ru-RU" w:bidi="ru-RU"/>
    </w:rPr>
  </w:style>
  <w:style w:type="paragraph" w:styleId="BodyTextIndent2">
    <w:name w:val="Body Text Indent 2"/>
    <w:basedOn w:val="Normal"/>
    <w:qFormat/>
    <w:pPr>
      <w:spacing w:lineRule="auto" w:line="360"/>
      <w:ind w:firstLine="567"/>
      <w:jc w:val="left"/>
    </w:pPr>
    <w:rPr>
      <w:szCs w:val="20"/>
      <w:lang w:val="x-none" w:eastAsia="x-none"/>
    </w:rPr>
  </w:style>
  <w:style w:type="paragraph" w:styleId="Style78">
    <w:name w:val="Номер таблицы"/>
    <w:basedOn w:val="Normal"/>
    <w:next w:val="Style56"/>
    <w:qFormat/>
    <w:pPr>
      <w:ind w:hanging="0"/>
      <w:jc w:val="right"/>
    </w:pPr>
    <w:rPr/>
  </w:style>
  <w:style w:type="paragraph" w:styleId="Style79">
    <w:name w:val="Назв"/>
    <w:basedOn w:val="Style72"/>
    <w:qFormat/>
    <w:pPr>
      <w:spacing w:before="0" w:after="0"/>
      <w:ind w:hanging="0"/>
      <w:contextualSpacing/>
      <w:jc w:val="right"/>
    </w:pPr>
    <w:rPr>
      <w:szCs w:val="28"/>
      <w:lang w:val="x-none" w:eastAsia="x-none"/>
    </w:rPr>
  </w:style>
  <w:style w:type="paragraph" w:styleId="NormalWeb">
    <w:name w:val="Normal (Web)"/>
    <w:basedOn w:val="Normal"/>
    <w:qFormat/>
    <w:pPr>
      <w:spacing w:before="100" w:after="100"/>
      <w:ind w:hanging="0"/>
      <w:jc w:val="left"/>
    </w:pPr>
    <w:rPr>
      <w:rFonts w:ascii="Arial" w:hAnsi="Arial" w:eastAsia="Calibri"/>
      <w:sz w:val="18"/>
      <w:szCs w:val="20"/>
    </w:rPr>
  </w:style>
  <w:style w:type="paragraph" w:styleId="Style80">
    <w:name w:val="Обычный (веб)"/>
    <w:basedOn w:val="Normal"/>
    <w:qFormat/>
    <w:pPr>
      <w:spacing w:before="100" w:after="100"/>
      <w:ind w:hanging="0"/>
      <w:jc w:val="left"/>
    </w:pPr>
    <w:rPr>
      <w:rFonts w:ascii="Arial" w:hAnsi="Arial" w:eastAsia="Calibri" w:cs="Arial"/>
      <w:sz w:val="18"/>
      <w:szCs w:val="20"/>
    </w:rPr>
  </w:style>
  <w:style w:type="paragraph" w:styleId="Style81">
    <w:name w:val="Маркированный список"/>
    <w:basedOn w:val="Normal"/>
    <w:qFormat/>
    <w:pPr>
      <w:numPr>
        <w:ilvl w:val="0"/>
        <w:numId w:val="8"/>
      </w:numPr>
    </w:pPr>
    <w:rPr>
      <w:szCs w:val="28"/>
    </w:rPr>
  </w:style>
  <w:style w:type="paragraph" w:styleId="Style82">
    <w:name w:val="Полужирный"/>
    <w:basedOn w:val="Normal"/>
    <w:qFormat/>
    <w:pPr/>
    <w:rPr>
      <w:b/>
    </w:rPr>
  </w:style>
  <w:style w:type="paragraph" w:styleId="Style83">
    <w:name w:val="ОсновнойСТП"/>
    <w:basedOn w:val="Style38"/>
    <w:qFormat/>
    <w:pPr>
      <w:tabs>
        <w:tab w:val="clear" w:pos="709"/>
        <w:tab w:val="left" w:pos="1219" w:leader="none"/>
      </w:tabs>
      <w:spacing w:before="0" w:after="0"/>
      <w:ind w:left="0" w:firstLine="851"/>
    </w:pPr>
    <w:rPr>
      <w:szCs w:val="28"/>
    </w:rPr>
  </w:style>
  <w:style w:type="paragraph" w:styleId="Normal0">
    <w:name w:val="Normal 0"/>
    <w:basedOn w:val="Normal"/>
    <w:qFormat/>
    <w:pPr>
      <w:ind w:firstLine="567"/>
    </w:pPr>
    <w:rPr>
      <w:szCs w:val="28"/>
      <w:lang w:val="ru-RU"/>
    </w:rPr>
  </w:style>
  <w:style w:type="paragraph" w:styleId="210">
    <w:name w:val="Основной текст с отступом 2"/>
    <w:basedOn w:val="Normal"/>
    <w:qFormat/>
    <w:pPr>
      <w:spacing w:lineRule="auto" w:line="360"/>
      <w:ind w:firstLine="567"/>
      <w:jc w:val="left"/>
    </w:pPr>
    <w:rPr>
      <w:szCs w:val="20"/>
      <w:lang w:val="ru-RU"/>
    </w:rPr>
  </w:style>
  <w:style w:type="paragraph" w:styleId="Style84">
    <w:name w:val="Абзац списка"/>
    <w:basedOn w:val="Normal"/>
    <w:qFormat/>
    <w:pPr>
      <w:spacing w:lineRule="auto" w:line="312" w:before="0" w:after="0"/>
      <w:ind w:left="720" w:firstLine="709"/>
      <w:contextualSpacing/>
    </w:pPr>
    <w:rPr>
      <w:sz w:val="24"/>
      <w:szCs w:val="22"/>
      <w:lang w:val="ru-RU"/>
    </w:rPr>
  </w:style>
  <w:style w:type="paragraph" w:styleId="Style85">
    <w:name w:val="Красная строка"/>
    <w:basedOn w:val="Style30"/>
    <w:qFormat/>
    <w:pPr>
      <w:ind w:firstLine="210"/>
    </w:pPr>
    <w:rPr/>
  </w:style>
  <w:style w:type="paragraph" w:styleId="Style86">
    <w:name w:val="Без интервала"/>
    <w:qFormat/>
    <w:pPr>
      <w:widowControl/>
      <w:bidi w:val="0"/>
      <w:spacing w:before="0" w:after="0"/>
      <w:jc w:val="left"/>
    </w:pPr>
    <w:rPr>
      <w:rFonts w:ascii="Calibri" w:hAnsi="Calibri" w:eastAsia="Calibri" w:cs="Calibri"/>
      <w:color w:val="auto"/>
      <w:kern w:val="2"/>
      <w:sz w:val="22"/>
      <w:szCs w:val="22"/>
      <w:lang w:val="ru-RU" w:bidi="ar-SA" w:eastAsia="ru-RU"/>
    </w:rPr>
  </w:style>
  <w:style w:type="paragraph" w:styleId="Style87">
    <w:name w:val="Курсив"/>
    <w:basedOn w:val="Normal"/>
    <w:next w:val="Normal"/>
    <w:qFormat/>
    <w:pPr/>
    <w:rPr>
      <w:i/>
      <w:lang w:val="ru-RU"/>
    </w:rPr>
  </w:style>
  <w:style w:type="paragraph" w:styleId="TableParagraph">
    <w:name w:val="Table Paragraph"/>
    <w:basedOn w:val="Normal"/>
    <w:qFormat/>
    <w:pPr>
      <w:widowControl w:val="false"/>
      <w:autoSpaceDE w:val="false"/>
      <w:ind w:hanging="0"/>
      <w:jc w:val="left"/>
    </w:pPr>
    <w:rPr>
      <w:sz w:val="22"/>
      <w:szCs w:val="22"/>
      <w:lang w:bidi="ru-RU"/>
    </w:rPr>
  </w:style>
  <w:style w:type="paragraph" w:styleId="115">
    <w:name w:val="Табличный_боковик_11"/>
    <w:qFormat/>
    <w:pPr>
      <w:widowControl/>
      <w:bidi w:val="0"/>
      <w:spacing w:before="0" w:after="0"/>
      <w:jc w:val="left"/>
    </w:pPr>
    <w:rPr>
      <w:rFonts w:ascii="Times New Roman" w:hAnsi="Times New Roman" w:eastAsia="Times New Roman" w:cs="Times New Roman"/>
      <w:color w:val="auto"/>
      <w:kern w:val="2"/>
      <w:sz w:val="22"/>
      <w:szCs w:val="24"/>
      <w:lang w:val="ru-RU" w:bidi="ar-SA" w:eastAsia="ru-RU"/>
    </w:rPr>
  </w:style>
  <w:style w:type="paragraph" w:styleId="116">
    <w:name w:val="таб1"/>
    <w:basedOn w:val="Normal"/>
    <w:next w:val="Style88"/>
    <w:qFormat/>
    <w:pPr>
      <w:ind w:firstLine="700"/>
      <w:jc w:val="right"/>
    </w:pPr>
    <w:rPr>
      <w:color w:val="000000"/>
      <w:szCs w:val="28"/>
    </w:rPr>
  </w:style>
  <w:style w:type="paragraph" w:styleId="Style88">
    <w:name w:val="Название объекта"/>
    <w:basedOn w:val="Normal"/>
    <w:next w:val="Normal"/>
    <w:qFormat/>
    <w:pPr/>
    <w:rPr>
      <w:b/>
      <w:bCs/>
      <w:sz w:val="20"/>
      <w:szCs w:val="20"/>
      <w:lang w:val="ru-RU"/>
    </w:rPr>
  </w:style>
  <w:style w:type="paragraph" w:styleId="Style89">
    <w:name w:val="Маркированный"/>
    <w:basedOn w:val="Normal"/>
    <w:qFormat/>
    <w:pPr>
      <w:numPr>
        <w:ilvl w:val="0"/>
        <w:numId w:val="9"/>
      </w:numPr>
    </w:pPr>
    <w:rPr>
      <w:lang w:val="ru-RU"/>
    </w:rPr>
  </w:style>
  <w:style w:type="paragraph" w:styleId="Style90">
    <w:name w:val="Обычный + номер"/>
    <w:basedOn w:val="Normal"/>
    <w:qFormat/>
    <w:pPr>
      <w:numPr>
        <w:ilvl w:val="0"/>
        <w:numId w:val="18"/>
      </w:numPr>
    </w:pPr>
    <w:rPr>
      <w:lang w:val="ru-RU"/>
    </w:rPr>
  </w:style>
  <w:style w:type="paragraph" w:styleId="Name0">
    <w:name w:val="Name 0"/>
    <w:basedOn w:val="Normal"/>
    <w:qFormat/>
    <w:pPr>
      <w:keepNext w:val="true"/>
      <w:spacing w:lineRule="auto" w:line="240" w:before="0" w:after="120"/>
      <w:jc w:val="center"/>
    </w:pPr>
    <w:rPr>
      <w:rFonts w:ascii="Times New Roman" w:hAnsi="Times New Roman" w:eastAsia="Times New Roman" w:cs="Times New Roman"/>
      <w:i/>
      <w:sz w:val="28"/>
      <w:szCs w:val="28"/>
      <w:lang w:eastAsia="ru-RU"/>
    </w:rPr>
  </w:style>
  <w:style w:type="paragraph" w:styleId="Table0">
    <w:name w:val="Table 0"/>
    <w:basedOn w:val="Name0"/>
    <w:qFormat/>
    <w:pPr>
      <w:numPr>
        <w:ilvl w:val="2"/>
        <w:numId w:val="27"/>
      </w:numPr>
      <w:suppressAutoHyphens w:val="true"/>
      <w:spacing w:before="120" w:after="0"/>
      <w:jc w:val="right"/>
    </w:pPr>
    <w:rPr>
      <w:i w:val="false"/>
      <w:szCs w:val="24"/>
    </w:rPr>
  </w:style>
  <w:style w:type="paragraph" w:styleId="311">
    <w:name w:val="Основной текст с отступом 31"/>
    <w:basedOn w:val="Normal"/>
    <w:qFormat/>
    <w:pPr>
      <w:spacing w:lineRule="atLeast" w:line="240" w:before="0" w:after="0"/>
      <w:ind w:firstLine="709"/>
      <w:jc w:val="both"/>
    </w:pPr>
    <w:rPr>
      <w:rFonts w:ascii="Arial" w:hAnsi="Arial" w:eastAsia="Times New Roman" w:cs="Times New Roman"/>
      <w:sz w:val="24"/>
      <w:szCs w:val="20"/>
      <w:lang w:eastAsia="ru-RU"/>
    </w:rPr>
  </w:style>
  <w:style w:type="paragraph" w:styleId="Style91">
    <w:name w:val="Маркер"/>
    <w:basedOn w:val="Style72"/>
    <w:qFormat/>
    <w:pPr>
      <w:numPr>
        <w:ilvl w:val="0"/>
        <w:numId w:val="28"/>
      </w:numPr>
    </w:pPr>
    <w:rPr>
      <w:szCs w:val="20"/>
    </w:rPr>
  </w:style>
  <w:style w:type="paragraph" w:styleId="Style92">
    <w:name w:val="обычный"/>
    <w:basedOn w:val="Normal"/>
    <w:qFormat/>
    <w:pPr>
      <w:widowControl w:val="false"/>
      <w:spacing w:lineRule="auto" w:line="240" w:before="0" w:after="60"/>
      <w:ind w:firstLine="567"/>
      <w:jc w:val="both"/>
    </w:pPr>
    <w:rPr>
      <w:rFonts w:ascii="Times New Roman" w:hAnsi="Times New Roman" w:eastAsia="Times New Roman" w:cs="Times New Roman"/>
      <w:sz w:val="20"/>
      <w:szCs w:val="20"/>
      <w:lang w:eastAsia="ru-RU"/>
    </w:rPr>
  </w:style>
  <w:style w:type="paragraph" w:styleId="ConsPlusNormal">
    <w:name w:val="ConsPlusNormal"/>
    <w:qFormat/>
    <w:pPr>
      <w:widowControl w:val="false"/>
      <w:bidi w:val="0"/>
      <w:spacing w:lineRule="auto" w:line="240" w:before="0" w:after="0"/>
      <w:jc w:val="left"/>
    </w:pPr>
    <w:rPr>
      <w:rFonts w:ascii="Calibri" w:hAnsi="Calibri" w:eastAsia="Times New Roman" w:cs="Calibri"/>
      <w:color w:val="auto"/>
      <w:kern w:val="2"/>
      <w:sz w:val="24"/>
      <w:szCs w:val="20"/>
      <w:lang w:eastAsia="ru-RU" w:val="ru-RU" w:bidi="ru-RU"/>
    </w:rPr>
  </w:style>
  <w:style w:type="paragraph" w:styleId="Annotationtext1">
    <w:name w:val="annotation text"/>
    <w:basedOn w:val="Normal"/>
    <w:qFormat/>
    <w:pPr>
      <w:spacing w:lineRule="auto" w:line="240"/>
    </w:pPr>
    <w:rPr>
      <w:sz w:val="20"/>
      <w:szCs w:val="20"/>
    </w:rPr>
  </w:style>
  <w:style w:type="paragraph" w:styleId="Style93">
    <w:name w:val="маркер"/>
    <w:basedOn w:val="Style72"/>
    <w:qFormat/>
    <w:pPr>
      <w:numPr>
        <w:ilvl w:val="0"/>
        <w:numId w:val="43"/>
      </w:numPr>
    </w:pPr>
    <w:rPr>
      <w:szCs w:val="28"/>
    </w:rPr>
  </w:style>
  <w:style w:type="paragraph" w:styleId="Style94">
    <w:name w:val="мал_маркер"/>
    <w:basedOn w:val="Style93"/>
    <w:qFormat/>
    <w:pPr>
      <w:numPr>
        <w:ilvl w:val="0"/>
        <w:numId w:val="0"/>
      </w:numPr>
      <w:tabs>
        <w:tab w:val="clear" w:pos="709"/>
        <w:tab w:val="left" w:pos="0" w:leader="none"/>
      </w:tabs>
      <w:ind w:left="851" w:firstLine="709"/>
    </w:pPr>
    <w:rPr>
      <w:sz w:val="20"/>
      <w:szCs w:val="20"/>
    </w:rPr>
  </w:style>
  <w:style w:type="paragraph" w:styleId="BodyTextIndent3">
    <w:name w:val="Body Text Indent 3"/>
    <w:basedOn w:val="Normal"/>
    <w:qFormat/>
    <w:pPr>
      <w:spacing w:before="0" w:after="120"/>
      <w:ind w:left="283" w:hanging="0"/>
    </w:pPr>
    <w:rPr>
      <w:sz w:val="16"/>
      <w:szCs w:val="16"/>
    </w:rPr>
  </w:style>
  <w:style w:type="paragraph" w:styleId="117">
    <w:name w:val="1"/>
    <w:basedOn w:val="Normal"/>
    <w:next w:val="Style35"/>
    <w:qFormat/>
    <w:pPr>
      <w:spacing w:lineRule="auto" w:line="240" w:before="0" w:after="120"/>
      <w:ind w:firstLine="720"/>
      <w:contextualSpacing/>
      <w:jc w:val="center"/>
    </w:pPr>
    <w:rPr>
      <w:b/>
      <w:sz w:val="28"/>
      <w:lang w:val="en-US" w:eastAsia="ru-RU"/>
    </w:rPr>
  </w:style>
  <w:style w:type="paragraph" w:styleId="ConsPlusTitle">
    <w:name w:val="ConsPlusTitle"/>
    <w:qFormat/>
    <w:pPr>
      <w:widowControl w:val="false"/>
      <w:bidi w:val="0"/>
      <w:spacing w:lineRule="auto" w:line="240" w:before="0" w:after="0"/>
      <w:jc w:val="left"/>
    </w:pPr>
    <w:rPr>
      <w:rFonts w:ascii="Arial" w:hAnsi="Arial" w:eastAsia="" w:cs="Arial" w:eastAsiaTheme="minorEastAsia"/>
      <w:b/>
      <w:bCs/>
      <w:color w:val="auto"/>
      <w:kern w:val="2"/>
      <w:sz w:val="24"/>
      <w:szCs w:val="24"/>
      <w:lang w:eastAsia="ru-RU" w:val="ru-RU" w:bidi="ru-RU"/>
    </w:rPr>
  </w:style>
  <w:style w:type="paragraph" w:styleId="BalloonText">
    <w:name w:val="Balloon Text"/>
    <w:basedOn w:val="Normal"/>
    <w:qFormat/>
    <w:pPr>
      <w:spacing w:lineRule="auto" w:line="240" w:before="0" w:after="0"/>
    </w:pPr>
    <w:rPr>
      <w:rFonts w:ascii="Tahoma" w:hAnsi="Tahoma" w:cs="Tahoma"/>
      <w:sz w:val="16"/>
      <w:szCs w:val="16"/>
    </w:rPr>
  </w:style>
  <w:style w:type="paragraph" w:styleId="211">
    <w:name w:val="ффф2"/>
    <w:basedOn w:val="Normal"/>
    <w:qFormat/>
    <w:pPr>
      <w:spacing w:lineRule="atLeast" w:line="240" w:before="0" w:after="0"/>
      <w:jc w:val="both"/>
    </w:pPr>
    <w:rPr>
      <w:rFonts w:ascii="Times New Roman" w:hAnsi="Times New Roman" w:eastAsia="Times New Roman" w:cs="Times New Roman"/>
      <w:sz w:val="28"/>
      <w:szCs w:val="20"/>
      <w:lang w:eastAsia="ru-RU"/>
    </w:rPr>
  </w:style>
  <w:style w:type="paragraph" w:styleId="Table1">
    <w:name w:val="Table 1"/>
    <w:basedOn w:val="Normal"/>
    <w:qFormat/>
    <w:pPr>
      <w:widowControl w:val="false"/>
      <w:spacing w:lineRule="auto" w:line="240" w:before="0" w:after="0"/>
      <w:textAlignment w:val="baseline"/>
    </w:pPr>
    <w:rPr>
      <w:rFonts w:ascii="Times New Roman" w:hAnsi="Times New Roman" w:eastAsia="Times New Roman" w:cs="Times New Roman"/>
      <w:sz w:val="20"/>
      <w:szCs w:val="20"/>
      <w:lang w:eastAsia="ru-RU"/>
    </w:rPr>
  </w:style>
  <w:style w:type="numbering" w:styleId="123">
    <w:name w:val="Нумерованный 123"/>
    <w:qFormat/>
  </w:style>
  <w:style w:type="numbering" w:styleId="ABC">
    <w:name w:val="Нумерованный ABC"/>
    <w:qFormat/>
  </w:style>
  <w:style w:type="numbering" w:styleId="Abc1">
    <w:name w:val="Нумерованный abc"/>
    <w:qFormat/>
  </w:style>
  <w:style w:type="numbering" w:styleId="IVX">
    <w:name w:val="Нумерованный IVX"/>
    <w:qFormat/>
  </w:style>
  <w:style w:type="numbering" w:styleId="Ivx1">
    <w:name w:val="Нумерованный ivx"/>
    <w:qFormat/>
  </w:style>
  <w:style w:type="numbering" w:styleId="Style95">
    <w:name w:val="Маркированный •"/>
    <w:qFormat/>
  </w:style>
  <w:style w:type="numbering" w:styleId="Style96">
    <w:name w:val="Маркированный –"/>
    <w:qFormat/>
  </w:style>
  <w:style w:type="numbering" w:styleId="Style97">
    <w:name w:val="Маркированный "/>
    <w:qFormat/>
  </w:style>
  <w:style w:type="numbering" w:styleId="Style98">
    <w:name w:val="Маркированный "/>
    <w:qFormat/>
  </w:style>
  <w:style w:type="numbering" w:styleId="Style99">
    <w:name w:val="Маркированный "/>
    <w:qFormat/>
  </w:style>
  <w:style w:type="numbering" w:styleId="118">
    <w:name w:val="Нумерованный 1)"/>
    <w:qFormat/>
  </w:style>
  <w:style w:type="numbering" w:styleId="Style100">
    <w:name w:val="Нумерованный а)"/>
    <w:qFormat/>
  </w:style>
  <w:style w:type="numbering" w:styleId="Style101">
    <w:name w:val="Нумерованный для таблиц"/>
    <w:qFormat/>
  </w:style>
  <w:style w:type="numbering" w:styleId="WW8Num58">
    <w:name w:val="WW8Num58"/>
    <w:qFormat/>
  </w:style>
  <w:style w:type="numbering" w:styleId="WW8Num6">
    <w:name w:val="WW8Num6"/>
    <w:qFormat/>
  </w:style>
  <w:style w:type="numbering" w:styleId="WW8Num21">
    <w:name w:val="WW8Num21"/>
    <w:qFormat/>
  </w:style>
  <w:style w:type="numbering" w:styleId="WW8Num72">
    <w:name w:val="WW8Num72"/>
    <w:qFormat/>
  </w:style>
  <w:style w:type="numbering" w:styleId="WW8Num35">
    <w:name w:val="WW8Num35"/>
    <w:qFormat/>
  </w:style>
  <w:style w:type="numbering" w:styleId="WW8Num20">
    <w:name w:val="WW8Num20"/>
    <w:qFormat/>
  </w:style>
  <w:style w:type="numbering" w:styleId="WW8Num1">
    <w:name w:val="WW8Num1"/>
    <w:qFormat/>
  </w:style>
  <w:style w:type="numbering" w:styleId="WW8Num8">
    <w:name w:val="WW8Num8"/>
    <w:qFormat/>
  </w:style>
  <w:style w:type="numbering" w:styleId="WW8Num49">
    <w:name w:val="WW8Num49"/>
    <w:qFormat/>
  </w:style>
  <w:style w:type="numbering" w:styleId="WW8Num82">
    <w:name w:val="WW8Num82"/>
    <w:qFormat/>
  </w:style>
  <w:style w:type="numbering" w:styleId="WW8Num77">
    <w:name w:val="WW8Num77"/>
    <w:qFormat/>
  </w:style>
  <w:style w:type="numbering" w:styleId="WW8Num29">
    <w:name w:val="WW8Num29"/>
    <w:qFormat/>
  </w:style>
  <w:style w:type="numbering" w:styleId="WW8Num37">
    <w:name w:val="WW8Num37"/>
    <w:qFormat/>
  </w:style>
  <w:style w:type="numbering" w:styleId="WW8Num57">
    <w:name w:val="WW8Num57"/>
    <w:qFormat/>
  </w:style>
  <w:style w:type="numbering" w:styleId="WW8Num3">
    <w:name w:val="WW8Num3"/>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footer" Target="footer4.xml"/><Relationship Id="rId7" Type="http://schemas.openxmlformats.org/officeDocument/2006/relationships/footer" Target="footer5.xml"/><Relationship Id="rId8" Type="http://schemas.openxmlformats.org/officeDocument/2006/relationships/footer" Target="footer6.xml"/><Relationship Id="rId9" Type="http://schemas.openxmlformats.org/officeDocument/2006/relationships/footer" Target="footer7.xml"/><Relationship Id="rId10" Type="http://schemas.openxmlformats.org/officeDocument/2006/relationships/footer" Target="footer8.xml"/><Relationship Id="rId11" Type="http://schemas.openxmlformats.org/officeDocument/2006/relationships/footer" Target="footer9.xml"/><Relationship Id="rId12" Type="http://schemas.openxmlformats.org/officeDocument/2006/relationships/footer" Target="footer10.xml"/><Relationship Id="rId13" Type="http://schemas.openxmlformats.org/officeDocument/2006/relationships/footer" Target="footer11.xml"/><Relationship Id="rId14" Type="http://schemas.openxmlformats.org/officeDocument/2006/relationships/footer" Target="footer12.xml"/><Relationship Id="rId15" Type="http://schemas.openxmlformats.org/officeDocument/2006/relationships/footer" Target="footer13.xml"/><Relationship Id="rId16" Type="http://schemas.openxmlformats.org/officeDocument/2006/relationships/footer" Target="footer14.xml"/><Relationship Id="rId17" Type="http://schemas.openxmlformats.org/officeDocument/2006/relationships/footer" Target="footer15.xml"/><Relationship Id="rId18" Type="http://schemas.openxmlformats.org/officeDocument/2006/relationships/footer" Target="footer16.xml"/><Relationship Id="rId19" Type="http://schemas.openxmlformats.org/officeDocument/2006/relationships/footer" Target="footer17.xml"/><Relationship Id="rId20" Type="http://schemas.openxmlformats.org/officeDocument/2006/relationships/footer" Target="footer18.xml"/><Relationship Id="rId21" Type="http://schemas.openxmlformats.org/officeDocument/2006/relationships/footer" Target="footer19.xml"/><Relationship Id="rId22" Type="http://schemas.openxmlformats.org/officeDocument/2006/relationships/footer" Target="footer20.xml"/><Relationship Id="rId23" Type="http://schemas.openxmlformats.org/officeDocument/2006/relationships/footer" Target="footer21.xml"/><Relationship Id="rId24" Type="http://schemas.openxmlformats.org/officeDocument/2006/relationships/footer" Target="footer22.xml"/><Relationship Id="rId25" Type="http://schemas.openxmlformats.org/officeDocument/2006/relationships/footer" Target="footer23.xml"/><Relationship Id="rId26" Type="http://schemas.openxmlformats.org/officeDocument/2006/relationships/footer" Target="footer24.xml"/><Relationship Id="rId27" Type="http://schemas.openxmlformats.org/officeDocument/2006/relationships/footer" Target="footer25.xml"/><Relationship Id="rId28" Type="http://schemas.openxmlformats.org/officeDocument/2006/relationships/footer" Target="footer26.xml"/><Relationship Id="rId29" Type="http://schemas.openxmlformats.org/officeDocument/2006/relationships/footer" Target="footer27.xml"/><Relationship Id="rId30" Type="http://schemas.openxmlformats.org/officeDocument/2006/relationships/footer" Target="footer28.xml"/><Relationship Id="rId31" Type="http://schemas.openxmlformats.org/officeDocument/2006/relationships/footer" Target="footer29.xml"/><Relationship Id="rId32" Type="http://schemas.openxmlformats.org/officeDocument/2006/relationships/footer" Target="footer30.xml"/><Relationship Id="rId33" Type="http://schemas.openxmlformats.org/officeDocument/2006/relationships/footer" Target="footer31.xml"/><Relationship Id="rId34" Type="http://schemas.openxmlformats.org/officeDocument/2006/relationships/footer" Target="footer32.xml"/><Relationship Id="rId35" Type="http://schemas.openxmlformats.org/officeDocument/2006/relationships/footer" Target="footer33.xml"/><Relationship Id="rId36" Type="http://schemas.openxmlformats.org/officeDocument/2006/relationships/footer" Target="footer34.xml"/><Relationship Id="rId37" Type="http://schemas.openxmlformats.org/officeDocument/2006/relationships/image" Target="media/image2.png"/><Relationship Id="rId38" Type="http://schemas.openxmlformats.org/officeDocument/2006/relationships/image" Target="media/image3.png"/><Relationship Id="rId39" Type="http://schemas.openxmlformats.org/officeDocument/2006/relationships/footer" Target="footer35.xml"/><Relationship Id="rId40" Type="http://schemas.openxmlformats.org/officeDocument/2006/relationships/footer" Target="footer36.xml"/><Relationship Id="rId41" Type="http://schemas.openxmlformats.org/officeDocument/2006/relationships/footer" Target="footer37.xml"/><Relationship Id="rId42" Type="http://schemas.openxmlformats.org/officeDocument/2006/relationships/image" Target="media/image4.wmf"/><Relationship Id="rId43" Type="http://schemas.openxmlformats.org/officeDocument/2006/relationships/footer" Target="footer38.xml"/><Relationship Id="rId44" Type="http://schemas.openxmlformats.org/officeDocument/2006/relationships/footer" Target="footer39.xml"/><Relationship Id="rId45" Type="http://schemas.openxmlformats.org/officeDocument/2006/relationships/footer" Target="footer40.xml"/><Relationship Id="rId46" Type="http://schemas.openxmlformats.org/officeDocument/2006/relationships/footer" Target="footer41.xml"/><Relationship Id="rId47" Type="http://schemas.openxmlformats.org/officeDocument/2006/relationships/footer" Target="footer42.xml"/><Relationship Id="rId48" Type="http://schemas.openxmlformats.org/officeDocument/2006/relationships/footer" Target="footer43.xml"/><Relationship Id="rId49" Type="http://schemas.openxmlformats.org/officeDocument/2006/relationships/footer" Target="footer44.xml"/><Relationship Id="rId50" Type="http://schemas.openxmlformats.org/officeDocument/2006/relationships/footer" Target="footer45.xml"/><Relationship Id="rId51" Type="http://schemas.openxmlformats.org/officeDocument/2006/relationships/footer" Target="footer46.xml"/><Relationship Id="rId52" Type="http://schemas.openxmlformats.org/officeDocument/2006/relationships/footer" Target="footer47.xml"/><Relationship Id="rId53" Type="http://schemas.openxmlformats.org/officeDocument/2006/relationships/footer" Target="footer48.xml"/><Relationship Id="rId54" Type="http://schemas.openxmlformats.org/officeDocument/2006/relationships/image" Target="media/image5.wmf"/><Relationship Id="rId55" Type="http://schemas.openxmlformats.org/officeDocument/2006/relationships/image" Target="media/image5.wmf"/><Relationship Id="rId56" Type="http://schemas.openxmlformats.org/officeDocument/2006/relationships/footer" Target="footer49.xml"/><Relationship Id="rId57" Type="http://schemas.openxmlformats.org/officeDocument/2006/relationships/footer" Target="footer50.xml"/><Relationship Id="rId58" Type="http://schemas.openxmlformats.org/officeDocument/2006/relationships/footer" Target="footer51.xml"/><Relationship Id="rId59" Type="http://schemas.openxmlformats.org/officeDocument/2006/relationships/footer" Target="footer52.xml"/><Relationship Id="rId60" Type="http://schemas.openxmlformats.org/officeDocument/2006/relationships/footer" Target="footer53.xml"/><Relationship Id="rId61" Type="http://schemas.openxmlformats.org/officeDocument/2006/relationships/footer" Target="footer54.xml"/><Relationship Id="rId62" Type="http://schemas.openxmlformats.org/officeDocument/2006/relationships/footer" Target="footer55.xml"/><Relationship Id="rId63" Type="http://schemas.openxmlformats.org/officeDocument/2006/relationships/footer" Target="footer56.xml"/><Relationship Id="rId64" Type="http://schemas.openxmlformats.org/officeDocument/2006/relationships/footer" Target="footer57.xml"/><Relationship Id="rId65" Type="http://schemas.openxmlformats.org/officeDocument/2006/relationships/footer" Target="footer58.xml"/><Relationship Id="rId66" Type="http://schemas.openxmlformats.org/officeDocument/2006/relationships/footer" Target="footer59.xml"/><Relationship Id="rId67" Type="http://schemas.openxmlformats.org/officeDocument/2006/relationships/footer" Target="footer60.xml"/><Relationship Id="rId68" Type="http://schemas.openxmlformats.org/officeDocument/2006/relationships/footer" Target="footer61.xml"/><Relationship Id="rId69" Type="http://schemas.openxmlformats.org/officeDocument/2006/relationships/footer" Target="footer62.xml"/><Relationship Id="rId70" Type="http://schemas.openxmlformats.org/officeDocument/2006/relationships/footer" Target="footer63.xml"/><Relationship Id="rId71" Type="http://schemas.openxmlformats.org/officeDocument/2006/relationships/footer" Target="footer64.xml"/><Relationship Id="rId72" Type="http://schemas.openxmlformats.org/officeDocument/2006/relationships/footer" Target="footer65.xml"/><Relationship Id="rId73" Type="http://schemas.openxmlformats.org/officeDocument/2006/relationships/footer" Target="footer66.xml"/><Relationship Id="rId74" Type="http://schemas.openxmlformats.org/officeDocument/2006/relationships/footer" Target="footer67.xml"/><Relationship Id="rId75" Type="http://schemas.openxmlformats.org/officeDocument/2006/relationships/footer" Target="footer68.xml"/><Relationship Id="rId76" Type="http://schemas.openxmlformats.org/officeDocument/2006/relationships/footer" Target="footer69.xml"/><Relationship Id="rId77" Type="http://schemas.openxmlformats.org/officeDocument/2006/relationships/footer" Target="footer70.xml"/><Relationship Id="rId78" Type="http://schemas.openxmlformats.org/officeDocument/2006/relationships/footer" Target="footer71.xml"/><Relationship Id="rId79" Type="http://schemas.openxmlformats.org/officeDocument/2006/relationships/footer" Target="footer72.xml"/><Relationship Id="rId80" Type="http://schemas.openxmlformats.org/officeDocument/2006/relationships/footer" Target="footer73.xml"/><Relationship Id="rId81" Type="http://schemas.openxmlformats.org/officeDocument/2006/relationships/footer" Target="footer74.xml"/><Relationship Id="rId82" Type="http://schemas.openxmlformats.org/officeDocument/2006/relationships/footer" Target="footer75.xml"/><Relationship Id="rId83" Type="http://schemas.openxmlformats.org/officeDocument/2006/relationships/footer" Target="footer76.xml"/><Relationship Id="rId84" Type="http://schemas.openxmlformats.org/officeDocument/2006/relationships/footer" Target="footer77.xml"/><Relationship Id="rId85" Type="http://schemas.openxmlformats.org/officeDocument/2006/relationships/footer" Target="footer78.xml"/><Relationship Id="rId86" Type="http://schemas.openxmlformats.org/officeDocument/2006/relationships/footer" Target="footer79.xml"/><Relationship Id="rId87" Type="http://schemas.openxmlformats.org/officeDocument/2006/relationships/footer" Target="footer80.xml"/><Relationship Id="rId88" Type="http://schemas.openxmlformats.org/officeDocument/2006/relationships/footer" Target="footer81.xml"/><Relationship Id="rId89" Type="http://schemas.openxmlformats.org/officeDocument/2006/relationships/footer" Target="footer82.xml"/><Relationship Id="rId90" Type="http://schemas.openxmlformats.org/officeDocument/2006/relationships/footer" Target="footer83.xml"/><Relationship Id="rId91" Type="http://schemas.openxmlformats.org/officeDocument/2006/relationships/footer" Target="footer84.xml"/><Relationship Id="rId92" Type="http://schemas.openxmlformats.org/officeDocument/2006/relationships/footer" Target="footer85.xml"/><Relationship Id="rId93" Type="http://schemas.openxmlformats.org/officeDocument/2006/relationships/footer" Target="footer86.xml"/><Relationship Id="rId94" Type="http://schemas.openxmlformats.org/officeDocument/2006/relationships/footer" Target="footer87.xml"/><Relationship Id="rId95" Type="http://schemas.openxmlformats.org/officeDocument/2006/relationships/footer" Target="footer88.xml"/><Relationship Id="rId96" Type="http://schemas.openxmlformats.org/officeDocument/2006/relationships/image" Target="media/image6.png"/><Relationship Id="rId97" Type="http://schemas.openxmlformats.org/officeDocument/2006/relationships/image" Target="media/image7.png"/><Relationship Id="rId98" Type="http://schemas.openxmlformats.org/officeDocument/2006/relationships/image" Target="media/image8.png"/><Relationship Id="rId99" Type="http://schemas.openxmlformats.org/officeDocument/2006/relationships/image" Target="media/image9.png"/><Relationship Id="rId100" Type="http://schemas.openxmlformats.org/officeDocument/2006/relationships/image" Target="media/image10.png"/><Relationship Id="rId101" Type="http://schemas.openxmlformats.org/officeDocument/2006/relationships/image" Target="media/image11.png"/><Relationship Id="rId102" Type="http://schemas.openxmlformats.org/officeDocument/2006/relationships/image" Target="media/image12.png"/><Relationship Id="rId103" Type="http://schemas.openxmlformats.org/officeDocument/2006/relationships/image" Target="media/image13.png"/><Relationship Id="rId104" Type="http://schemas.openxmlformats.org/officeDocument/2006/relationships/footer" Target="footer89.xml"/><Relationship Id="rId105" Type="http://schemas.openxmlformats.org/officeDocument/2006/relationships/footer" Target="footer90.xml"/><Relationship Id="rId106" Type="http://schemas.openxmlformats.org/officeDocument/2006/relationships/footer" Target="footer91.xml"/><Relationship Id="rId107" Type="http://schemas.openxmlformats.org/officeDocument/2006/relationships/footer" Target="footer92.xml"/><Relationship Id="rId108" Type="http://schemas.openxmlformats.org/officeDocument/2006/relationships/footer" Target="footer93.xml"/><Relationship Id="rId109" Type="http://schemas.openxmlformats.org/officeDocument/2006/relationships/footer" Target="footer94.xml"/><Relationship Id="rId110" Type="http://schemas.openxmlformats.org/officeDocument/2006/relationships/footer" Target="footer95.xml"/><Relationship Id="rId111" Type="http://schemas.openxmlformats.org/officeDocument/2006/relationships/footer" Target="footer96.xml"/><Relationship Id="rId112" Type="http://schemas.openxmlformats.org/officeDocument/2006/relationships/footer" Target="footer97.xml"/><Relationship Id="rId113" Type="http://schemas.openxmlformats.org/officeDocument/2006/relationships/footer" Target="footer98.xml"/><Relationship Id="rId114" Type="http://schemas.openxmlformats.org/officeDocument/2006/relationships/footer" Target="footer99.xml"/><Relationship Id="rId115" Type="http://schemas.openxmlformats.org/officeDocument/2006/relationships/footer" Target="footer100.xml"/><Relationship Id="rId116" Type="http://schemas.openxmlformats.org/officeDocument/2006/relationships/footer" Target="footer101.xml"/><Relationship Id="rId117" Type="http://schemas.openxmlformats.org/officeDocument/2006/relationships/footer" Target="footer102.xml"/><Relationship Id="rId118" Type="http://schemas.openxmlformats.org/officeDocument/2006/relationships/footer" Target="footer103.xml"/><Relationship Id="rId119" Type="http://schemas.openxmlformats.org/officeDocument/2006/relationships/footer" Target="footer104.xml"/><Relationship Id="rId120" Type="http://schemas.openxmlformats.org/officeDocument/2006/relationships/footer" Target="footer105.xml"/><Relationship Id="rId121" Type="http://schemas.openxmlformats.org/officeDocument/2006/relationships/footer" Target="footer106.xml"/><Relationship Id="rId122" Type="http://schemas.openxmlformats.org/officeDocument/2006/relationships/footer" Target="footer107.xml"/><Relationship Id="rId123" Type="http://schemas.openxmlformats.org/officeDocument/2006/relationships/footer" Target="footer108.xml"/><Relationship Id="rId124" Type="http://schemas.openxmlformats.org/officeDocument/2006/relationships/footer" Target="footer109.xml"/><Relationship Id="rId125" Type="http://schemas.openxmlformats.org/officeDocument/2006/relationships/footer" Target="footer110.xml"/><Relationship Id="rId126" Type="http://schemas.openxmlformats.org/officeDocument/2006/relationships/footer" Target="footer111.xml"/><Relationship Id="rId127" Type="http://schemas.openxmlformats.org/officeDocument/2006/relationships/footer" Target="footer112.xml"/><Relationship Id="rId128" Type="http://schemas.openxmlformats.org/officeDocument/2006/relationships/footer" Target="footer113.xml"/><Relationship Id="rId129" Type="http://schemas.openxmlformats.org/officeDocument/2006/relationships/footer" Target="footer114.xml"/><Relationship Id="rId130" Type="http://schemas.openxmlformats.org/officeDocument/2006/relationships/footer" Target="footer115.xml"/><Relationship Id="rId131" Type="http://schemas.openxmlformats.org/officeDocument/2006/relationships/footer" Target="footer116.xml"/><Relationship Id="rId132" Type="http://schemas.openxmlformats.org/officeDocument/2006/relationships/footer" Target="footer117.xml"/><Relationship Id="rId133" Type="http://schemas.openxmlformats.org/officeDocument/2006/relationships/footer" Target="footer118.xml"/><Relationship Id="rId134" Type="http://schemas.openxmlformats.org/officeDocument/2006/relationships/footer" Target="footer119.xml"/><Relationship Id="rId135" Type="http://schemas.openxmlformats.org/officeDocument/2006/relationships/footer" Target="footer120.xml"/><Relationship Id="rId136" Type="http://schemas.openxmlformats.org/officeDocument/2006/relationships/footer" Target="footer121.xml"/><Relationship Id="rId137" Type="http://schemas.openxmlformats.org/officeDocument/2006/relationships/footer" Target="footer122.xml"/><Relationship Id="rId138" Type="http://schemas.openxmlformats.org/officeDocument/2006/relationships/footer" Target="footer123.xml"/><Relationship Id="rId139" Type="http://schemas.openxmlformats.org/officeDocument/2006/relationships/footer" Target="footer124.xml"/><Relationship Id="rId140" Type="http://schemas.openxmlformats.org/officeDocument/2006/relationships/image" Target="media/image14.png"/><Relationship Id="rId141" Type="http://schemas.openxmlformats.org/officeDocument/2006/relationships/footer" Target="footer125.xml"/><Relationship Id="rId142" Type="http://schemas.openxmlformats.org/officeDocument/2006/relationships/footer" Target="footer126.xml"/><Relationship Id="rId143" Type="http://schemas.openxmlformats.org/officeDocument/2006/relationships/footer" Target="footer127.xml"/><Relationship Id="rId144" Type="http://schemas.openxmlformats.org/officeDocument/2006/relationships/footer" Target="footer128.xml"/><Relationship Id="rId145" Type="http://schemas.openxmlformats.org/officeDocument/2006/relationships/image" Target="media/image14.png"/><Relationship Id="rId146" Type="http://schemas.openxmlformats.org/officeDocument/2006/relationships/footer" Target="footer129.xml"/><Relationship Id="rId147" Type="http://schemas.openxmlformats.org/officeDocument/2006/relationships/footer" Target="footer130.xml"/><Relationship Id="rId148" Type="http://schemas.openxmlformats.org/officeDocument/2006/relationships/footer" Target="footer131.xml"/><Relationship Id="rId149" Type="http://schemas.openxmlformats.org/officeDocument/2006/relationships/footer" Target="footer132.xml"/><Relationship Id="rId150" Type="http://schemas.openxmlformats.org/officeDocument/2006/relationships/footer" Target="footer133.xml"/><Relationship Id="rId151" Type="http://schemas.openxmlformats.org/officeDocument/2006/relationships/footer" Target="footer134.xml"/><Relationship Id="rId152" Type="http://schemas.openxmlformats.org/officeDocument/2006/relationships/footer" Target="footer135.xml"/><Relationship Id="rId153" Type="http://schemas.openxmlformats.org/officeDocument/2006/relationships/footer" Target="footer136.xml"/><Relationship Id="rId154" Type="http://schemas.openxmlformats.org/officeDocument/2006/relationships/footer" Target="footer137.xml"/><Relationship Id="rId155" Type="http://schemas.openxmlformats.org/officeDocument/2006/relationships/footer" Target="footer138.xml"/><Relationship Id="rId156" Type="http://schemas.openxmlformats.org/officeDocument/2006/relationships/hyperlink" Target="http://mobileonline.garant.ru/document?id=2205985&amp;sub=0" TargetMode="External"/><Relationship Id="rId157" Type="http://schemas.openxmlformats.org/officeDocument/2006/relationships/hyperlink" Target="garantf1://72074066.0" TargetMode="External"/><Relationship Id="rId158" Type="http://schemas.openxmlformats.org/officeDocument/2006/relationships/hyperlink" Target="garantf1://72074066.0" TargetMode="External"/><Relationship Id="rId159" Type="http://schemas.openxmlformats.org/officeDocument/2006/relationships/hyperlink" Target="garantf1://72074066.0" TargetMode="External"/><Relationship Id="rId160" Type="http://schemas.openxmlformats.org/officeDocument/2006/relationships/hyperlink" Target="garantf1://72074066.0" TargetMode="External"/><Relationship Id="rId161" Type="http://schemas.openxmlformats.org/officeDocument/2006/relationships/hyperlink" Target="garantf1://72074066.0" TargetMode="External"/><Relationship Id="rId162" Type="http://schemas.openxmlformats.org/officeDocument/2006/relationships/image" Target="media/image15.png"/><Relationship Id="rId163" Type="http://schemas.openxmlformats.org/officeDocument/2006/relationships/image" Target="media/image16.png"/><Relationship Id="rId164" Type="http://schemas.openxmlformats.org/officeDocument/2006/relationships/image" Target="media/image17.png"/><Relationship Id="rId165" Type="http://schemas.openxmlformats.org/officeDocument/2006/relationships/image" Target="media/image18.png"/><Relationship Id="rId166" Type="http://schemas.openxmlformats.org/officeDocument/2006/relationships/footer" Target="footer139.xml"/><Relationship Id="rId167" Type="http://schemas.openxmlformats.org/officeDocument/2006/relationships/footer" Target="footer140.xml"/><Relationship Id="rId168" Type="http://schemas.openxmlformats.org/officeDocument/2006/relationships/footnotes" Target="footnotes.xml"/><Relationship Id="rId169" Type="http://schemas.openxmlformats.org/officeDocument/2006/relationships/comments" Target="comments.xml"/><Relationship Id="rId170" Type="http://schemas.openxmlformats.org/officeDocument/2006/relationships/numbering" Target="numbering.xml"/><Relationship Id="rId171" Type="http://schemas.openxmlformats.org/officeDocument/2006/relationships/fontTable" Target="fontTable.xml"/><Relationship Id="rId17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26</TotalTime>
  <Application>LibreOffice/7.5.6.2$Linux_X86_64 LibreOffice_project/50$Build-2</Application>
  <AppVersion>15.0000</AppVersion>
  <Pages>274</Pages>
  <Words>57058</Words>
  <Characters>414279</Characters>
  <CharactersWithSpaces>463665</CharactersWithSpaces>
  <Paragraphs>8397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2024-03-25T14:53:24Z</dcterms:created>
  <dc:creator/>
  <dc:description/>
  <dc:language>ru-RU</dc:language>
  <cp:lastModifiedBy/>
  <dcterms:modified xsi:type="dcterms:W3CDTF">2024-03-26T09:17:43Z</dcterms:modified>
  <cp:revision>3</cp:revision>
  <dc:subject/>
  <dc:title>Default</dc:title>
</cp:coreProperties>
</file>

<file path=docProps/custom.xml><?xml version="1.0" encoding="utf-8"?>
<Properties xmlns="http://schemas.openxmlformats.org/officeDocument/2006/custom-properties" xmlns:vt="http://schemas.openxmlformats.org/officeDocument/2006/docPropsVTypes"/>
</file>