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3A0C3DE5">
                <wp:simplePos x="0" y="0"/>
                <wp:positionH relativeFrom="column">
                  <wp:posOffset>815340</wp:posOffset>
                </wp:positionH>
                <wp:positionV relativeFrom="paragraph">
                  <wp:posOffset>1499235</wp:posOffset>
                </wp:positionV>
                <wp:extent cx="4714875" cy="361950"/>
                <wp:effectExtent l="0" t="0" r="0" b="0"/>
                <wp:wrapNone/>
                <wp:docPr id="1" name="Поле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920" cy="36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0" path="m0,0l-2147483645,0l-2147483645,-2147483646l0,-2147483646xe" stroked="f" o:allowincell="f" style="position:absolute;margin-left:64.2pt;margin-top:118.05pt;width:371.2pt;height:28.45pt;mso-wrap-style:none;v-text-anchor:middle" wp14:anchorId="3A0C3DE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60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lineRule="auto" w:line="240" w:before="0" w:after="0"/>
        <w:ind w:firstLine="540"/>
        <w:jc w:val="center"/>
        <w:rPr>
          <w:rFonts w:ascii="Arial" w:hAnsi="Arial" w:eastAsia="BatangChe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О внесении изменений в  Положение</w:t>
      </w:r>
      <w:r>
        <w:rPr>
          <w:rFonts w:eastAsia="BatangChe" w:cs="Arial" w:ascii="Arial" w:hAnsi="Arial"/>
          <w:b/>
          <w:sz w:val="24"/>
          <w:szCs w:val="24"/>
          <w:lang w:eastAsia="ru-RU"/>
        </w:rPr>
        <w:t xml:space="preserve"> о порядке приватизации муниципального имущества Верхнеуслонского муниципального района</w:t>
      </w:r>
    </w:p>
    <w:p>
      <w:pPr>
        <w:pStyle w:val="Normal"/>
        <w:widowControl w:val="false"/>
        <w:bidi w:val="0"/>
        <w:spacing w:lineRule="auto" w:line="240" w:before="0" w:after="0"/>
        <w:ind w:firstLine="54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  <w:lang w:eastAsia="ru-RU"/>
        </w:rPr>
        <w:t>В целях усовершенствования правового регулирования порядка и условий приватизации муниципального имущества и актуализации муниципальных правовых актов в данной сфере, руководствуясь Федеральным законом от 21.12.2001 N 178-ФЗ "О приватизации государственного и муниципального имущества"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center"/>
        <w:rPr>
          <w:rFonts w:ascii="Arial" w:hAnsi="Arial" w:eastAsia="BatangChe" w:cs="Arial"/>
          <w:b/>
          <w:sz w:val="24"/>
          <w:szCs w:val="24"/>
          <w:lang w:eastAsia="ru-RU"/>
        </w:rPr>
      </w:pPr>
      <w:r>
        <w:rPr>
          <w:rFonts w:eastAsia="BatangChe" w:cs="Arial" w:ascii="Arial" w:hAnsi="Arial"/>
          <w:b/>
          <w:sz w:val="24"/>
          <w:szCs w:val="24"/>
          <w:lang w:eastAsia="ru-RU"/>
        </w:rPr>
        <w:t>Совет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center"/>
        <w:rPr>
          <w:rFonts w:ascii="Arial" w:hAnsi="Arial" w:eastAsia="BatangChe" w:cs="Arial"/>
          <w:b/>
          <w:sz w:val="24"/>
          <w:szCs w:val="24"/>
          <w:lang w:eastAsia="ru-RU"/>
        </w:rPr>
      </w:pPr>
      <w:r>
        <w:rPr>
          <w:rFonts w:eastAsia="BatangChe" w:cs="Arial" w:ascii="Arial" w:hAnsi="Arial"/>
          <w:b/>
          <w:sz w:val="24"/>
          <w:szCs w:val="24"/>
          <w:lang w:eastAsia="ru-RU"/>
        </w:rPr>
        <w:t>Верхнеуслонского муниципального района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center"/>
        <w:rPr>
          <w:rFonts w:ascii="Arial" w:hAnsi="Arial" w:eastAsia="BatangChe" w:cs="Arial"/>
          <w:b/>
          <w:sz w:val="24"/>
          <w:szCs w:val="24"/>
          <w:lang w:eastAsia="ru-RU"/>
        </w:rPr>
      </w:pPr>
      <w:r>
        <w:rPr>
          <w:rFonts w:eastAsia="BatangChe" w:cs="Arial" w:ascii="Liberation Sans" w:hAnsi="Liberation Sans"/>
          <w:b/>
          <w:sz w:val="24"/>
          <w:szCs w:val="24"/>
          <w:lang w:eastAsia="ru-RU"/>
        </w:rPr>
        <w:t>решил: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Liberation Sans" w:hAnsi="Liberation Sans"/>
          <w:sz w:val="24"/>
          <w:szCs w:val="24"/>
          <w:lang w:eastAsia="ru-RU"/>
        </w:rPr>
        <w:t xml:space="preserve">1. Внести в </w:t>
      </w:r>
      <w:hyperlink w:anchor="P33">
        <w:r>
          <w:rPr>
            <w:rFonts w:eastAsia="BatangChe" w:cs="Arial" w:ascii="Liberation Sans" w:hAnsi="Liberation Sans"/>
            <w:sz w:val="24"/>
            <w:szCs w:val="24"/>
            <w:lang w:eastAsia="ru-RU"/>
          </w:rPr>
          <w:t>Положение</w:t>
        </w:r>
      </w:hyperlink>
      <w:r>
        <w:rPr>
          <w:rFonts w:eastAsia="BatangChe" w:cs="Arial" w:ascii="Liberation Sans" w:hAnsi="Liberation Sans"/>
          <w:sz w:val="24"/>
          <w:szCs w:val="24"/>
          <w:lang w:eastAsia="ru-RU"/>
        </w:rPr>
        <w:t xml:space="preserve"> о порядке приватизации муниципального имущества Верхнеуслонского муниципального района, утвержденное решением Совета Верхнеуслонского муниципального района от 30.10.2017 года № 26-283 следующие изменения:.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BatangChe" w:cs="Arial" w:ascii="Liberation Sans" w:hAnsi="Liberation Sans"/>
          <w:sz w:val="24"/>
          <w:szCs w:val="24"/>
        </w:rPr>
        <w:t xml:space="preserve"> </w:t>
      </w:r>
      <w:r>
        <w:rPr>
          <w:rFonts w:eastAsia="BatangChe" w:cs="Arial" w:ascii="Liberation Sans" w:hAnsi="Liberation Sans"/>
          <w:sz w:val="24"/>
          <w:szCs w:val="24"/>
        </w:rPr>
        <w:t>В пункте 4.5. Положения слова «</w:t>
      </w:r>
      <w:r>
        <w:rPr>
          <w:rFonts w:ascii="Liberation Sans" w:hAnsi="Liberation Sans"/>
          <w:sz w:val="24"/>
          <w:szCs w:val="24"/>
        </w:rPr>
        <w:t>без объявления цены» заменить словами «по минимально допустимой цене»;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Утвердить текст </w:t>
      </w:r>
      <w:hyperlink w:anchor="P33">
        <w:r>
          <w:rPr>
            <w:rFonts w:eastAsia="BatangChe" w:cs="Arial" w:ascii="Arial" w:hAnsi="Arial"/>
            <w:sz w:val="24"/>
            <w:szCs w:val="24"/>
          </w:rPr>
          <w:t>Положени</w:t>
        </w:r>
      </w:hyperlink>
      <w:r>
        <w:rPr>
          <w:rFonts w:eastAsia="BatangChe" w:cs="Arial" w:ascii="Arial" w:hAnsi="Arial"/>
          <w:sz w:val="24"/>
          <w:szCs w:val="24"/>
        </w:rPr>
        <w:t>я о порядке приватизации муниципального имущества Верхнеуслонского муниципального района в новой редакции (Приложение № 1)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  <w:lang w:eastAsia="ru-RU"/>
        </w:rPr>
        <w:t>3. Разместить настоящее решение на официальном портале правовой информации Республики Татарстан, на официальном сайте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</w:rPr>
        <w:t xml:space="preserve">4. Контроль за исполнением настоящего решения возложить на постоянную комиссию Совета по </w:t>
      </w:r>
      <w:r>
        <w:rPr>
          <w:rFonts w:eastAsia="Times New Roman" w:cs="Arial" w:ascii="Arial" w:hAnsi="Arial"/>
          <w:bCs/>
          <w:sz w:val="24"/>
          <w:szCs w:val="24"/>
          <w:lang w:val="x-none" w:eastAsia="ru-RU"/>
        </w:rPr>
        <w:t>экономическому развитию, экологии, природным ресурсам и земельным вопросам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jc w:val="both"/>
        <w:rPr>
          <w:rFonts w:ascii="Arial" w:hAnsi="Arial" w:eastAsia="BatangChe" w:cs="Arial"/>
          <w:sz w:val="24"/>
          <w:szCs w:val="24"/>
          <w:lang w:eastAsia="ru-RU"/>
        </w:rPr>
      </w:pPr>
      <w:r>
        <w:rPr>
          <w:rFonts w:eastAsia="BatangChe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        </w:t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Председатель Совета,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Глава Верхнеуслонского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муниципального района                                               М.Г. Зиатдинов</w:t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Приложение № 1 </w:t>
      </w:r>
    </w:p>
    <w:p>
      <w:pPr>
        <w:pStyle w:val="Normal"/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 Решению Совета 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от «___» июня  2024 года </w:t>
      </w:r>
    </w:p>
    <w:p>
      <w:pPr>
        <w:pStyle w:val="Normal"/>
        <w:bidi w:val="0"/>
        <w:spacing w:lineRule="auto" w:line="240" w:before="0" w:after="0"/>
        <w:ind w:left="567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№ </w:t>
      </w:r>
      <w:r>
        <w:rPr>
          <w:rFonts w:eastAsia="Times New Roman" w:cs="Arial" w:ascii="Arial" w:hAnsi="Arial"/>
          <w:sz w:val="24"/>
          <w:szCs w:val="24"/>
          <w:lang w:eastAsia="ru-RU"/>
        </w:rPr>
        <w:t>_____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ПОЛОЖЕНИЕ</w:t>
      </w:r>
    </w:p>
    <w:p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ПОРЯДКЕ ПРИВАТИЗАЦИИ МУНИЦИПАЛЬНОГО ИМУЩЕСТВА</w:t>
      </w:r>
    </w:p>
    <w:p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ВЕРХНЕУСЛОНСКОГО МУНИЦИПАЛЬНОГО РАЙОНА</w:t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Общие положения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 Настоящее Положение определяет порядок приватизации  муниципального имущества Верхнеуслонского муниципального района в соответствии с Гражданским </w:t>
      </w:r>
      <w:hyperlink r:id="rId3">
        <w:r>
          <w:rPr>
            <w:rFonts w:cs="Arial" w:ascii="Arial" w:hAnsi="Arial"/>
            <w:sz w:val="24"/>
            <w:szCs w:val="24"/>
          </w:rPr>
          <w:t>кодексом</w:t>
        </w:r>
      </w:hyperlink>
      <w:r>
        <w:rPr>
          <w:rFonts w:cs="Arial" w:ascii="Arial" w:hAnsi="Arial"/>
          <w:sz w:val="24"/>
          <w:szCs w:val="24"/>
        </w:rPr>
        <w:t xml:space="preserve"> Российской Федерации, Федеральным </w:t>
      </w:r>
      <w:hyperlink r:id="rId4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21.12.2001 № 178-ФЗ "О приватизации государственного и муниципального имущества", Федеральным </w:t>
      </w:r>
      <w:hyperlink r:id="rId5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</w:t>
      </w:r>
      <w:hyperlink r:id="rId6">
        <w:r>
          <w:rPr>
            <w:rFonts w:cs="Arial" w:ascii="Arial" w:hAnsi="Arial"/>
            <w:sz w:val="24"/>
            <w:szCs w:val="24"/>
          </w:rPr>
          <w:t>Уставом</w:t>
        </w:r>
      </w:hyperlink>
      <w:r>
        <w:rPr>
          <w:rFonts w:cs="Arial" w:ascii="Arial" w:hAnsi="Arial"/>
          <w:sz w:val="24"/>
          <w:szCs w:val="24"/>
        </w:rPr>
        <w:t xml:space="preserve"> Верхнеуслонского муниципального района, иными нормативными правовыми актами, регулирующими вопросы приватизации муниципального имущества.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Под приватизацией муниципального имущества понимается возмездное отчуждение имущества, находящегося в муниципальной собственности Верхнеуслонского муниципального района, в собственность физических и (или) юридических лиц.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Настоящее Положение не распространяется на отношения, возникающие при отчуждении: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природных ресурсов;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муниципального жилищного фонда;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Республики Татарстан, муниципальных образований;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9) муниципального имущества на основании судебного решения;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11)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7">
        <w:r>
          <w:rPr>
            <w:rFonts w:cs="Arial" w:ascii="Arial" w:hAnsi="Arial"/>
            <w:sz w:val="24"/>
            <w:szCs w:val="24"/>
          </w:rPr>
          <w:t>статьями 84.2</w:t>
        </w:r>
      </w:hyperlink>
      <w:r>
        <w:rPr>
          <w:rFonts w:cs="Arial" w:ascii="Arial" w:hAnsi="Arial"/>
          <w:sz w:val="24"/>
          <w:szCs w:val="24"/>
        </w:rPr>
        <w:t xml:space="preserve">, </w:t>
      </w:r>
      <w:hyperlink r:id="rId8">
        <w:r>
          <w:rPr>
            <w:rFonts w:cs="Arial" w:ascii="Arial" w:hAnsi="Arial"/>
            <w:sz w:val="24"/>
            <w:szCs w:val="24"/>
          </w:rPr>
          <w:t>84.7</w:t>
        </w:r>
      </w:hyperlink>
      <w:r>
        <w:rPr>
          <w:rFonts w:cs="Arial" w:ascii="Arial" w:hAnsi="Arial"/>
          <w:sz w:val="24"/>
          <w:szCs w:val="24"/>
        </w:rPr>
        <w:t xml:space="preserve"> и </w:t>
      </w:r>
      <w:hyperlink r:id="rId9">
        <w:r>
          <w:rPr>
            <w:rFonts w:cs="Arial" w:ascii="Arial" w:hAnsi="Arial"/>
            <w:sz w:val="24"/>
            <w:szCs w:val="24"/>
          </w:rPr>
          <w:t>84.8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26 декабря 1995 года № 208-ФЗ "Об акционерных обществах";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10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"О территориях опережающего социально-экономического развития в Российской Федерации";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14) ценных бумаг на проводимых в соответствии с Федеральным </w:t>
      </w:r>
      <w:hyperlink r:id="rId11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21 ноября 2011 года N 325-ФЗ "Об организованных торгах" организованных торгах и на основании решений Правительства Российской Федерации;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15) на иные отношения, установленные действующим законодательством.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1.4. Покупателями муниципального имущества могут быть любые физические и юридические лица, за исключением: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>
        <w:r>
          <w:rPr>
            <w:rFonts w:cs="Arial" w:ascii="Arial" w:hAnsi="Arial"/>
            <w:sz w:val="24"/>
            <w:szCs w:val="24"/>
          </w:rPr>
          <w:t>перечень</w:t>
        </w:r>
      </w:hyperlink>
      <w:r>
        <w:rPr>
          <w:rFonts w:cs="Arial" w:ascii="Arial" w:hAnsi="Arial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</w:t>
      </w:r>
      <w:bookmarkStart w:id="0" w:name="_GoBack"/>
      <w:r>
        <w:rPr>
          <w:rFonts w:cs="Arial" w:ascii="Arial" w:hAnsi="Arial"/>
          <w:sz w:val="24"/>
          <w:szCs w:val="24"/>
        </w:rPr>
        <w:t>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  <w:bookmarkEnd w:id="0"/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Акционерные общества, общества с ограниченной ответственностью  не могут являться покупателями размещенных своих акций, своих долей в уставных капиталах, подлежащих приватизации в соответствии с действующим законодательством.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1.5. Полномочия органа, непосредственно осуществляющего приватизацию муниципального имущества возлагается на Палату имущественных и земельных отношений Верхнеуслонского муниципального района (далее- уполномоченный орган).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Административные процедуры по осуществлению приватизации муниципального имущества устанавливаются административными регламентами предоставления муниципальных услуг, принимаемых Исполнительным комитетом Верхнеуслонского муниципального района.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Приватизации не подлежит муниципальное имущество, отнесенное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Планирование приватизации муниципального имущества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муниципальной собственности на срок от одного до трех лет. (далее- Прогнозный план).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2.2. Разработка прогнозного плана на плановый период осуществляется Уполномоченным органом в срок до 1 октября на основе финансово-экономического анализа объектов муниципальной собственности. Предложения о приватизации муниципального имущества вносятся в Уполномоченный орган руководителями муниципальных унитарных предприятий, акционерных обществ, обществ с ограниченной ответственностью, акции которых находятся в муниципальной собственности в срок до 1 июля текущего года. 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Уполномоченный орган рассматривает поступившие предложения, дает им правовую и экономическую оценку, формирует проект Прогнозного плана и представляет его руководителю Исполнительного комитета Верхнеуслонского муниципального района для внесения на рассмотрение в Совет Верхнеуслонского муниципального района. 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2.3. Прогнозный план должен содержать перечень муниципальных унитарных предприятий, акций акционерных обществ, находящихся в муниципальной собственности,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прогнозном плане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 Прогнозный план рассматривается и утверждается Советом Верхнеуслонского муниципального района.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Принятие решений об условиях приватизации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муниципального имущества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Решение об условиях приватизации муниципального имущества принимается Исполнительным комитетом Верхнеуслонского муниципального района на основании Прогнозного плана в сроки, позволяющие обеспечить приватизацию в соответствии с Прогнозным планом.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Подготовка решения об условиях приватизации муниципального имущества осуществляется Уполномоченным органом и предусматривает определение наименования имущества и иных позволяющих его индивидуализировать данных, способа приватизации имущества, начальной цены имущества, срока рассрочки платежа (в случае ее предоставления), иных необходимых для приватизации имущества сведений.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 В решении об условиях приватизации муниципального имущества должны содержаться следующие сведения: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способ приватизации имущества;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начальная цена имущества;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 рассрочки платежа (в случае ее предоставления);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иные необходимые для приватизации имущества сведения.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13">
        <w:r>
          <w:rPr>
            <w:rFonts w:cs="Arial" w:ascii="Arial" w:hAnsi="Arial"/>
            <w:sz w:val="24"/>
            <w:szCs w:val="24"/>
          </w:rPr>
          <w:t>статьей 11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"О приватизации государственного и муниципального имущества";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3.5. В случае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в состав решения об условиях приватизации подлежат включению условия инвестиционных и эксплуатационных обязательств, оформленные в соответствии со </w:t>
      </w:r>
      <w:hyperlink r:id="rId14">
        <w:r>
          <w:rPr>
            <w:rFonts w:cs="Arial" w:ascii="Arial" w:hAnsi="Arial"/>
            <w:sz w:val="24"/>
            <w:szCs w:val="24"/>
          </w:rPr>
          <w:t>статьей 30.1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21 декабря 2001 года № 178-ФЗ "О приватизации государственного и муниципального имущества".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Способы приватизации муниципального имущества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4.1. Приватизация муниципального имущества Верхнеуслонского муниципального района осуществляется исключительно способами, предусмотренными </w:t>
      </w:r>
      <w:hyperlink r:id="rId15">
        <w:r>
          <w:rPr>
            <w:rFonts w:cs="Arial" w:ascii="Arial" w:hAnsi="Arial"/>
            <w:sz w:val="24"/>
            <w:szCs w:val="24"/>
          </w:rPr>
          <w:t>статьей 13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"О приватизации государственного и муниципального имущества" и в порядке, установленном главой 4 Федерального закона «О приватизации государственного и муниципального имущества».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Приватизация имущественного комплекса унитарного предприятия в случае, если размер уставного капитала, создаваемого в процессе приватизации хозяйственного общества, определенный в соответствии со </w:t>
      </w:r>
      <w:hyperlink r:id="rId16">
        <w:r>
          <w:rPr>
            <w:rFonts w:cs="Arial" w:ascii="Arial" w:hAnsi="Arial"/>
            <w:sz w:val="24"/>
            <w:szCs w:val="24"/>
          </w:rPr>
          <w:t>статьей 11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"О приватизации государственного и муниципального имущества",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открытое акционерное общество.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17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24 июля 2007 года № 209-ФЗ "О развитии малого и среднего предпринимательства в Российской 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случае, если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8">
        <w:r>
          <w:rPr>
            <w:rFonts w:cs="Arial" w:ascii="Arial" w:hAnsi="Arial"/>
            <w:sz w:val="24"/>
            <w:szCs w:val="24"/>
          </w:rPr>
          <w:t>законодательством</w:t>
        </w:r>
      </w:hyperlink>
      <w:r>
        <w:rPr>
          <w:rFonts w:cs="Arial" w:ascii="Arial" w:hAnsi="Arial"/>
          <w:sz w:val="24"/>
          <w:szCs w:val="24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4.3. При продаже муниципального имущества на аукционе, специализированном аукционе, конкурсе в качестве продавца выступает Уполномоченный орган.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 При продаже муниципального имущества на конкурсе разработка и утверждение условий конкурса, контроль за их исполнением и подтверждение победителем конкурса исполнения таких условий осуществляются Уполномоченным органом.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При продаже муниципального имущества по минимально допустимой цене подведение итогов продажи муниципального имущества и заключение с покупателем договора купли-продажи муниципального имущества осуществляются Уполномоченным органом.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4.6. При приватизации отдельных видов муниципального имущества применяются порядок и требования, установленные главой 5 Федерального закона «О приватизации государственного и муниципального имущества».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Документы, представляемые покупателями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муниципального имущества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5.1. Одновременно с заявкой на имя Руководителя Исполнительного комитета Верхнеуслонского муниципального района  претенденты представляют следующие документы: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юридические лица: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заверенные копии учредительных документов;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физические лица предъявляют документ, удостоверяющий личность или представляют копии всех его листов.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данным документам (в том числе к каждому тому) также прилагается их опись.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Заявка и такая опись составляется в двух экземплярах, один из которых остается у продавца, другой - у претендента.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6. Финансовое обеспечение приватизации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муниципального имущества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6.1.Расходы на организацию и проведение приватизации муниципального имущества осуществляется за счет средств бюджета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7. Порядок оплаты муниципального имущества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7.1. Оплата приобретаемого покупателями муниципального имущества производится в соответствии с условиями договора купли-продажи муниципального имущества в течение 10 (десяти) рабочих дней со дня заключения договора.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7.2. Оплата приобретаемого покупателями муниципального имущества в рассрочку производится в порядке, предусмотренном </w:t>
      </w:r>
      <w:hyperlink r:id="rId19">
        <w:r>
          <w:rPr>
            <w:rFonts w:cs="Arial" w:ascii="Arial" w:hAnsi="Arial"/>
            <w:sz w:val="24"/>
            <w:szCs w:val="24"/>
          </w:rPr>
          <w:t>статьей 35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"О приватизации государственного и муниципального имущества".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>
      <w:pPr>
        <w:pStyle w:val="Normal"/>
        <w:bidi w:val="0"/>
        <w:spacing w:lineRule="auto" w:line="240" w:before="0"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Покупатель вправе оплатить приобретаемое муниципальное имущество досрочно.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7.3. В случае уклонения или отказа покупателя от оплаты по договору по истечении 20 дней со дня наступления срока оплаты Уполномоченный орган принимает меры для расторжения договора в соответствии с </w:t>
      </w:r>
      <w:hyperlink r:id="rId20">
        <w:r>
          <w:rPr>
            <w:rFonts w:cs="Arial" w:ascii="Arial" w:hAnsi="Arial"/>
            <w:sz w:val="24"/>
            <w:szCs w:val="24"/>
          </w:rPr>
          <w:t>главой 29</w:t>
        </w:r>
      </w:hyperlink>
      <w:r>
        <w:rPr>
          <w:rFonts w:cs="Arial" w:ascii="Arial" w:hAnsi="Arial"/>
          <w:sz w:val="24"/>
          <w:szCs w:val="24"/>
        </w:rPr>
        <w:t xml:space="preserve"> Гражданского кодекса Российской Федерации.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несвоевременную оплату приобретаемого муниципального имущества покупателями уплачиваются пени в размере одной трехсотой процентной ставки рефинансирования Центрального банка Российской Федерации за каждый день просрочки в соответствии с условиями договора.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7.4.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8. Информационное обеспечение приватизации имущества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8.1. Прогнозный план,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 подлежат опубликованию в порядке и сроки, установленные статьей 15 Федерального закона «О приватизации государственного и муниципального имущества».</w:t>
      </w:r>
    </w:p>
    <w:p>
      <w:pPr>
        <w:pStyle w:val="Normal"/>
        <w:bidi w:val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default" r:id="rId21"/>
      <w:footerReference w:type="default" r:id="rId22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rFonts w:ascii="Times New Roman" w:hAnsi="Times New Roman" w:eastAsia="BatangChe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450"/>
      </w:pPr>
      <w:rPr>
        <w:sz w:val="28"/>
        <w:rFonts w:ascii="Times New Roman" w:hAnsi="Times New Roman" w:eastAsia="BatangChe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  <w:rPr>
        <w:sz w:val="28"/>
        <w:rFonts w:ascii="Times New Roman" w:hAnsi="Times New Roman" w:eastAsia="BatangChe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20" w:hanging="720"/>
      </w:pPr>
      <w:rPr>
        <w:sz w:val="28"/>
        <w:rFonts w:ascii="Times New Roman" w:hAnsi="Times New Roman" w:eastAsia="BatangChe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  <w:rPr>
        <w:sz w:val="28"/>
        <w:rFonts w:ascii="Times New Roman" w:hAnsi="Times New Roman" w:eastAsia="BatangChe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80" w:hanging="1080"/>
      </w:pPr>
      <w:rPr>
        <w:sz w:val="28"/>
        <w:rFonts w:ascii="Times New Roman" w:hAnsi="Times New Roman" w:eastAsia="BatangChe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  <w:rPr>
        <w:sz w:val="28"/>
        <w:rFonts w:ascii="Times New Roman" w:hAnsi="Times New Roman" w:eastAsia="BatangChe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40" w:hanging="1440"/>
      </w:pPr>
      <w:rPr>
        <w:sz w:val="28"/>
        <w:rFonts w:ascii="Times New Roman" w:hAnsi="Times New Roman" w:eastAsia="BatangChe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000" w:hanging="1800"/>
      </w:pPr>
      <w:rPr>
        <w:sz w:val="28"/>
        <w:rFonts w:ascii="Times New Roman" w:hAnsi="Times New Roman" w:eastAsia="BatangChe"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ru-RU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1FE3345A715381EB97C166C3ECC819AE404C4E59335A0CCF99B0B01E9lFlAH" TargetMode="External"/><Relationship Id="rId4" Type="http://schemas.openxmlformats.org/officeDocument/2006/relationships/hyperlink" Target="consultantplus://offline/ref=61FE3345A715381EB97C166C3ECC819AE407CDED9932A0CCF99B0B01E9lFlAH" TargetMode="External"/><Relationship Id="rId5" Type="http://schemas.openxmlformats.org/officeDocument/2006/relationships/hyperlink" Target="consultantplus://offline/ref=61FE3345A715381EB97C166C3ECC819AE404C5EA9D38A0CCF99B0B01E9lFlAH" TargetMode="External"/><Relationship Id="rId6" Type="http://schemas.openxmlformats.org/officeDocument/2006/relationships/hyperlink" Target="consultantplus://offline/ref=61FE3345A715381EB97C086128A0DC91E50D9AE19C32A39AADC4505CBEF3D39ED550CFF7CC039C79D5B938lEl9H" TargetMode="External"/><Relationship Id="rId7" Type="http://schemas.openxmlformats.org/officeDocument/2006/relationships/hyperlink" Target="consultantplus://offline/ref=E4FCE4C412C00C73F499E1ADB12F0C066B35D4E8D8C506C800C8D5E4E783C733A1AB4E58wAEDJ" TargetMode="External"/><Relationship Id="rId8" Type="http://schemas.openxmlformats.org/officeDocument/2006/relationships/hyperlink" Target="consultantplus://offline/ref=E4FCE4C412C00C73F499E1ADB12F0C066B35D4E8D8C506C800C8D5E4E783C733A1AB4E5DACw8E6J" TargetMode="External"/><Relationship Id="rId9" Type="http://schemas.openxmlformats.org/officeDocument/2006/relationships/hyperlink" Target="consultantplus://offline/ref=E4FCE4C412C00C73F499E1ADB12F0C066B35D4E8D8C506C800C8D5E4E783C733A1AB4E5DABw8E8J" TargetMode="External"/><Relationship Id="rId10" Type="http://schemas.openxmlformats.org/officeDocument/2006/relationships/hyperlink" Target="consultantplus://offline/ref=E4FCE4C412C00C73F499E1ADB12F0C066B37D4EBDFC706C800C8D5E4E7w8E3J" TargetMode="External"/><Relationship Id="rId11" Type="http://schemas.openxmlformats.org/officeDocument/2006/relationships/hyperlink" Target="consultantplus://offline/ref=E4FCE4C412C00C73F499E1ADB12F0C066B35D5E8D3C306C800C8D5E4E7w8E3J" TargetMode="External"/><Relationship Id="rId12" Type="http://schemas.openxmlformats.org/officeDocument/2006/relationships/hyperlink" Target="consultantplus://offline/ref=7DB104A299FA891621CADC3499F23B9B99E8250E828BBC69A004C724C0D5D7F395AFFBE98F2BFADB321CEF31F1F44E9668B545i4nEM" TargetMode="External"/><Relationship Id="rId13" Type="http://schemas.openxmlformats.org/officeDocument/2006/relationships/hyperlink" Target="consultantplus://offline/ref=0E76B246DC4B2D1900FAE72929AFB3F6A68172EBC724743F9A288E365CA54E3A233F00E4E89F0F46G361J" TargetMode="External"/><Relationship Id="rId14" Type="http://schemas.openxmlformats.org/officeDocument/2006/relationships/hyperlink" Target="consultantplus://offline/ref=1901AE3B01175080E1BC29F7E9DD8FC325F9243E5CD1FAD090652BC6D46D8152F368566C05YFJCK" TargetMode="External"/><Relationship Id="rId15" Type="http://schemas.openxmlformats.org/officeDocument/2006/relationships/hyperlink" Target="consultantplus://offline/ref=198AD1C982DB7C03945D288029220A0F59C7ADF3510F7F74042A9E04C33947889CEB64543E0C5F03j6LFK" TargetMode="External"/><Relationship Id="rId16" Type="http://schemas.openxmlformats.org/officeDocument/2006/relationships/hyperlink" Target="consultantplus://offline/ref=198AD1C982DB7C03945D288029220A0F59C7ADF3510F7F74042A9E04C33947889CEB64543E0C5F0Dj6L5K" TargetMode="External"/><Relationship Id="rId17" Type="http://schemas.openxmlformats.org/officeDocument/2006/relationships/hyperlink" Target="consultantplus://offline/ref=AADAC15473E738D62CE1C5C6512F179A8C9D196A49D5996663BDD636D2880928DD384F359FADFF15JCR7K" TargetMode="External"/><Relationship Id="rId18" Type="http://schemas.openxmlformats.org/officeDocument/2006/relationships/hyperlink" Target="consultantplus://offline/ref=26D06B93BB3A4A175FFF48CA356EB8FF0E68B39876A3176702B8811CC4E0846A8D48715C720AC50Fx1P2K" TargetMode="External"/><Relationship Id="rId19" Type="http://schemas.openxmlformats.org/officeDocument/2006/relationships/hyperlink" Target="consultantplus://offline/ref=198AD1C982DB7C03945D288029220A0F59C7ADF3510F7F74042A9E04C33947889CEB64543E0C5B0Dj6L4K" TargetMode="External"/><Relationship Id="rId20" Type="http://schemas.openxmlformats.org/officeDocument/2006/relationships/hyperlink" Target="consultantplus://offline/ref=198AD1C982DB7C03945D288029220A0F59C4A4FB5B087F74042A9E04C33947889CEB64543E0E5E08j6L9K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LibreOffice/7.5.6.2$Linux_X86_64 LibreOffice_project/50$Build-2</Application>
  <AppVersion>15.0000</AppVersion>
  <Pages>7</Pages>
  <Words>2146</Words>
  <Characters>17070</Characters>
  <CharactersWithSpaces>19173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2024-05-29T15:48:09Z</dcterms:created>
  <dc:creator/>
  <dc:description/>
  <dc:language>ru-RU</dc:language>
  <cp:lastModifiedBy/>
  <dcterms:modified xsi:type="dcterms:W3CDTF">2024-06-06T16:32:01Z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