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3148" w:leader="none"/>
        </w:tabs>
        <w:bidi w:val="0"/>
        <w:rPr>
          <w:rFonts w:ascii="Arial" w:hAnsi="Arial" w:cs="Arial"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3175" distB="3175" distL="3810" distR="2540" simplePos="0" locked="0" layoutInCell="1" allowOverlap="1" relativeHeight="3" wp14:anchorId="6C0971DF">
                <wp:simplePos x="0" y="0"/>
                <wp:positionH relativeFrom="column">
                  <wp:posOffset>772795</wp:posOffset>
                </wp:positionH>
                <wp:positionV relativeFrom="paragraph">
                  <wp:posOffset>1505585</wp:posOffset>
                </wp:positionV>
                <wp:extent cx="1539240" cy="265430"/>
                <wp:effectExtent l="3810" t="3175" r="2540" b="3175"/>
                <wp:wrapNone/>
                <wp:docPr id="1" name="Поле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360" cy="2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>22.09.2025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4" path="m0,0l-2147483645,0l-2147483645,-2147483646l0,-2147483646xe" fillcolor="white" stroked="t" o:allowincell="f" style="position:absolute;margin-left:60.85pt;margin-top:118.55pt;width:121.15pt;height:20.85pt;mso-wrap-style:square;v-text-anchor:top" wp14:anchorId="6C0971DF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>22.09.2025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5" wp14:anchorId="4539684E">
                <wp:simplePos x="0" y="0"/>
                <wp:positionH relativeFrom="column">
                  <wp:posOffset>4086225</wp:posOffset>
                </wp:positionH>
                <wp:positionV relativeFrom="paragraph">
                  <wp:posOffset>1523365</wp:posOffset>
                </wp:positionV>
                <wp:extent cx="1127125" cy="329565"/>
                <wp:effectExtent l="3810" t="3810" r="2540" b="2540"/>
                <wp:wrapNone/>
                <wp:docPr id="2" name="Поле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60" cy="3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1-3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321.75pt;margin-top:119.95pt;width:88.7pt;height:25.9pt;mso-wrap-style:square;v-text-anchor:top" wp14:anchorId="4539684E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1-3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3" name="Рисунок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 xml:space="preserve">Об избрании Главы </w:t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 xml:space="preserve">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>Республики Татарстан</w:t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 w:eastAsia="Times New Roman" w:cs="Arial"/>
          <w:b/>
          <w:bCs/>
          <w:sz w:val="28"/>
          <w:szCs w:val="28"/>
          <w:lang w:eastAsia="ru-RU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340" w:left="0" w:right="170"/>
        <w:jc w:val="both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Cs/>
          <w:sz w:val="28"/>
          <w:szCs w:val="28"/>
          <w:lang w:eastAsia="ru-RU"/>
        </w:rPr>
        <w:t xml:space="preserve">  </w:t>
      </w:r>
      <w:r>
        <w:rPr>
          <w:rFonts w:eastAsia="Times New Roman" w:cs="Arial" w:ascii="Tinos" w:hAnsi="Tinos"/>
          <w:bCs/>
          <w:sz w:val="28"/>
          <w:szCs w:val="28"/>
          <w:lang w:eastAsia="ru-RU"/>
        </w:rPr>
        <w:t>В соответствии со статьей 36 Федерального закона</w:t>
      </w: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Arial" w:ascii="Tinos" w:hAnsi="Tinos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37 Устава муниципального образования «Верхнеуслонский муниципальный район», протоколом № 2 заседания счетной комиссии о результатах тайного голосования, </w:t>
      </w:r>
      <w:r>
        <w:rPr>
          <w:rFonts w:eastAsia="Times New Roman" w:cs="Arial" w:ascii="Tinos" w:hAnsi="Tinos"/>
          <w:b w:val="false"/>
          <w:bCs w:val="false"/>
          <w:sz w:val="28"/>
          <w:szCs w:val="28"/>
          <w:lang w:eastAsia="ru-RU"/>
        </w:rPr>
        <w:t>Совет Верхнеуслонского муниципального района Республики Татарстан решил: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340" w:left="0" w:right="170"/>
        <w:jc w:val="both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sz w:val="28"/>
          <w:szCs w:val="28"/>
          <w:lang w:eastAsia="ru-RU"/>
        </w:rPr>
        <w:t>избрать   Главой   Верхнеуслонского   муниципального   района Республики Татарстан, председателем Совета Верхнеуслонского муниципального района Республики Татарстан Варакина Евгения Анатольевича</w:t>
      </w:r>
      <w:r>
        <w:rPr>
          <w:rFonts w:eastAsia="Times New Roman" w:cs="Arial" w:ascii="Tinos" w:hAnsi="Tinos"/>
          <w:bCs/>
          <w:sz w:val="28"/>
          <w:szCs w:val="28"/>
          <w:lang w:eastAsia="ru-RU"/>
        </w:rPr>
        <w:t>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3148" w:leader="none"/>
        </w:tabs>
        <w:bidi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Старейший по возрасту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депутат Совета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Верхнеуслонского</w:t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муниципального района</w:t>
        <w:tab/>
        <w:t xml:space="preserve">             Н.А. Скарлухин</w:t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121</Words>
  <Characters>849</Characters>
  <CharactersWithSpaces>985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2025-09-22T16:48:41Z</dcterms:created>
  <dc:creator/>
  <dc:description/>
  <dc:language>ru-RU</dc:language>
  <cp:lastModifiedBy/>
  <dcterms:modified xsi:type="dcterms:W3CDTF">2025-09-22T16:49:51Z</dcterms:modified>
  <cp:revision>2</cp:revision>
  <dc:subject/>
  <dc:title>Default</dc:title>
</cp:coreProperties>
</file>