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371F5">
      <w:pPr>
        <w:widowControl w:val="0"/>
        <w:ind w:left="4962" w:right="-82"/>
        <w:jc w:val="both"/>
        <w:rPr>
          <w:bCs/>
        </w:rPr>
      </w:pPr>
      <w:r>
        <w:rPr>
          <w:bCs/>
        </w:rPr>
        <w:t>Приложение № 10</w:t>
      </w:r>
    </w:p>
    <w:p w:rsidR="00D82179" w:rsidRDefault="00D371F5">
      <w:pPr>
        <w:widowControl w:val="0"/>
        <w:ind w:left="4962" w:right="-82"/>
        <w:jc w:val="both"/>
        <w:rPr>
          <w:bCs/>
        </w:rPr>
      </w:pPr>
      <w:r>
        <w:rPr>
          <w:bCs/>
        </w:rPr>
        <w:t>к решению Совета</w:t>
      </w:r>
    </w:p>
    <w:p w:rsidR="00D82179" w:rsidRDefault="00D371F5">
      <w:pPr>
        <w:ind w:left="4962" w:right="-82"/>
        <w:rPr>
          <w:bCs/>
        </w:rPr>
      </w:pPr>
      <w:r>
        <w:rPr>
          <w:bCs/>
        </w:rPr>
        <w:t xml:space="preserve">Верхнеуслонского муниципального                             района Республики Татарстан «О </w:t>
      </w:r>
      <w:proofErr w:type="gramStart"/>
      <w:r>
        <w:rPr>
          <w:bCs/>
        </w:rPr>
        <w:t>бюджете</w:t>
      </w:r>
      <w:proofErr w:type="gramEnd"/>
      <w:r>
        <w:rPr>
          <w:bCs/>
        </w:rPr>
        <w:t xml:space="preserve">   Верхнеуслонского                                                             муниципального   района   Республики   Татарстан на 2025 год и на плановый   период 2026 и 2027 годов»</w:t>
      </w:r>
    </w:p>
    <w:p w:rsidR="00D82179" w:rsidRDefault="00D371F5">
      <w:pPr>
        <w:widowControl w:val="0"/>
        <w:ind w:left="4962" w:right="-82"/>
        <w:jc w:val="both"/>
      </w:pPr>
      <w:r>
        <w:t>от  12  декабря 2024 г. № 54-694</w:t>
      </w:r>
    </w:p>
    <w:p w:rsidR="00D82179" w:rsidRDefault="00D82179">
      <w:pPr>
        <w:widowControl w:val="0"/>
        <w:ind w:left="4962" w:right="-82"/>
        <w:jc w:val="both"/>
      </w:pPr>
    </w:p>
    <w:p w:rsidR="00D82179" w:rsidRDefault="00D82179">
      <w:pPr>
        <w:widowControl w:val="0"/>
        <w:ind w:left="4956" w:right="-82"/>
        <w:jc w:val="both"/>
        <w:rPr>
          <w:rFonts w:ascii="Arial" w:hAnsi="Arial" w:cs="Arial"/>
          <w:sz w:val="22"/>
          <w:szCs w:val="22"/>
        </w:rPr>
      </w:pPr>
    </w:p>
    <w:p w:rsidR="00D82179" w:rsidRDefault="00D371F5">
      <w:pPr>
        <w:widowControl w:val="0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трансферты, получаемые от бюджетов поселений </w:t>
      </w:r>
    </w:p>
    <w:p w:rsidR="00D82179" w:rsidRDefault="00D371F5">
      <w:pPr>
        <w:widowControl w:val="0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Верхнеуслонского муниципального района Республики Татарстан</w:t>
      </w:r>
    </w:p>
    <w:p w:rsidR="00D82179" w:rsidRDefault="00D371F5">
      <w:pPr>
        <w:widowControl w:val="0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D82179" w:rsidRDefault="00D371F5">
      <w:pPr>
        <w:widowControl w:val="0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2026 и 2027 годов</w:t>
      </w:r>
    </w:p>
    <w:p w:rsidR="00D82179" w:rsidRDefault="00D82179">
      <w:pPr>
        <w:widowControl w:val="0"/>
        <w:ind w:right="-82"/>
        <w:jc w:val="center"/>
        <w:rPr>
          <w:sz w:val="28"/>
          <w:szCs w:val="28"/>
        </w:rPr>
      </w:pPr>
    </w:p>
    <w:p w:rsidR="00D82179" w:rsidRDefault="00D82179">
      <w:pPr>
        <w:widowControl w:val="0"/>
        <w:ind w:right="-82"/>
        <w:jc w:val="center"/>
        <w:rPr>
          <w:sz w:val="28"/>
          <w:szCs w:val="28"/>
        </w:rPr>
      </w:pPr>
    </w:p>
    <w:p w:rsidR="00D82179" w:rsidRDefault="00D371F5">
      <w:pPr>
        <w:widowControl w:val="0"/>
        <w:ind w:right="-82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9571" w:type="dxa"/>
        <w:tblLayout w:type="fixed"/>
        <w:tblLook w:val="0000"/>
      </w:tblPr>
      <w:tblGrid>
        <w:gridCol w:w="6062"/>
        <w:gridCol w:w="1840"/>
        <w:gridCol w:w="1669"/>
      </w:tblGrid>
      <w:tr w:rsidR="00D82179"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 w:firstLine="720"/>
              <w:jc w:val="center"/>
              <w:rPr>
                <w:b/>
              </w:rPr>
            </w:pPr>
            <w:r>
              <w:rPr>
                <w:b/>
              </w:rPr>
              <w:t>Наименование поселения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D82179"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widowControl w:val="0"/>
              <w:ind w:right="-82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D821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Бурнашевское сельское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5 912,10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5 908,30</w:t>
            </w:r>
          </w:p>
        </w:tc>
      </w:tr>
      <w:tr w:rsidR="00D821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Введенско-Слободское  сельское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32 729,90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32 898,90</w:t>
            </w:r>
          </w:p>
        </w:tc>
      </w:tr>
      <w:tr w:rsidR="00D821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Верхнеуслонское сельское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5 387,10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5 539,00</w:t>
            </w:r>
          </w:p>
        </w:tc>
      </w:tr>
      <w:tr w:rsidR="00D82179">
        <w:trPr>
          <w:trHeight w:val="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Набережно-Морквашское  сельское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21 300,00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21 542,30</w:t>
            </w:r>
          </w:p>
        </w:tc>
      </w:tr>
      <w:tr w:rsidR="00D82179">
        <w:trPr>
          <w:trHeight w:val="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proofErr w:type="spellStart"/>
            <w:r>
              <w:t>Печищинскоесельское</w:t>
            </w:r>
            <w:proofErr w:type="spellEnd"/>
            <w:r>
              <w:t xml:space="preserve">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1 321,40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1 352,90</w:t>
            </w:r>
          </w:p>
        </w:tc>
      </w:tr>
      <w:tr w:rsidR="00D82179">
        <w:trPr>
          <w:trHeight w:val="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Шеланговское сельское поселение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240,50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228,40</w:t>
            </w:r>
          </w:p>
        </w:tc>
      </w:tr>
      <w:tr w:rsidR="00D821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Город Иннополис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224 536,70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251 207,00</w:t>
            </w:r>
          </w:p>
        </w:tc>
      </w:tr>
      <w:tr w:rsidR="00D8217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  <w:rPr>
                <w:b/>
              </w:rPr>
            </w:pPr>
            <w:r>
              <w:rPr>
                <w:b/>
              </w:rPr>
              <w:t>291 427,70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  <w:rPr>
                <w:b/>
              </w:rPr>
            </w:pPr>
            <w:r>
              <w:rPr>
                <w:b/>
              </w:rPr>
              <w:t>318 676,80</w:t>
            </w:r>
          </w:p>
        </w:tc>
      </w:tr>
    </w:tbl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5979DB"/>
    <w:rsid w:val="008E0170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2026-02-20T07:53:00Z</dcterms:created>
  <dcterms:modified xsi:type="dcterms:W3CDTF">2026-02-20T07:53:00Z</dcterms:modified>
  <dc:language>ru-RU</dc:language>
</cp:coreProperties>
</file>