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4360" w:type="dxa"/>
        <w:tblInd w:w="5211" w:type="dxa"/>
        <w:tblLayout w:type="fixed"/>
        <w:tblLook w:val="04A0"/>
      </w:tblPr>
      <w:tblGrid>
        <w:gridCol w:w="4360"/>
      </w:tblGrid>
      <w:tr w:rsidR="00D82179">
        <w:tc>
          <w:tcPr>
            <w:tcW w:w="4360" w:type="dxa"/>
          </w:tcPr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13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муниципального района Республики Татарстан на 2025 год и на плановый период 2026 и 2027 годов»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12  декабря 2024г. №  54-694</w:t>
            </w:r>
          </w:p>
        </w:tc>
      </w:tr>
    </w:tbl>
    <w:p w:rsidR="00D82179" w:rsidRDefault="00D82179">
      <w:pPr>
        <w:pStyle w:val="8"/>
        <w:rPr>
          <w:rFonts w:ascii="Times New Roman" w:hAnsi="Times New Roman" w:cs="Times New Roman"/>
        </w:rPr>
      </w:pPr>
    </w:p>
    <w:p w:rsidR="00D82179" w:rsidRDefault="00D371F5">
      <w:pPr>
        <w:ind w:right="-82"/>
        <w:jc w:val="center"/>
      </w:pPr>
      <w:r>
        <w:t xml:space="preserve">Межбюджетные трансферты, </w:t>
      </w:r>
    </w:p>
    <w:p w:rsidR="00D82179" w:rsidRDefault="00D371F5">
      <w:pPr>
        <w:ind w:left="-426" w:right="-82"/>
        <w:jc w:val="center"/>
      </w:pPr>
      <w:proofErr w:type="gramStart"/>
      <w:r>
        <w:t>получаемые из Республики Татарстан в 2025 году</w:t>
      </w:r>
      <w:proofErr w:type="gramEnd"/>
    </w:p>
    <w:p w:rsidR="00D82179" w:rsidRDefault="00D371F5">
      <w:pPr>
        <w:ind w:left="4962" w:right="-82"/>
      </w:pPr>
      <w:r>
        <w:t>( в тыс. рублях)</w:t>
      </w:r>
    </w:p>
    <w:tbl>
      <w:tblPr>
        <w:tblW w:w="10008" w:type="dxa"/>
        <w:tblLayout w:type="fixed"/>
        <w:tblLook w:val="01E0"/>
      </w:tblPr>
      <w:tblGrid>
        <w:gridCol w:w="6225"/>
        <w:gridCol w:w="2527"/>
        <w:gridCol w:w="1256"/>
      </w:tblGrid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Код показателя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 Сумма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2 00 00000 00 0000 000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412 785,13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Субсидии  бюджетам муниципальных районов </w:t>
            </w:r>
            <w:r>
              <w:rPr>
                <w:szCs w:val="28"/>
              </w:rPr>
      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2 02 29999 05 0000 150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33 624,10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proofErr w:type="gramStart"/>
            <w: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</w:t>
            </w:r>
            <w:proofErr w:type="gramEnd"/>
            <w:r>
              <w:t xml:space="preserve"> в муниципальных организациях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2 02 29999 05 0000 150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155 903,30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2 02 29999 05 0000 150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3 384,60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2 02 25304 05 0000 150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5 310,60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Субсидии бюджетам муниципальных районов в целях софинансирования расходов на реализацию мероприятий по обеспечению жильём молодых семей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2 02 25497 05 0000 150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1 533,70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Субсидии бюджетам муниципальных районов и городских </w:t>
            </w:r>
            <w:r>
              <w:lastRenderedPageBreak/>
              <w:t>округов в целях софинансирования расходных обязательств органов местного самоуправления 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lastRenderedPageBreak/>
              <w:t>2 02 29999 05 0000 150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60,10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lastRenderedPageBreak/>
              <w:t xml:space="preserve">Субвенции бюджетам муниципальных районов </w:t>
            </w:r>
            <w:r>
              <w:rPr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59,90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2 02 35303 05 0000 150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24 685,90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160 618,00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7 592,60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  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78,30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  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1 669,50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для осуществления органами местного самоуправления государственных полномочий РТ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t>дств чл</w:t>
            </w:r>
            <w:proofErr w:type="gramEnd"/>
            <w:r>
              <w:t>енов кооператива для строительства многоквартирных домов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779,00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582,50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571,00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555,90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lastRenderedPageBreak/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2 02 300 24 05 0000 150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1 936,10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555,90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22"/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346,20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22"/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Субвенции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279,70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ind w:right="-82"/>
            </w:pPr>
            <w:r>
              <w:t xml:space="preserve">Субвенция </w:t>
            </w:r>
            <w:r>
              <w:rPr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0,83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339,70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Субвенция </w:t>
            </w:r>
            <w:r>
              <w:rPr>
                <w:bCs/>
              </w:rPr>
              <w:t xml:space="preserve">на реализацию государственных полномочий по сбору информации от поселений, входящих в </w:t>
            </w:r>
            <w:proofErr w:type="gramStart"/>
            <w:r>
              <w:rPr>
                <w:bCs/>
              </w:rPr>
              <w:t>муниципальный</w:t>
            </w:r>
            <w:proofErr w:type="gramEnd"/>
            <w:r>
              <w:rPr>
                <w:bCs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4,70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Субвенция </w:t>
            </w:r>
            <w:r>
              <w:rPr>
                <w:bCs/>
              </w:rPr>
              <w:t>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2 02 30024 05 0000 150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53,30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2 02 30027 05 0000 150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7 220,70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Субвенции бюджетам муниципальных районов   на реализацию полномочий по государственной регистрации </w:t>
            </w:r>
            <w:r>
              <w:lastRenderedPageBreak/>
              <w:t>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lastRenderedPageBreak/>
              <w:t>2 02 35930 05 0000 150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1 282,00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lastRenderedPageBreak/>
              <w:t>Субвенции бюджетам муниципальных районов   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2 02 35118 05 0000 150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3 751,10</w:t>
            </w:r>
          </w:p>
        </w:tc>
      </w:tr>
      <w:tr w:rsidR="00D82179"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2 02 35120 05 0000 150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</w:pPr>
            <w:r>
              <w:t>5,90</w:t>
            </w:r>
          </w:p>
        </w:tc>
      </w:tr>
    </w:tbl>
    <w:p w:rsidR="00D82179" w:rsidRDefault="00D82179">
      <w:pPr>
        <w:ind w:right="-82"/>
        <w:jc w:val="center"/>
      </w:pPr>
    </w:p>
    <w:p w:rsidR="00D82179" w:rsidRDefault="00D82179">
      <w:pPr>
        <w:ind w:right="-82"/>
        <w:jc w:val="center"/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5212"/>
        <w:gridCol w:w="4359"/>
      </w:tblGrid>
      <w:tr w:rsidR="00D82179">
        <w:tc>
          <w:tcPr>
            <w:tcW w:w="5211" w:type="dxa"/>
          </w:tcPr>
          <w:p w:rsidR="00D82179" w:rsidRDefault="00D82179">
            <w:pPr>
              <w:widowControl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359" w:type="dxa"/>
          </w:tcPr>
          <w:p w:rsidR="00D82179" w:rsidRDefault="00D371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Приложение №13 к Решению Совета </w:t>
            </w:r>
          </w:p>
          <w:p w:rsidR="00D82179" w:rsidRDefault="00D371F5">
            <w:pPr>
              <w:widowControl w:val="0"/>
              <w:tabs>
                <w:tab w:val="left" w:pos="4140"/>
              </w:tabs>
              <w:rPr>
                <w:bCs/>
              </w:rPr>
            </w:pPr>
            <w:r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D82179" w:rsidRDefault="00D371F5">
            <w:pPr>
              <w:widowControl w:val="0"/>
              <w:tabs>
                <w:tab w:val="left" w:pos="4140"/>
              </w:tabs>
              <w:rPr>
                <w:bCs/>
              </w:rPr>
            </w:pPr>
            <w:r>
              <w:rPr>
                <w:bCs/>
              </w:rPr>
              <w:t xml:space="preserve">«О </w:t>
            </w:r>
            <w:proofErr w:type="gramStart"/>
            <w:r>
              <w:rPr>
                <w:bCs/>
              </w:rPr>
              <w:t>бюджете</w:t>
            </w:r>
            <w:proofErr w:type="gramEnd"/>
            <w:r>
              <w:rPr>
                <w:bCs/>
              </w:rPr>
              <w:t xml:space="preserve"> Верхнеуслонского муниципального района Республики Татарстан на 2024 год и на плановый период 2025 и 2026 годов»</w:t>
            </w:r>
          </w:p>
          <w:p w:rsidR="00D82179" w:rsidRDefault="00D371F5">
            <w:pPr>
              <w:widowControl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от  12    декабря  2023г. </w:t>
            </w:r>
            <w:r>
              <w:t>№ 54-694</w:t>
            </w:r>
          </w:p>
        </w:tc>
      </w:tr>
    </w:tbl>
    <w:p w:rsidR="00D82179" w:rsidRDefault="00D82179">
      <w:pPr>
        <w:widowControl w:val="0"/>
        <w:jc w:val="both"/>
        <w:rPr>
          <w:sz w:val="28"/>
          <w:szCs w:val="20"/>
        </w:rPr>
      </w:pPr>
    </w:p>
    <w:p w:rsidR="00D82179" w:rsidRDefault="00D371F5">
      <w:pPr>
        <w:ind w:firstLine="540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Субвенции</w:t>
      </w:r>
    </w:p>
    <w:p w:rsidR="00D82179" w:rsidRDefault="00D371F5">
      <w:pPr>
        <w:ind w:firstLine="540"/>
        <w:jc w:val="center"/>
        <w:rPr>
          <w:sz w:val="28"/>
          <w:szCs w:val="20"/>
        </w:rPr>
      </w:pPr>
      <w:r>
        <w:rPr>
          <w:bCs/>
          <w:sz w:val="28"/>
          <w:szCs w:val="28"/>
        </w:rPr>
        <w:t>бюджетам поселений для осуществления полномочий</w:t>
      </w:r>
      <w:r>
        <w:rPr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>
        <w:rPr>
          <w:sz w:val="28"/>
          <w:szCs w:val="20"/>
        </w:rPr>
        <w:t>на 2025 год</w:t>
      </w:r>
    </w:p>
    <w:p w:rsidR="00D82179" w:rsidRDefault="00D82179">
      <w:pPr>
        <w:ind w:firstLine="540"/>
        <w:jc w:val="center"/>
        <w:rPr>
          <w:sz w:val="28"/>
          <w:szCs w:val="20"/>
        </w:rPr>
      </w:pPr>
    </w:p>
    <w:p w:rsidR="00D82179" w:rsidRDefault="00D371F5">
      <w:pPr>
        <w:ind w:firstLine="540"/>
        <w:jc w:val="right"/>
        <w:rPr>
          <w:sz w:val="28"/>
          <w:szCs w:val="20"/>
        </w:rPr>
      </w:pPr>
      <w:r>
        <w:rPr>
          <w:sz w:val="28"/>
          <w:szCs w:val="20"/>
        </w:rPr>
        <w:t>(тыс. рублей)</w:t>
      </w:r>
    </w:p>
    <w:tbl>
      <w:tblPr>
        <w:tblW w:w="9571" w:type="dxa"/>
        <w:tblLayout w:type="fixed"/>
        <w:tblLook w:val="0000"/>
      </w:tblPr>
      <w:tblGrid>
        <w:gridCol w:w="7148"/>
        <w:gridCol w:w="2423"/>
      </w:tblGrid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Сумма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Вахитовское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Введенско-Слободское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Канашское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Кильдеевское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Коргузинское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tabs>
                <w:tab w:val="left" w:pos="3920"/>
              </w:tabs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Кураловское сельское поселение</w:t>
            </w:r>
            <w:r>
              <w:rPr>
                <w:sz w:val="28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Майданское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Макуловское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Набережно-Морквашское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Нижнеуслонское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Новорусско-Маматкозинское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Печищинскоесельское</w:t>
            </w:r>
            <w:proofErr w:type="spellEnd"/>
            <w:r>
              <w:rPr>
                <w:sz w:val="28"/>
                <w:szCs w:val="20"/>
              </w:rPr>
              <w:t xml:space="preserve">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Соболевское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Шеланговское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184,45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Ямбулатовское</w:t>
            </w:r>
            <w:proofErr w:type="spellEnd"/>
            <w:r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184,44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431,17</w:t>
            </w:r>
          </w:p>
        </w:tc>
      </w:tr>
      <w:tr w:rsidR="00D8217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3 751,10</w:t>
            </w:r>
          </w:p>
        </w:tc>
      </w:tr>
    </w:tbl>
    <w:p w:rsidR="00D82179" w:rsidRDefault="00D82179">
      <w:pPr>
        <w:ind w:firstLine="540"/>
        <w:jc w:val="center"/>
        <w:rPr>
          <w:sz w:val="28"/>
          <w:szCs w:val="20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85"/>
      </w:tblGrid>
      <w:tr w:rsidR="00D82179">
        <w:trPr>
          <w:trHeight w:val="575"/>
        </w:trPr>
        <w:tc>
          <w:tcPr>
            <w:tcW w:w="10485" w:type="dxa"/>
          </w:tcPr>
          <w:p w:rsidR="00D82179" w:rsidRDefault="00D82179">
            <w:pPr>
              <w:widowControl w:val="0"/>
              <w:ind w:left="11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2179" w:rsidRDefault="00D82179"/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324DD5"/>
    <w:rsid w:val="00903AE7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2026-02-20T08:02:00Z</dcterms:created>
  <dcterms:modified xsi:type="dcterms:W3CDTF">2026-02-20T08:02:00Z</dcterms:modified>
  <dc:language>ru-RU</dc:language>
</cp:coreProperties>
</file>