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ntTable.xml" ContentType="application/vnd.openxmlformats-officedocument.wordprocessingml.fontTable+xml"/>
  <Override PartName="/word/media/image1.png" ContentType="image/png"/>
  <Override PartName="/word/_rels/document.xml.rels" ContentType="application/vnd.openxmlformats-package.relationship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bidi w:val="0"/>
        <w:spacing w:lineRule="auto" w:line="240" w:before="0" w:after="0"/>
        <w:jc w:val="right"/>
        <w:rPr>
          <w:rFonts w:ascii="PT Astra Serif" w:hAnsi="PT Astra Serif"/>
          <w:sz w:val="24"/>
          <w:szCs w:val="24"/>
        </w:rPr>
      </w:pPr>
      <w:r>
        <mc:AlternateContent>
          <mc:Choice Requires="wps">
            <w:drawing>
              <wp:anchor behindDoc="0" distT="0" distB="0" distL="0" distR="0" simplePos="0" locked="0" layoutInCell="1" allowOverlap="1" relativeHeight="3" wp14:anchorId="375F2D0C">
                <wp:simplePos x="0" y="0"/>
                <wp:positionH relativeFrom="column">
                  <wp:posOffset>882015</wp:posOffset>
                </wp:positionH>
                <wp:positionV relativeFrom="paragraph">
                  <wp:posOffset>1515745</wp:posOffset>
                </wp:positionV>
                <wp:extent cx="1257300" cy="276225"/>
                <wp:effectExtent l="0" t="0" r="0" b="0"/>
                <wp:wrapNone/>
                <wp:docPr id="1" name="Поле 1"/>
                <a:graphic xmlns:a="http://schemas.openxmlformats.org/drawingml/2006/main">
                  <a:graphicData uri="http://schemas.microsoft.com/office/word/2010/wordprocessingShape">
                    <wps:wsp>
                      <wps:cNvSpPr/>
                      <wps:spPr>
                        <a:xfrm>
                          <a:off x="0" y="0"/>
                          <a:ext cx="1257480" cy="276120"/>
                        </a:xfrm>
                        <a:prstGeom prst="rect">
                          <a:avLst/>
                        </a:prstGeom>
                        <a:noFill/>
                        <a:ln w="6350">
                          <a:noFill/>
                        </a:ln>
                      </wps:spPr>
                      <wps:style>
                        <a:lnRef idx="0"/>
                        <a:fillRef idx="0"/>
                        <a:effectRef idx="0"/>
                        <a:fontRef idx="minor"/>
                      </wps:style>
                      <wps:txbx>
                        <w:txbxContent>
                          <w:p>
                            <w:pPr>
                              <w:pStyle w:val="Style16"/>
                              <w:bidi w:val="0"/>
                              <w:spacing w:before="0" w:after="200"/>
                              <w:rPr>
                                <w:rFonts w:ascii="Times New Roman" w:hAnsi="Times New Roman" w:cs="Times New Roman"/>
                                <w:sz w:val="28"/>
                                <w:szCs w:val="28"/>
                              </w:rPr>
                            </w:pPr>
                            <w:r>
                              <w:rPr>
                                <w:rFonts w:cs="Times New Roman" w:ascii="Times New Roman" w:hAnsi="Times New Roman"/>
                                <w:color w:val="000000"/>
                                <w:sz w:val="28"/>
                                <w:szCs w:val="28"/>
                              </w:rPr>
                              <w:t xml:space="preserve">  </w:t>
                            </w:r>
                          </w:p>
                        </w:txbxContent>
                      </wps:txbx>
                      <wps:bodyPr anchor="t">
                        <a:prstTxWarp prst="textNoShape"/>
                        <a:noAutofit/>
                      </wps:bodyPr>
                    </wps:wsp>
                  </a:graphicData>
                </a:graphic>
              </wp:anchor>
            </w:drawing>
          </mc:Choice>
          <mc:Fallback>
            <w:pict>
              <v:rect id="shape_0" ID="Поле 1" path="m0,0l-2147483645,0l-2147483645,-2147483646l0,-2147483646xe" stroked="f" o:allowincell="f" style="position:absolute;margin-left:69.45pt;margin-top:119.35pt;width:98.95pt;height:21.7pt;mso-wrap-style:square;v-text-anchor:top" wp14:anchorId="375F2D0C">
                <v:fill o:detectmouseclick="t" on="false"/>
                <v:stroke color="#3465a4" weight="6480" joinstyle="round" endcap="flat"/>
                <v:textbox>
                  <w:txbxContent>
                    <w:p>
                      <w:pPr>
                        <w:pStyle w:val="Style16"/>
                        <w:bidi w:val="0"/>
                        <w:spacing w:before="0" w:after="200"/>
                        <w:rPr>
                          <w:rFonts w:ascii="Times New Roman" w:hAnsi="Times New Roman" w:cs="Times New Roman"/>
                          <w:sz w:val="28"/>
                          <w:szCs w:val="28"/>
                        </w:rPr>
                      </w:pPr>
                      <w:r>
                        <w:rPr>
                          <w:rFonts w:cs="Times New Roman" w:ascii="Times New Roman" w:hAnsi="Times New Roman"/>
                          <w:color w:val="000000"/>
                          <w:sz w:val="28"/>
                          <w:szCs w:val="28"/>
                        </w:rPr>
                        <w:t xml:space="preserve">  </w:t>
                      </w:r>
                    </w:p>
                  </w:txbxContent>
                </v:textbox>
                <w10:wrap type="none"/>
              </v:rect>
            </w:pict>
          </mc:Fallback>
        </mc:AlternateContent>
        <mc:AlternateContent>
          <mc:Choice Requires="wps">
            <w:drawing>
              <wp:anchor behindDoc="0" distT="0" distB="0" distL="0" distR="0" simplePos="0" locked="0" layoutInCell="1" allowOverlap="1" relativeHeight="5" wp14:anchorId="375F2D0C">
                <wp:simplePos x="0" y="0"/>
                <wp:positionH relativeFrom="column">
                  <wp:posOffset>3869055</wp:posOffset>
                </wp:positionH>
                <wp:positionV relativeFrom="paragraph">
                  <wp:posOffset>2191385</wp:posOffset>
                </wp:positionV>
                <wp:extent cx="1257300" cy="276225"/>
                <wp:effectExtent l="0" t="0" r="0" b="0"/>
                <wp:wrapNone/>
                <wp:docPr id="2" name="Поле 32"/>
                <a:graphic xmlns:a="http://schemas.openxmlformats.org/drawingml/2006/main">
                  <a:graphicData uri="http://schemas.microsoft.com/office/word/2010/wordprocessingShape">
                    <wps:wsp>
                      <wps:cNvSpPr/>
                      <wps:spPr>
                        <a:xfrm>
                          <a:off x="0" y="0"/>
                          <a:ext cx="1257480" cy="276120"/>
                        </a:xfrm>
                        <a:prstGeom prst="rect">
                          <a:avLst/>
                        </a:prstGeom>
                        <a:noFill/>
                        <a:ln w="6350">
                          <a:noFill/>
                        </a:ln>
                      </wps:spPr>
                      <wps:style>
                        <a:lnRef idx="0"/>
                        <a:fillRef idx="0"/>
                        <a:effectRef idx="0"/>
                        <a:fontRef idx="minor"/>
                      </wps:style>
                      <wps:txbx>
                        <w:txbxContent>
                          <w:p>
                            <w:pPr>
                              <w:pStyle w:val="Style16"/>
                              <w:bidi w:val="0"/>
                              <w:spacing w:before="0" w:after="200"/>
                              <w:rPr>
                                <w:rFonts w:ascii="Times New Roman" w:hAnsi="Times New Roman" w:cs="Times New Roman"/>
                                <w:sz w:val="28"/>
                                <w:szCs w:val="28"/>
                              </w:rPr>
                            </w:pPr>
                            <w:r>
                              <w:rPr>
                                <w:rFonts w:cs="Times New Roman" w:ascii="Times New Roman" w:hAnsi="Times New Roman"/>
                                <w:color w:val="000000"/>
                                <w:sz w:val="28"/>
                                <w:szCs w:val="28"/>
                              </w:rPr>
                              <w:t xml:space="preserve">    </w:t>
                            </w:r>
                          </w:p>
                        </w:txbxContent>
                      </wps:txbx>
                      <wps:bodyPr anchor="t">
                        <a:prstTxWarp prst="textNoShape"/>
                        <a:noAutofit/>
                      </wps:bodyPr>
                    </wps:wsp>
                  </a:graphicData>
                </a:graphic>
              </wp:anchor>
            </w:drawing>
          </mc:Choice>
          <mc:Fallback>
            <w:pict>
              <v:rect id="shape_0" ID="Поле 32" path="m0,0l-2147483645,0l-2147483645,-2147483646l0,-2147483646xe" stroked="f" o:allowincell="f" style="position:absolute;margin-left:304.65pt;margin-top:172.55pt;width:98.95pt;height:21.7pt;mso-wrap-style:square;v-text-anchor:top" wp14:anchorId="375F2D0C">
                <v:fill o:detectmouseclick="t" on="false"/>
                <v:stroke color="#3465a4" weight="6480" joinstyle="round" endcap="flat"/>
                <v:textbox>
                  <w:txbxContent>
                    <w:p>
                      <w:pPr>
                        <w:pStyle w:val="Style16"/>
                        <w:bidi w:val="0"/>
                        <w:spacing w:before="0" w:after="200"/>
                        <w:rPr>
                          <w:rFonts w:ascii="Times New Roman" w:hAnsi="Times New Roman" w:cs="Times New Roman"/>
                          <w:sz w:val="28"/>
                          <w:szCs w:val="28"/>
                        </w:rPr>
                      </w:pPr>
                      <w:r>
                        <w:rPr>
                          <w:rFonts w:cs="Times New Roman" w:ascii="Times New Roman" w:hAnsi="Times New Roman"/>
                          <w:color w:val="000000"/>
                          <w:sz w:val="28"/>
                          <w:szCs w:val="28"/>
                        </w:rPr>
                        <w:t xml:space="preserve">    </w:t>
                      </w:r>
                    </w:p>
                  </w:txbxContent>
                </v:textbox>
                <w10:wrap type="none"/>
              </v:rect>
            </w:pict>
          </mc:Fallback>
        </mc:AlternateContent>
      </w:r>
      <w:r>
        <w:rPr/>
        <w:drawing>
          <wp:inline distT="0" distB="0" distL="0" distR="0">
            <wp:extent cx="5940425" cy="2131695"/>
            <wp:effectExtent l="0" t="0" r="0" b="0"/>
            <wp:docPr id="3" name="Рисунок 1 Копия 2" descr="СОВЕТ РЕШ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Копия 2" descr="СОВЕТ РЕШЕНИЕ"/>
                    <pic:cNvPicPr>
                      <a:picLocks noChangeAspect="1" noChangeArrowheads="1"/>
                    </pic:cNvPicPr>
                  </pic:nvPicPr>
                  <pic:blipFill>
                    <a:blip r:embed="rId2"/>
                    <a:stretch>
                      <a:fillRect/>
                    </a:stretch>
                  </pic:blipFill>
                  <pic:spPr bwMode="auto">
                    <a:xfrm>
                      <a:off x="0" y="0"/>
                      <a:ext cx="5940425" cy="2131695"/>
                    </a:xfrm>
                    <a:prstGeom prst="rect">
                      <a:avLst/>
                    </a:prstGeom>
                  </pic:spPr>
                </pic:pic>
              </a:graphicData>
            </a:graphic>
          </wp:inline>
        </w:drawing>
      </w:r>
      <w:r>
        <w:rPr>
          <w:rFonts w:eastAsia="Courier New" w:cs="Times New Roman"/>
          <w:color w:val="000000"/>
          <w:sz w:val="24"/>
          <w:szCs w:val="24"/>
          <w:lang w:eastAsia="ru-RU"/>
        </w:rPr>
        <w:t xml:space="preserve"> </w:t>
      </w:r>
    </w:p>
    <w:p>
      <w:pPr>
        <w:pStyle w:val="Normal"/>
        <w:widowControl w:val="false"/>
        <w:bidi w:val="0"/>
        <w:spacing w:lineRule="auto" w:line="240" w:before="0" w:after="0"/>
        <w:rPr>
          <w:rFonts w:ascii="PT Astra Serif" w:hAnsi="PT Astra Serif" w:eastAsia="Courier New" w:cs="Times New Roman"/>
          <w:color w:val="000000"/>
          <w:sz w:val="24"/>
          <w:szCs w:val="24"/>
          <w:lang w:eastAsia="ru-RU"/>
        </w:rPr>
      </w:pPr>
      <w:r>
        <w:rPr>
          <w:rFonts w:eastAsia="Courier New" w:cs="Times New Roman"/>
          <w:color w:val="000000"/>
          <w:sz w:val="24"/>
          <w:szCs w:val="24"/>
          <w:lang w:eastAsia="ru-RU"/>
        </w:rPr>
      </w:r>
    </w:p>
    <w:p>
      <w:pPr>
        <w:pStyle w:val="Normal"/>
        <w:widowControl w:val="false"/>
        <w:bidi w:val="0"/>
        <w:spacing w:lineRule="auto" w:line="240" w:before="0" w:after="0"/>
        <w:ind w:hanging="0" w:left="20"/>
        <w:jc w:val="center"/>
        <w:rPr>
          <w:rFonts w:ascii="PT Astra Serif" w:hAnsi="PT Astra Serif"/>
          <w:sz w:val="24"/>
          <w:szCs w:val="24"/>
        </w:rPr>
      </w:pPr>
      <w:r>
        <w:rPr>
          <w:sz w:val="24"/>
          <w:szCs w:val="24"/>
        </w:rPr>
        <w:t>ПРОЕКТ</w:t>
      </w:r>
    </w:p>
    <w:p>
      <w:pPr>
        <w:pStyle w:val="Normal"/>
        <w:widowControl w:val="false"/>
        <w:bidi w:val="0"/>
        <w:spacing w:lineRule="auto" w:line="240" w:before="0" w:after="0"/>
        <w:ind w:hanging="0" w:left="20"/>
        <w:jc w:val="center"/>
        <w:rPr>
          <w:rFonts w:ascii="PT Astra Serif" w:hAnsi="PT Astra Serif"/>
          <w:sz w:val="24"/>
          <w:szCs w:val="24"/>
        </w:rPr>
      </w:pPr>
      <w:r>
        <w:rPr>
          <w:sz w:val="24"/>
          <w:szCs w:val="24"/>
        </w:rPr>
      </w:r>
    </w:p>
    <w:p>
      <w:pPr>
        <w:pStyle w:val="Normal"/>
        <w:widowControl w:val="false"/>
        <w:bidi w:val="0"/>
        <w:spacing w:lineRule="auto" w:line="240" w:before="0" w:after="0"/>
        <w:ind w:hanging="0" w:left="20"/>
        <w:jc w:val="center"/>
        <w:rPr>
          <w:rFonts w:ascii="PT Astra Serif" w:hAnsi="PT Astra Serif"/>
          <w:sz w:val="24"/>
          <w:szCs w:val="24"/>
        </w:rPr>
      </w:pPr>
      <w:r>
        <w:rPr>
          <w:rFonts w:eastAsia="Sylfaen" w:cs="Times New Roman"/>
          <w:b/>
          <w:color w:val="000000"/>
          <w:sz w:val="24"/>
          <w:szCs w:val="24"/>
          <w:shd w:fill="FFFFFF" w:val="clear"/>
        </w:rPr>
        <w:t xml:space="preserve">Об утверждении Положения о порядке организации и проведении </w:t>
      </w:r>
    </w:p>
    <w:p>
      <w:pPr>
        <w:pStyle w:val="Normal"/>
        <w:widowControl w:val="false"/>
        <w:bidi w:val="0"/>
        <w:spacing w:lineRule="auto" w:line="240" w:before="0" w:after="0"/>
        <w:ind w:hanging="0" w:left="20"/>
        <w:jc w:val="center"/>
        <w:rPr>
          <w:rFonts w:ascii="PT Astra Serif" w:hAnsi="PT Astra Serif"/>
          <w:sz w:val="24"/>
          <w:szCs w:val="24"/>
        </w:rPr>
      </w:pPr>
      <w:r>
        <w:rPr>
          <w:rFonts w:eastAsia="Sylfaen" w:cs="Times New Roman"/>
          <w:b/>
          <w:color w:val="000000"/>
          <w:sz w:val="24"/>
          <w:szCs w:val="24"/>
          <w:shd w:fill="FFFFFF" w:val="clear"/>
        </w:rPr>
        <w:t xml:space="preserve">общественных обсуждений по оценке воздействия на окружающую среду планируемой (намечаемой) хозяйственной и иной деятельности на территории </w:t>
      </w:r>
    </w:p>
    <w:p>
      <w:pPr>
        <w:pStyle w:val="Normal"/>
        <w:widowControl w:val="false"/>
        <w:bidi w:val="0"/>
        <w:spacing w:lineRule="auto" w:line="240" w:before="0" w:after="0"/>
        <w:ind w:hanging="0" w:left="20"/>
        <w:jc w:val="center"/>
        <w:rPr>
          <w:rFonts w:ascii="PT Astra Serif" w:hAnsi="PT Astra Serif"/>
          <w:sz w:val="24"/>
          <w:szCs w:val="24"/>
        </w:rPr>
      </w:pPr>
      <w:r>
        <w:rPr>
          <w:rFonts w:eastAsia="Sylfaen" w:cs="Times New Roman"/>
          <w:b/>
          <w:color w:val="000000"/>
          <w:sz w:val="24"/>
          <w:szCs w:val="24"/>
          <w:shd w:fill="FFFFFF" w:val="clear"/>
        </w:rPr>
        <w:t>Верхнеуслонского муниципального района Республики Татарстан</w:t>
      </w:r>
    </w:p>
    <w:p>
      <w:pPr>
        <w:pStyle w:val="Normal"/>
        <w:widowControl w:val="false"/>
        <w:bidi w:val="0"/>
        <w:spacing w:lineRule="auto" w:line="240" w:before="0" w:after="0"/>
        <w:ind w:hanging="0" w:left="20"/>
        <w:jc w:val="center"/>
        <w:rPr>
          <w:rFonts w:ascii="PT Astra Serif" w:hAnsi="PT Astra Serif" w:eastAsia="Sylfaen" w:cs="Times New Roman"/>
          <w:b/>
          <w:sz w:val="24"/>
          <w:szCs w:val="24"/>
        </w:rPr>
      </w:pPr>
      <w:r>
        <w:rPr>
          <w:rFonts w:eastAsia="Sylfaen" w:cs="Times New Roman"/>
          <w:b/>
          <w:sz w:val="24"/>
          <w:szCs w:val="24"/>
        </w:rPr>
      </w:r>
    </w:p>
    <w:p>
      <w:pPr>
        <w:pStyle w:val="Normal"/>
        <w:widowControl w:val="false"/>
        <w:bidi w:val="0"/>
        <w:spacing w:lineRule="auto" w:line="240" w:before="0" w:after="0"/>
        <w:ind w:firstLine="720" w:left="40" w:right="20"/>
        <w:jc w:val="both"/>
        <w:rPr>
          <w:rFonts w:ascii="PT Astra Serif" w:hAnsi="PT Astra Serif"/>
          <w:sz w:val="24"/>
          <w:szCs w:val="24"/>
        </w:rPr>
      </w:pPr>
      <w:r>
        <w:rPr>
          <w:rFonts w:eastAsia="Sylfaen" w:cs="Times New Roman"/>
          <w:color w:val="000000"/>
          <w:sz w:val="24"/>
          <w:szCs w:val="24"/>
          <w:shd w:fill="FFFFFF" w:val="clear"/>
        </w:rPr>
        <w:t xml:space="preserve">Руководствуясь  Федеральными законами от 23 ноября 1995 года № 174-ФЗ «Об экологической экспертизе», от 10 января 2002 года № 7-ФЗ «Об охране окружающей среды», от </w:t>
      </w:r>
      <w:r>
        <w:rPr>
          <w:rFonts w:eastAsia="Sylfaen" w:cs="Times New Roman"/>
          <w:b w:val="false"/>
          <w:i w:val="false"/>
          <w:caps w:val="false"/>
          <w:smallCaps w:val="false"/>
          <w:color w:val="000000"/>
          <w:spacing w:val="0"/>
          <w:sz w:val="24"/>
          <w:szCs w:val="24"/>
          <w:shd w:fill="FFFFFF" w:val="clear"/>
        </w:rPr>
        <w:t>20.03.2025 N 33-ФЗ "Об общих принципах организации местного самоуправления в единой системе публичной власти"</w:t>
      </w:r>
      <w:r>
        <w:rPr>
          <w:rFonts w:eastAsia="Sylfaen" w:cs="Times New Roman"/>
          <w:color w:val="000000"/>
          <w:sz w:val="24"/>
          <w:szCs w:val="24"/>
          <w:shd w:fill="FFFFFF" w:val="clear"/>
        </w:rPr>
        <w:t xml:space="preserve">, </w:t>
      </w:r>
      <w:r>
        <w:rPr>
          <w:rFonts w:eastAsia="Sylfaen" w:cs="Times New Roman"/>
          <w:b w:val="false"/>
          <w:i w:val="false"/>
          <w:caps w:val="false"/>
          <w:smallCaps w:val="false"/>
          <w:color w:val="000000"/>
          <w:spacing w:val="0"/>
          <w:sz w:val="24"/>
          <w:szCs w:val="24"/>
          <w:shd w:fill="FFFFFF" w:val="clear"/>
        </w:rPr>
        <w:t>Постановлением Правительства РФ от 28.11.2024 N 1644 "О порядке проведения оценки воздействия на окружающую среду"</w:t>
      </w:r>
      <w:r>
        <w:rPr>
          <w:rFonts w:eastAsia="Sylfaen" w:cs="Times New Roman"/>
          <w:color w:val="000000"/>
          <w:sz w:val="24"/>
          <w:szCs w:val="24"/>
          <w:shd w:fill="FFFFFF" w:val="clear"/>
        </w:rPr>
        <w:t>, Уставом Верхнеуслонского муниципального района,</w:t>
      </w:r>
      <w:r>
        <w:rPr>
          <w:rFonts w:eastAsia="Sylfaen" w:cs="Times New Roman"/>
          <w:b w:val="false"/>
          <w:bCs w:val="false"/>
          <w:color w:val="000000"/>
          <w:sz w:val="24"/>
          <w:szCs w:val="24"/>
          <w:shd w:fill="FFFFFF" w:val="clear"/>
        </w:rPr>
        <w:t>Совет Верхнеуслонского муниципального района Республики Татарстан решил:</w:t>
      </w:r>
    </w:p>
    <w:p>
      <w:pPr>
        <w:pStyle w:val="Normal"/>
        <w:widowControl w:val="false"/>
        <w:tabs>
          <w:tab w:val="clear" w:pos="709"/>
          <w:tab w:val="left" w:pos="1332" w:leader="none"/>
        </w:tabs>
        <w:suppressAutoHyphens w:val="true"/>
        <w:bidi w:val="0"/>
        <w:spacing w:lineRule="auto" w:line="240" w:before="0" w:after="0"/>
        <w:ind w:firstLine="567" w:left="57" w:right="57"/>
        <w:jc w:val="both"/>
        <w:rPr>
          <w:rFonts w:ascii="PT Astra Serif" w:hAnsi="PT Astra Serif"/>
          <w:sz w:val="24"/>
          <w:szCs w:val="24"/>
        </w:rPr>
      </w:pPr>
      <w:r>
        <w:rPr>
          <w:rFonts w:eastAsia="Sylfaen" w:cs="Times New Roman"/>
          <w:color w:val="000000"/>
          <w:sz w:val="24"/>
          <w:szCs w:val="24"/>
          <w:shd w:fill="FFFFFF" w:val="clear"/>
        </w:rPr>
        <w:t>1.Утвердить Положение о порядке организации и проведения общественных обсуждений по оценке воздействия на окружающую среду планируемой (намечаемой) хозяйственной и иной деятельности на территории Верхнеуслонского муниципального района Республики Татарстан согласно приложению.</w:t>
      </w:r>
    </w:p>
    <w:p>
      <w:pPr>
        <w:pStyle w:val="Normal"/>
        <w:widowControl w:val="false"/>
        <w:numPr>
          <w:ilvl w:val="0"/>
          <w:numId w:val="0"/>
        </w:numPr>
        <w:tabs>
          <w:tab w:val="clear" w:pos="709"/>
          <w:tab w:val="left" w:pos="1332" w:leader="none"/>
        </w:tabs>
        <w:suppressAutoHyphens w:val="true"/>
        <w:bidi w:val="0"/>
        <w:spacing w:lineRule="auto" w:line="240" w:before="0" w:after="0"/>
        <w:ind w:firstLine="510" w:left="57" w:right="57"/>
        <w:jc w:val="both"/>
        <w:rPr>
          <w:rFonts w:ascii="PT Astra Serif" w:hAnsi="PT Astra Serif"/>
          <w:sz w:val="24"/>
          <w:szCs w:val="24"/>
        </w:rPr>
      </w:pPr>
      <w:r>
        <w:rPr>
          <w:rFonts w:eastAsia="Sylfaen" w:cs="Times New Roman"/>
          <w:sz w:val="24"/>
          <w:szCs w:val="24"/>
        </w:rPr>
        <w:t xml:space="preserve">2.Признать утратившим силу </w:t>
      </w:r>
      <w:r>
        <w:rPr>
          <w:rFonts w:eastAsia="Sylfaen" w:cs="Times New Roman"/>
          <w:color w:val="000000"/>
          <w:sz w:val="24"/>
          <w:szCs w:val="24"/>
          <w:shd w:fill="FFFFFF" w:val="clear"/>
        </w:rPr>
        <w:t>Положение о порядке организации и проведении общественных обсуждений по оценке воздействия на окружающую среду намечаемой хозяйственной и иной деятельности на территории Верхнеуслонского муниципального района Республики Татарстан, утвержденное решением Совета Верхнеуслонского муниципального района от 28.03.2024 года № 43-577.</w:t>
      </w:r>
    </w:p>
    <w:p>
      <w:pPr>
        <w:pStyle w:val="ListParagraph"/>
        <w:widowControl w:val="false"/>
        <w:numPr>
          <w:ilvl w:val="0"/>
          <w:numId w:val="0"/>
        </w:numPr>
        <w:suppressAutoHyphens w:val="true"/>
        <w:bidi w:val="0"/>
        <w:spacing w:lineRule="auto" w:line="240" w:before="0" w:after="0"/>
        <w:ind w:firstLine="510" w:left="113" w:right="0"/>
        <w:contextualSpacing/>
        <w:jc w:val="both"/>
        <w:rPr>
          <w:rFonts w:ascii="PT Astra Serif" w:hAnsi="PT Astra Serif"/>
          <w:sz w:val="24"/>
          <w:szCs w:val="24"/>
        </w:rPr>
      </w:pPr>
      <w:r>
        <w:rPr>
          <w:rFonts w:eastAsia="Courier New" w:cs="Courier New"/>
          <w:color w:val="000000"/>
          <w:sz w:val="24"/>
          <w:szCs w:val="24"/>
          <w:lang w:eastAsia="ru-RU"/>
        </w:rPr>
        <w:t xml:space="preserve">3.Разместить настоящее решение на официальном портале правовой информации Республики Татарстан и на официальном сайте Верхнеуслонского муниципального района. </w:t>
      </w:r>
    </w:p>
    <w:p>
      <w:pPr>
        <w:pStyle w:val="Normal"/>
        <w:widowControl w:val="false"/>
        <w:suppressAutoHyphens w:val="true"/>
        <w:bidi w:val="0"/>
        <w:spacing w:lineRule="auto" w:line="240" w:before="0" w:after="0"/>
        <w:ind w:firstLine="454" w:left="113" w:right="0"/>
        <w:jc w:val="both"/>
        <w:rPr>
          <w:rFonts w:ascii="PT Astra Serif" w:hAnsi="PT Astra Serif"/>
          <w:sz w:val="24"/>
          <w:szCs w:val="24"/>
        </w:rPr>
      </w:pPr>
      <w:r>
        <w:rPr>
          <w:rFonts w:eastAsia="Courier New" w:cs="Courier New"/>
          <w:color w:val="000000"/>
          <w:sz w:val="24"/>
          <w:szCs w:val="24"/>
          <w:lang w:eastAsia="ru-RU"/>
        </w:rPr>
        <w:t>4.</w:t>
      </w:r>
      <w:r>
        <w:rPr>
          <w:rFonts w:eastAsia="Courier New" w:cs="Times New Roman"/>
          <w:color w:val="000000"/>
          <w:sz w:val="24"/>
          <w:szCs w:val="24"/>
          <w:lang w:eastAsia="ru-RU"/>
        </w:rPr>
        <w:t>Контроль за исполнением настоящего решения возложить на постоянную комиссию Совета Верхнеуслонского</w:t>
      </w:r>
      <w:r>
        <w:rPr>
          <w:rFonts w:eastAsia="Courier New" w:cs="Times New Roman"/>
          <w:i/>
          <w:color w:val="000000"/>
          <w:sz w:val="24"/>
          <w:szCs w:val="24"/>
          <w:lang w:eastAsia="ru-RU"/>
        </w:rPr>
        <w:t xml:space="preserve"> </w:t>
      </w:r>
      <w:r>
        <w:rPr>
          <w:rFonts w:eastAsia="Courier New" w:cs="Times New Roman"/>
          <w:color w:val="000000"/>
          <w:sz w:val="24"/>
          <w:szCs w:val="24"/>
          <w:lang w:eastAsia="ru-RU"/>
        </w:rPr>
        <w:t>муниципального района по законности, правопорядку и регламенту.</w:t>
      </w:r>
    </w:p>
    <w:p>
      <w:pPr>
        <w:pStyle w:val="Normal"/>
        <w:widowControl w:val="false"/>
        <w:bidi w:val="0"/>
        <w:spacing w:lineRule="auto" w:line="240" w:before="0" w:after="0"/>
        <w:ind w:firstLine="720"/>
        <w:jc w:val="both"/>
        <w:rPr>
          <w:rFonts w:ascii="PT Astra Serif" w:hAnsi="PT Astra Serif" w:eastAsia="Courier New" w:cs="Courier New"/>
          <w:color w:val="000000"/>
          <w:sz w:val="24"/>
          <w:szCs w:val="24"/>
          <w:lang w:eastAsia="ru-RU"/>
        </w:rPr>
      </w:pPr>
      <w:r>
        <w:rPr>
          <w:rFonts w:eastAsia="Courier New" w:cs="Courier New"/>
          <w:color w:val="000000"/>
          <w:sz w:val="24"/>
          <w:szCs w:val="24"/>
          <w:lang w:eastAsia="ru-RU"/>
        </w:rPr>
      </w:r>
    </w:p>
    <w:p>
      <w:pPr>
        <w:pStyle w:val="Normal"/>
        <w:widowControl w:val="false"/>
        <w:bidi w:val="0"/>
        <w:spacing w:lineRule="auto" w:line="240" w:before="0" w:after="0"/>
        <w:ind w:firstLine="720"/>
        <w:jc w:val="both"/>
        <w:rPr>
          <w:rFonts w:ascii="PT Astra Serif" w:hAnsi="PT Astra Serif" w:eastAsia="Courier New" w:cs="Courier New"/>
          <w:color w:val="000000"/>
          <w:sz w:val="24"/>
          <w:szCs w:val="24"/>
          <w:lang w:eastAsia="ru-RU"/>
        </w:rPr>
      </w:pPr>
      <w:r>
        <w:rPr>
          <w:rFonts w:eastAsia="Courier New" w:cs="Courier New"/>
          <w:color w:val="000000"/>
          <w:sz w:val="24"/>
          <w:szCs w:val="24"/>
          <w:lang w:eastAsia="ru-RU"/>
        </w:rPr>
      </w:r>
    </w:p>
    <w:p>
      <w:pPr>
        <w:pStyle w:val="Normal"/>
        <w:widowControl w:val="false"/>
        <w:bidi w:val="0"/>
        <w:spacing w:lineRule="auto" w:line="240" w:before="0" w:after="0"/>
        <w:ind w:firstLine="720"/>
        <w:jc w:val="both"/>
        <w:rPr>
          <w:rFonts w:ascii="PT Astra Serif" w:hAnsi="PT Astra Serif" w:eastAsia="Courier New" w:cs="Courier New"/>
          <w:color w:val="000000"/>
          <w:sz w:val="24"/>
          <w:szCs w:val="24"/>
          <w:lang w:eastAsia="ru-RU"/>
        </w:rPr>
      </w:pPr>
      <w:r>
        <w:rPr>
          <w:rFonts w:eastAsia="Courier New" w:cs="Courier New"/>
          <w:color w:val="000000"/>
          <w:sz w:val="24"/>
          <w:szCs w:val="24"/>
          <w:lang w:eastAsia="ru-RU"/>
        </w:rPr>
      </w:r>
    </w:p>
    <w:p>
      <w:pPr>
        <w:pStyle w:val="Normal"/>
        <w:widowControl w:val="false"/>
        <w:bidi w:val="0"/>
        <w:spacing w:lineRule="auto" w:line="240" w:before="0" w:after="0"/>
        <w:ind w:firstLine="720"/>
        <w:jc w:val="both"/>
        <w:rPr>
          <w:rFonts w:ascii="PT Astra Serif" w:hAnsi="PT Astra Serif" w:eastAsia="Courier New" w:cs="Courier New"/>
          <w:color w:val="000000"/>
          <w:sz w:val="24"/>
          <w:szCs w:val="24"/>
          <w:lang w:eastAsia="ru-RU"/>
        </w:rPr>
      </w:pPr>
      <w:r>
        <w:rPr>
          <w:rFonts w:eastAsia="Courier New" w:cs="Courier New"/>
          <w:color w:val="000000"/>
          <w:sz w:val="24"/>
          <w:szCs w:val="24"/>
          <w:lang w:eastAsia="ru-RU"/>
        </w:rPr>
      </w:r>
    </w:p>
    <w:p>
      <w:pPr>
        <w:pStyle w:val="Normal"/>
        <w:bidi w:val="0"/>
        <w:spacing w:lineRule="auto" w:line="240" w:before="0" w:after="0"/>
        <w:ind w:hanging="0" w:left="510" w:right="0"/>
        <w:jc w:val="both"/>
        <w:rPr>
          <w:rFonts w:ascii="PT Astra Serif" w:hAnsi="PT Astra Serif"/>
          <w:sz w:val="24"/>
          <w:szCs w:val="24"/>
        </w:rPr>
      </w:pPr>
      <w:r>
        <w:rPr>
          <w:rFonts w:eastAsia="Times New Roman" w:cs="Arial"/>
          <w:b/>
          <w:sz w:val="24"/>
          <w:szCs w:val="24"/>
          <w:lang w:eastAsia="ru-RU"/>
        </w:rPr>
        <w:t>Председатель  Совета,</w:t>
      </w:r>
    </w:p>
    <w:p>
      <w:pPr>
        <w:pStyle w:val="Normal"/>
        <w:bidi w:val="0"/>
        <w:spacing w:lineRule="auto" w:line="240" w:before="0" w:after="0"/>
        <w:ind w:hanging="0" w:left="510" w:right="0"/>
        <w:jc w:val="both"/>
        <w:rPr>
          <w:rFonts w:ascii="PT Astra Serif" w:hAnsi="PT Astra Serif"/>
          <w:sz w:val="24"/>
          <w:szCs w:val="24"/>
        </w:rPr>
      </w:pPr>
      <w:r>
        <w:rPr>
          <w:rFonts w:eastAsia="Times New Roman" w:cs="Arial"/>
          <w:b/>
          <w:sz w:val="24"/>
          <w:szCs w:val="24"/>
          <w:lang w:eastAsia="ru-RU"/>
        </w:rPr>
        <w:t xml:space="preserve">Глава Верхнеуслонского </w:t>
      </w:r>
    </w:p>
    <w:p>
      <w:pPr>
        <w:sectPr>
          <w:type w:val="nextPage"/>
          <w:pgSz w:w="11906" w:h="16838"/>
          <w:pgMar w:left="1134" w:right="567" w:gutter="0" w:header="0" w:top="1134" w:footer="0" w:bottom="1134"/>
          <w:pgNumType w:fmt="decimal"/>
          <w:formProt w:val="false"/>
          <w:textDirection w:val="lrTb"/>
          <w:docGrid w:type="default" w:linePitch="600" w:charSpace="32768"/>
        </w:sectPr>
        <w:pStyle w:val="Normal"/>
        <w:bidi w:val="0"/>
        <w:spacing w:lineRule="auto" w:line="240" w:before="0" w:after="0"/>
        <w:ind w:hanging="0" w:left="510" w:right="0"/>
        <w:jc w:val="both"/>
        <w:rPr>
          <w:rFonts w:ascii="PT Astra Serif" w:hAnsi="PT Astra Serif"/>
          <w:sz w:val="24"/>
          <w:szCs w:val="24"/>
        </w:rPr>
      </w:pPr>
      <w:r>
        <w:rPr>
          <w:rFonts w:eastAsia="Times New Roman" w:cs="Arial"/>
          <w:b/>
          <w:sz w:val="24"/>
          <w:szCs w:val="24"/>
          <w:lang w:eastAsia="ru-RU"/>
        </w:rPr>
        <w:t>муниципального района                                                                  Е.А. Варакин</w:t>
      </w:r>
    </w:p>
    <w:p>
      <w:pPr>
        <w:pStyle w:val="Normal"/>
        <w:widowControl w:val="false"/>
        <w:tabs>
          <w:tab w:val="clear" w:pos="709"/>
          <w:tab w:val="right" w:pos="20767" w:leader="none"/>
        </w:tabs>
        <w:suppressAutoHyphens w:val="true"/>
        <w:bidi w:val="0"/>
        <w:spacing w:lineRule="auto" w:line="240" w:before="0" w:after="0"/>
        <w:ind w:hanging="0" w:left="5669" w:right="57"/>
        <w:jc w:val="both"/>
        <w:rPr>
          <w:rFonts w:ascii="PT Astra Serif" w:hAnsi="PT Astra Serif"/>
          <w:sz w:val="24"/>
          <w:szCs w:val="24"/>
        </w:rPr>
      </w:pPr>
      <w:r>
        <w:rPr>
          <w:rFonts w:eastAsia="Sylfaen" w:cs="Sylfaen"/>
          <w:sz w:val="24"/>
          <w:szCs w:val="24"/>
        </w:rPr>
        <w:t xml:space="preserve">Приложение к решению </w:t>
      </w:r>
    </w:p>
    <w:p>
      <w:pPr>
        <w:pStyle w:val="Normal"/>
        <w:widowControl w:val="false"/>
        <w:suppressAutoHyphens w:val="true"/>
        <w:bidi w:val="0"/>
        <w:spacing w:lineRule="auto" w:line="240" w:before="0" w:after="0"/>
        <w:ind w:hanging="0" w:left="5669" w:right="57"/>
        <w:jc w:val="both"/>
        <w:rPr>
          <w:rFonts w:ascii="PT Astra Serif" w:hAnsi="PT Astra Serif"/>
          <w:sz w:val="24"/>
          <w:szCs w:val="24"/>
        </w:rPr>
      </w:pPr>
      <w:r>
        <w:rPr>
          <w:rFonts w:eastAsia="Sylfaen" w:cs="Sylfaen"/>
          <w:sz w:val="24"/>
          <w:szCs w:val="24"/>
        </w:rPr>
        <w:t xml:space="preserve">Совета Верхнеуслонского </w:t>
      </w:r>
    </w:p>
    <w:p>
      <w:pPr>
        <w:pStyle w:val="Normal"/>
        <w:widowControl/>
        <w:suppressAutoHyphens w:val="true"/>
        <w:bidi w:val="0"/>
        <w:spacing w:lineRule="auto" w:line="240" w:before="0" w:after="0"/>
        <w:ind w:hanging="0" w:left="5669" w:right="0"/>
        <w:jc w:val="both"/>
        <w:rPr>
          <w:rFonts w:ascii="PT Astra Serif" w:hAnsi="PT Astra Serif"/>
          <w:sz w:val="24"/>
          <w:szCs w:val="24"/>
        </w:rPr>
      </w:pPr>
      <w:r>
        <w:rPr>
          <w:rFonts w:eastAsia="Times New Roman" w:cs="Times New Roman"/>
          <w:b w:val="false"/>
          <w:bCs w:val="false"/>
          <w:sz w:val="24"/>
          <w:szCs w:val="24"/>
          <w:lang w:eastAsia="ru-RU"/>
        </w:rPr>
        <w:t>муниципального района</w:t>
      </w:r>
    </w:p>
    <w:p>
      <w:pPr>
        <w:pStyle w:val="Normal"/>
        <w:widowControl/>
        <w:suppressAutoHyphens w:val="true"/>
        <w:bidi w:val="0"/>
        <w:spacing w:lineRule="auto" w:line="240" w:before="0" w:after="0"/>
        <w:ind w:hanging="0" w:left="5669" w:right="0"/>
        <w:jc w:val="both"/>
        <w:rPr>
          <w:rFonts w:ascii="PT Astra Serif" w:hAnsi="PT Astra Serif"/>
          <w:sz w:val="24"/>
          <w:szCs w:val="24"/>
        </w:rPr>
      </w:pPr>
      <w:r>
        <w:rPr>
          <w:rFonts w:eastAsia="Times New Roman" w:cs="Times New Roman"/>
          <w:b w:val="false"/>
          <w:bCs w:val="false"/>
          <w:sz w:val="24"/>
          <w:szCs w:val="24"/>
          <w:lang w:eastAsia="ru-RU"/>
        </w:rPr>
        <w:t>от _____года № ____</w:t>
      </w:r>
    </w:p>
    <w:p>
      <w:pPr>
        <w:pStyle w:val="Normal"/>
        <w:widowControl w:val="false"/>
        <w:tabs>
          <w:tab w:val="clear" w:pos="709"/>
          <w:tab w:val="right" w:pos="19888" w:leader="none"/>
        </w:tabs>
        <w:bidi w:val="0"/>
        <w:spacing w:lineRule="auto" w:line="240" w:before="0" w:after="0"/>
        <w:ind w:hanging="11" w:left="5103" w:right="20"/>
        <w:rPr>
          <w:rFonts w:ascii="PT Astra Serif" w:hAnsi="PT Astra Serif" w:eastAsia="Sylfaen" w:cs="Times New Roman"/>
          <w:sz w:val="24"/>
          <w:szCs w:val="24"/>
        </w:rPr>
      </w:pPr>
      <w:r>
        <w:rPr>
          <w:rFonts w:eastAsia="Sylfaen" w:cs="Times New Roman"/>
          <w:sz w:val="24"/>
          <w:szCs w:val="24"/>
        </w:rPr>
      </w:r>
    </w:p>
    <w:p>
      <w:pPr>
        <w:pStyle w:val="Normal"/>
        <w:widowControl w:val="false"/>
        <w:bidi w:val="0"/>
        <w:spacing w:lineRule="auto" w:line="240" w:before="0" w:after="0"/>
        <w:ind w:hanging="0" w:left="20"/>
        <w:jc w:val="center"/>
        <w:rPr>
          <w:rFonts w:ascii="PT Astra Serif" w:hAnsi="PT Astra Serif"/>
          <w:sz w:val="24"/>
          <w:szCs w:val="24"/>
        </w:rPr>
      </w:pPr>
      <w:r>
        <w:rPr>
          <w:rFonts w:eastAsia="Sylfaen" w:cs="Times New Roman"/>
          <w:b/>
          <w:sz w:val="24"/>
          <w:szCs w:val="24"/>
        </w:rPr>
        <w:t>Положение</w:t>
      </w:r>
    </w:p>
    <w:p>
      <w:pPr>
        <w:pStyle w:val="Normal"/>
        <w:widowControl w:val="false"/>
        <w:bidi w:val="0"/>
        <w:spacing w:lineRule="auto" w:line="240" w:before="0" w:after="0"/>
        <w:ind w:hanging="0" w:left="20" w:right="320"/>
        <w:jc w:val="center"/>
        <w:rPr>
          <w:rFonts w:ascii="PT Astra Serif" w:hAnsi="PT Astra Serif"/>
          <w:sz w:val="24"/>
          <w:szCs w:val="24"/>
        </w:rPr>
      </w:pPr>
      <w:r>
        <w:rPr>
          <w:rFonts w:eastAsia="Sylfaen" w:cs="Times New Roman"/>
          <w:b/>
          <w:sz w:val="24"/>
          <w:szCs w:val="24"/>
        </w:rPr>
        <w:t>о порядке организации и проведении общественных обсуждений по оценке воздействия на окружающую среду планируемой (намечаемой) хозяйственной и иной деятельности на территории Верхнеуслонского муниципального района Республики Татарстан</w:t>
      </w:r>
    </w:p>
    <w:p>
      <w:pPr>
        <w:pStyle w:val="Normal"/>
        <w:widowControl w:val="false"/>
        <w:bidi w:val="0"/>
        <w:spacing w:lineRule="auto" w:line="240" w:before="0" w:after="0"/>
        <w:ind w:hanging="380" w:left="20" w:right="320"/>
        <w:jc w:val="center"/>
        <w:rPr>
          <w:rFonts w:ascii="PT Astra Serif" w:hAnsi="PT Astra Serif" w:eastAsia="Sylfaen" w:cs="Times New Roman"/>
          <w:sz w:val="24"/>
          <w:szCs w:val="24"/>
        </w:rPr>
      </w:pPr>
      <w:r>
        <w:rPr>
          <w:rFonts w:eastAsia="Sylfaen" w:cs="Times New Roman"/>
          <w:sz w:val="24"/>
          <w:szCs w:val="24"/>
        </w:rPr>
      </w:r>
    </w:p>
    <w:p>
      <w:pPr>
        <w:pStyle w:val="Normal"/>
        <w:widowControl w:val="false"/>
        <w:tabs>
          <w:tab w:val="clear" w:pos="709"/>
          <w:tab w:val="left" w:pos="3779" w:leader="none"/>
        </w:tabs>
        <w:bidi w:val="0"/>
        <w:spacing w:lineRule="auto" w:line="240" w:before="0" w:after="0"/>
        <w:jc w:val="center"/>
        <w:rPr>
          <w:rFonts w:ascii="PT Astra Serif" w:hAnsi="PT Astra Serif" w:eastAsia="Sylfaen" w:cs="Times New Roman"/>
          <w:b/>
          <w:sz w:val="24"/>
          <w:szCs w:val="24"/>
        </w:rPr>
      </w:pPr>
      <w:r>
        <w:rPr>
          <w:rFonts w:eastAsia="Sylfaen" w:cs="Times New Roman"/>
          <w:b/>
          <w:sz w:val="24"/>
          <w:szCs w:val="24"/>
        </w:rPr>
        <w:t>1. Общие положения</w:t>
      </w:r>
    </w:p>
    <w:p>
      <w:pPr>
        <w:pStyle w:val="Normal"/>
        <w:widowControl w:val="false"/>
        <w:tabs>
          <w:tab w:val="clear" w:pos="709"/>
          <w:tab w:val="left" w:pos="3779" w:leader="none"/>
        </w:tabs>
        <w:bidi w:val="0"/>
        <w:spacing w:lineRule="auto" w:line="240" w:before="0" w:after="0"/>
        <w:jc w:val="center"/>
        <w:rPr>
          <w:rFonts w:ascii="PT Astra Serif" w:hAnsi="PT Astra Serif" w:eastAsia="Sylfaen" w:cs="Times New Roman"/>
          <w:b/>
          <w:sz w:val="24"/>
          <w:szCs w:val="24"/>
        </w:rPr>
      </w:pPr>
      <w:r>
        <w:rPr>
          <w:rFonts w:eastAsia="Sylfaen" w:cs="Times New Roman"/>
          <w:b/>
          <w:sz w:val="24"/>
          <w:szCs w:val="24"/>
        </w:rPr>
      </w:r>
    </w:p>
    <w:p>
      <w:pPr>
        <w:pStyle w:val="Normal"/>
        <w:widowControl w:val="false"/>
        <w:numPr>
          <w:ilvl w:val="0"/>
          <w:numId w:val="0"/>
        </w:numPr>
        <w:tabs>
          <w:tab w:val="clear" w:pos="709"/>
          <w:tab w:val="left" w:pos="1478" w:leader="none"/>
        </w:tabs>
        <w:bidi w:val="0"/>
        <w:spacing w:lineRule="auto" w:line="240" w:before="0" w:after="0"/>
        <w:ind w:hanging="0" w:left="20" w:right="20"/>
        <w:jc w:val="both"/>
        <w:rPr>
          <w:rFonts w:ascii="PT Astra Serif" w:hAnsi="PT Astra Serif"/>
          <w:sz w:val="24"/>
          <w:szCs w:val="24"/>
        </w:rPr>
      </w:pPr>
      <w:r>
        <w:rPr>
          <w:rFonts w:eastAsia="Sylfaen" w:cs="Times New Roman"/>
          <w:sz w:val="24"/>
          <w:szCs w:val="24"/>
        </w:rPr>
        <w:t xml:space="preserve">    </w:t>
      </w:r>
      <w:r>
        <w:rPr>
          <w:rFonts w:eastAsia="Sylfaen" w:cs="Times New Roman"/>
          <w:sz w:val="24"/>
          <w:szCs w:val="24"/>
        </w:rPr>
        <w:t>1.1. Настоящий Порядок регулирует вопросы организации подготовки и проведения общественных обсуждений на территории Верхнеуслонского  муниципального района в целях информирования общественности планируемой (намечаемой) хозяйственной и иной деятельности, являющейся объектом экологической экспертизы, и ее возможном воздействии на окружающую среду, с целью выявления общественных предпочтений и их учета в процессе оценки воздействия.</w:t>
      </w:r>
    </w:p>
    <w:p>
      <w:pPr>
        <w:pStyle w:val="Normal"/>
        <w:widowControl w:val="false"/>
        <w:numPr>
          <w:ilvl w:val="0"/>
          <w:numId w:val="0"/>
        </w:numPr>
        <w:tabs>
          <w:tab w:val="clear" w:pos="709"/>
          <w:tab w:val="left" w:pos="1478" w:leader="none"/>
        </w:tabs>
        <w:bidi w:val="0"/>
        <w:spacing w:lineRule="auto" w:line="240" w:before="0" w:after="0"/>
        <w:ind w:hanging="0" w:left="20" w:right="20"/>
        <w:jc w:val="both"/>
        <w:rPr>
          <w:rFonts w:ascii="PT Astra Serif" w:hAnsi="PT Astra Serif"/>
          <w:sz w:val="24"/>
          <w:szCs w:val="24"/>
        </w:rPr>
      </w:pPr>
      <w:r>
        <w:rPr>
          <w:rFonts w:eastAsia="Sylfaen" w:cs="Times New Roman"/>
          <w:sz w:val="24"/>
          <w:szCs w:val="24"/>
        </w:rPr>
        <w:t xml:space="preserve">          </w:t>
      </w:r>
      <w:r>
        <w:rPr>
          <w:rFonts w:eastAsia="Sylfaen" w:cs="Times New Roman"/>
          <w:sz w:val="24"/>
          <w:szCs w:val="24"/>
        </w:rPr>
        <w:t>1.2. В настоящем Положении используются следующие основные понятия:</w:t>
      </w:r>
    </w:p>
    <w:p>
      <w:pPr>
        <w:pStyle w:val="Normal"/>
        <w:widowControl w:val="false"/>
        <w:shd w:val="clear" w:color="auto" w:fill="FFFFFF"/>
        <w:bidi w:val="0"/>
        <w:spacing w:lineRule="auto" w:line="240" w:before="0" w:after="0"/>
        <w:ind w:firstLine="720" w:left="20" w:right="20"/>
        <w:jc w:val="both"/>
        <w:rPr>
          <w:rFonts w:ascii="PT Astra Serif" w:hAnsi="PT Astra Serif"/>
          <w:sz w:val="24"/>
          <w:szCs w:val="24"/>
        </w:rPr>
      </w:pPr>
      <w:r>
        <w:rPr>
          <w:rFonts w:eastAsia="Sylfaen" w:cs="Times New Roman"/>
          <w:sz w:val="24"/>
          <w:szCs w:val="24"/>
        </w:rPr>
        <w:t xml:space="preserve">Оценка воздействия на окружающую среду (далее - ОВОС) - </w:t>
      </w:r>
      <w:r>
        <w:rPr>
          <w:rFonts w:eastAsia="Sylfaen" w:cs="Times New Roman"/>
          <w:b w:val="false"/>
          <w:sz w:val="24"/>
          <w:szCs w:val="24"/>
        </w:rPr>
        <w:t>вид деятельности по выявлению, анализу и учету прямых, косвенных и иных последствий воздействия на окружающую среду планируемой хозяйственной и иной деятельности в целях принятия решения о возможности или невозможности ее осуществления;</w:t>
      </w:r>
    </w:p>
    <w:p>
      <w:pPr>
        <w:pStyle w:val="BodyText"/>
        <w:widowControl w:val="false"/>
        <w:shd w:val="clear" w:color="auto" w:fill="FFFFFF"/>
        <w:bidi w:val="0"/>
        <w:spacing w:lineRule="auto" w:line="240" w:before="0" w:after="0"/>
        <w:ind w:firstLine="720" w:left="20" w:right="20"/>
        <w:jc w:val="both"/>
        <w:rPr>
          <w:rFonts w:ascii="PT Astra Serif" w:hAnsi="PT Astra Serif"/>
          <w:sz w:val="24"/>
          <w:szCs w:val="24"/>
        </w:rPr>
      </w:pPr>
      <w:r>
        <w:rPr>
          <w:rFonts w:eastAsia="Sylfaen" w:cs="Times New Roman"/>
          <w:b w:val="false"/>
          <w:sz w:val="24"/>
          <w:szCs w:val="24"/>
        </w:rPr>
        <w:t>Охрана окружающей среды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объединений и других негосударственных некоммерческих организаций, иных юридических лиц, граждан, направленная на сохранение и восстановление природной среды, рациональное использование и воспроизводство природных ресурсов, предотвращение негативного воздействия хозяйственной и иной деятельности на окружающую среду и ликвидацию ее последствий (далее также - природоохранная деятельность);</w:t>
      </w:r>
    </w:p>
    <w:p>
      <w:pPr>
        <w:pStyle w:val="Normal"/>
        <w:widowControl w:val="false"/>
        <w:shd w:val="clear" w:color="auto" w:fill="FFFFFF"/>
        <w:bidi w:val="0"/>
        <w:spacing w:lineRule="auto" w:line="240" w:before="0" w:after="0"/>
        <w:ind w:firstLine="720" w:left="20" w:right="20"/>
        <w:jc w:val="both"/>
        <w:rPr>
          <w:rFonts w:ascii="PT Astra Serif" w:hAnsi="PT Astra Serif"/>
          <w:sz w:val="24"/>
          <w:szCs w:val="24"/>
        </w:rPr>
      </w:pPr>
      <w:r>
        <w:rPr>
          <w:rFonts w:eastAsia="Sylfaen" w:cs="Times New Roman"/>
          <w:b w:val="false"/>
          <w:sz w:val="24"/>
          <w:szCs w:val="24"/>
        </w:rPr>
        <w:t>Планируемая (намечаемая)  хозяйственная и иная деятельность - деятельность, способная оказать прямое или косвенное воздействие на окружающую среду, независимо от организационно-правовых форм собственности юридических лиц и индивидуальных предпринимателей (далее- деятельность);</w:t>
      </w:r>
    </w:p>
    <w:p>
      <w:pPr>
        <w:pStyle w:val="Normal"/>
        <w:widowControl w:val="false"/>
        <w:bidi w:val="0"/>
        <w:spacing w:lineRule="auto" w:line="240" w:before="0" w:after="0"/>
        <w:ind w:firstLine="720" w:left="20" w:right="20"/>
        <w:jc w:val="both"/>
        <w:rPr>
          <w:rFonts w:ascii="PT Astra Serif" w:hAnsi="PT Astra Serif"/>
          <w:sz w:val="24"/>
          <w:szCs w:val="24"/>
        </w:rPr>
      </w:pPr>
      <w:r>
        <w:rPr>
          <w:rFonts w:eastAsia="Sylfaen" w:cs="Times New Roman"/>
          <w:sz w:val="24"/>
          <w:szCs w:val="24"/>
        </w:rPr>
        <w:t xml:space="preserve">Общественные обсуждения - </w:t>
      </w:r>
      <w:r>
        <w:rPr>
          <w:rFonts w:eastAsia="Sylfaen" w:cs="Times New Roman"/>
          <w:b w:val="false"/>
          <w:sz w:val="24"/>
          <w:szCs w:val="24"/>
        </w:rPr>
        <w:t>комплекс мероприятий, направленных на информирование общественности о планируемой хозяйственной и иной деятельности и ее возможном воздействии на окружающую среду, в целях обеспечения участия общественности, выявления общественного мнения и его учета в процессе оценки воздействия на окружающую среду;</w:t>
      </w:r>
    </w:p>
    <w:p>
      <w:pPr>
        <w:pStyle w:val="Normal"/>
        <w:widowControl w:val="false"/>
        <w:bidi w:val="0"/>
        <w:spacing w:lineRule="auto" w:line="240" w:before="0" w:after="0"/>
        <w:ind w:firstLine="720" w:left="20" w:right="20"/>
        <w:jc w:val="both"/>
        <w:rPr>
          <w:rFonts w:ascii="PT Astra Serif" w:hAnsi="PT Astra Serif"/>
          <w:sz w:val="24"/>
          <w:szCs w:val="24"/>
        </w:rPr>
      </w:pPr>
      <w:r>
        <w:rPr>
          <w:rFonts w:eastAsia="Sylfaen" w:cs="Times New Roman"/>
          <w:b w:val="false"/>
          <w:sz w:val="24"/>
          <w:szCs w:val="24"/>
        </w:rPr>
        <w:t>- Объект общественных обсуждений- намечаемая хозяйственная или иная деятельность, а также ее обосновывающая документация (материалы оценки воздействия на окружающую среду, в том числе предварительные материалы оценки воздействия на окружающую среду, техническое задание на проведение оценки воздействия на окружающую среду), объект государственной экологической экспертизы;</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sz w:val="24"/>
          <w:szCs w:val="24"/>
        </w:rPr>
      </w:pPr>
      <w:r>
        <w:rPr>
          <w:rFonts w:eastAsia="Sylfaen" w:cs="Times New Roman"/>
          <w:sz w:val="24"/>
          <w:szCs w:val="24"/>
        </w:rPr>
        <w:t xml:space="preserve">    </w:t>
      </w:r>
      <w:r>
        <w:rPr>
          <w:rFonts w:eastAsia="Sylfaen" w:cs="Times New Roman"/>
          <w:sz w:val="24"/>
          <w:szCs w:val="24"/>
        </w:rPr>
        <w:tab/>
        <w:t>1.3. Целью проведения оценки воздействия на окружающую среду является реализация законного права граждан и их объединений на участие в обсуждении возможных экологических последствий по вопросам намечаемой хозяйственной и иной деятельности на территории Верхнеуслонского муниципального района, выявление, учет мнений и интересов участников общественных обсуждений.</w:t>
      </w:r>
    </w:p>
    <w:p>
      <w:pPr>
        <w:pStyle w:val="Normal"/>
        <w:widowControl w:val="false"/>
        <w:numPr>
          <w:ilvl w:val="0"/>
          <w:numId w:val="0"/>
        </w:numPr>
        <w:tabs>
          <w:tab w:val="clear" w:pos="709"/>
          <w:tab w:val="left" w:pos="1140" w:leader="none"/>
        </w:tabs>
        <w:bidi w:val="0"/>
        <w:spacing w:lineRule="auto" w:line="240" w:before="0" w:after="0"/>
        <w:ind w:hanging="0" w:left="20" w:right="20"/>
        <w:jc w:val="both"/>
        <w:rPr>
          <w:rFonts w:ascii="PT Astra Serif" w:hAnsi="PT Astra Serif"/>
          <w:sz w:val="24"/>
          <w:szCs w:val="24"/>
        </w:rPr>
      </w:pPr>
      <w:r>
        <w:rPr>
          <w:rFonts w:eastAsia="Sylfaen" w:cs="Times New Roman"/>
          <w:b w:val="false"/>
          <w:i w:val="false"/>
          <w:strike w:val="false"/>
          <w:dstrike w:val="false"/>
          <w:sz w:val="24"/>
          <w:szCs w:val="24"/>
          <w:u w:val="none"/>
        </w:rPr>
        <w:t xml:space="preserve">          </w:t>
      </w:r>
      <w:r>
        <w:rPr>
          <w:rFonts w:eastAsia="Sylfaen" w:cs="Times New Roman"/>
          <w:b w:val="false"/>
          <w:i w:val="false"/>
          <w:strike w:val="false"/>
          <w:dstrike w:val="false"/>
          <w:sz w:val="24"/>
          <w:szCs w:val="24"/>
          <w:u w:val="none"/>
        </w:rPr>
        <w:t xml:space="preserve">1.4. </w:t>
      </w:r>
      <w:r>
        <w:rPr>
          <w:rFonts w:cs="Times New Roman"/>
          <w:b w:val="false"/>
          <w:i w:val="false"/>
          <w:strike w:val="false"/>
          <w:dstrike w:val="false"/>
          <w:sz w:val="24"/>
          <w:szCs w:val="24"/>
          <w:u w:val="none"/>
        </w:rPr>
        <w:t>Общественные обсуждения проводятся:</w:t>
      </w:r>
    </w:p>
    <w:p>
      <w:pPr>
        <w:pStyle w:val="Normal"/>
        <w:widowControl w:val="false"/>
        <w:numPr>
          <w:ilvl w:val="0"/>
          <w:numId w:val="0"/>
        </w:numPr>
        <w:tabs>
          <w:tab w:val="clear" w:pos="709"/>
          <w:tab w:val="left" w:pos="1140" w:leader="none"/>
        </w:tabs>
        <w:bidi w:val="0"/>
        <w:spacing w:lineRule="auto" w:line="240" w:before="0" w:after="0"/>
        <w:ind w:hanging="0" w:left="20" w:right="20"/>
        <w:jc w:val="both"/>
        <w:rPr>
          <w:rFonts w:ascii="PT Astra Serif" w:hAnsi="PT Astra Serif"/>
          <w:sz w:val="24"/>
          <w:szCs w:val="24"/>
        </w:rPr>
      </w:pPr>
      <w:r>
        <w:rPr>
          <w:rFonts w:cs="Times New Roman"/>
          <w:b w:val="false"/>
          <w:i w:val="false"/>
          <w:strike w:val="false"/>
          <w:dstrike w:val="false"/>
          <w:sz w:val="24"/>
          <w:szCs w:val="24"/>
          <w:u w:val="none"/>
        </w:rPr>
        <w:tab/>
        <w:t>- по проекту технического задания (в случае принятия заказчиком решения о подготовке технического задания);</w:t>
      </w:r>
    </w:p>
    <w:p>
      <w:pPr>
        <w:pStyle w:val="Normal"/>
        <w:widowControl w:val="false"/>
        <w:numPr>
          <w:ilvl w:val="0"/>
          <w:numId w:val="0"/>
        </w:numPr>
        <w:tabs>
          <w:tab w:val="clear" w:pos="709"/>
          <w:tab w:val="left" w:pos="1140" w:leader="none"/>
        </w:tabs>
        <w:bidi w:val="0"/>
        <w:spacing w:lineRule="auto" w:line="240" w:before="0" w:after="0"/>
        <w:ind w:hanging="0" w:left="20" w:right="20"/>
        <w:jc w:val="both"/>
        <w:rPr/>
      </w:pPr>
      <w:r>
        <w:rPr>
          <w:rFonts w:cs="Times New Roman"/>
          <w:b w:val="false"/>
          <w:i w:val="false"/>
          <w:strike w:val="false"/>
          <w:dstrike w:val="false"/>
          <w:sz w:val="24"/>
          <w:szCs w:val="24"/>
          <w:u w:val="none"/>
        </w:rPr>
        <w:tab/>
        <w:t xml:space="preserve">- </w:t>
      </w:r>
      <w:r>
        <w:rPr>
          <w:rFonts w:cs="Times New Roman"/>
          <w:b w:val="false"/>
          <w:i w:val="false"/>
          <w:strike w:val="false"/>
          <w:dstrike w:val="false"/>
          <w:u w:val="none"/>
        </w:rPr>
        <w:t xml:space="preserve">по предварительным материалам оценки воздействия на окружающую среду, по объекту государственной экологической экспертизы или по объекту государственной экологической экспертизы, содержащему предварительные материалы оценки воздействия на окружающую среду (в случае если документация, обосновывающая планируемую хозяйственную и (или) иную деятельность, является объектом государственной экологической экспертизы в соответствии со </w:t>
      </w:r>
      <w:hyperlink r:id="rId3">
        <w:r>
          <w:rPr>
            <w:rStyle w:val="Hyperlink"/>
            <w:rFonts w:cs="Times New Roman"/>
            <w:b w:val="false"/>
            <w:i w:val="false"/>
            <w:strike w:val="false"/>
            <w:dstrike w:val="false"/>
            <w:color w:val="0000FF"/>
            <w:u w:val="none"/>
            <w:effect w:val="none"/>
          </w:rPr>
          <w:t>статьями 11</w:t>
        </w:r>
      </w:hyperlink>
      <w:r>
        <w:rPr>
          <w:rFonts w:cs="Times New Roman"/>
          <w:b w:val="false"/>
          <w:i w:val="false"/>
          <w:strike w:val="false"/>
          <w:dstrike w:val="false"/>
          <w:u w:val="none"/>
        </w:rPr>
        <w:t xml:space="preserve"> и </w:t>
      </w:r>
      <w:hyperlink r:id="rId4">
        <w:r>
          <w:rPr>
            <w:rStyle w:val="Hyperlink"/>
            <w:rFonts w:cs="Times New Roman"/>
            <w:b w:val="false"/>
            <w:i w:val="false"/>
            <w:strike w:val="false"/>
            <w:dstrike w:val="false"/>
            <w:color w:val="0000FF"/>
            <w:u w:val="none"/>
            <w:effect w:val="none"/>
          </w:rPr>
          <w:t>12</w:t>
        </w:r>
      </w:hyperlink>
      <w:r>
        <w:rPr>
          <w:rFonts w:cs="Times New Roman"/>
          <w:b w:val="false"/>
          <w:i w:val="false"/>
          <w:strike w:val="false"/>
          <w:dstrike w:val="false"/>
          <w:u w:val="none"/>
        </w:rPr>
        <w:t xml:space="preserve"> Федерального закона "Об экологической экспертизе") </w:t>
      </w:r>
      <w:r>
        <w:rPr>
          <w:rFonts w:cs="Times New Roman"/>
          <w:b w:val="false"/>
          <w:i w:val="false"/>
          <w:strike w:val="false"/>
          <w:dstrike w:val="false"/>
          <w:sz w:val="24"/>
          <w:szCs w:val="24"/>
          <w:u w:val="none"/>
        </w:rPr>
        <w:t>( далее — объект обсуждений).</w:t>
      </w:r>
    </w:p>
    <w:p>
      <w:pPr>
        <w:pStyle w:val="Normal"/>
        <w:widowControl w:val="false"/>
        <w:numPr>
          <w:ilvl w:val="0"/>
          <w:numId w:val="0"/>
        </w:numPr>
        <w:bidi w:val="0"/>
        <w:spacing w:lineRule="auto" w:line="240" w:before="0" w:after="0"/>
        <w:ind w:hanging="0" w:left="20" w:right="20"/>
        <w:jc w:val="both"/>
        <w:rPr>
          <w:rFonts w:ascii="PT Astra Serif" w:hAnsi="PT Astra Serif"/>
          <w:sz w:val="24"/>
          <w:szCs w:val="24"/>
        </w:rPr>
      </w:pPr>
      <w:r>
        <w:rPr>
          <w:rFonts w:cs="Times New Roman"/>
          <w:b w:val="false"/>
          <w:i w:val="false"/>
          <w:strike w:val="false"/>
          <w:dstrike w:val="false"/>
          <w:sz w:val="24"/>
          <w:szCs w:val="24"/>
          <w:u w:val="none"/>
        </w:rPr>
        <w:tab/>
        <w:t>1.5. Участниками общественных обсуждений являются:</w:t>
      </w:r>
    </w:p>
    <w:p>
      <w:pPr>
        <w:pStyle w:val="Normal"/>
        <w:widowControl w:val="false"/>
        <w:numPr>
          <w:ilvl w:val="0"/>
          <w:numId w:val="0"/>
        </w:numPr>
        <w:tabs>
          <w:tab w:val="clear" w:pos="709"/>
          <w:tab w:val="left" w:pos="1140" w:leader="none"/>
        </w:tabs>
        <w:bidi w:val="0"/>
        <w:spacing w:lineRule="auto" w:line="240" w:before="0" w:after="0"/>
        <w:ind w:hanging="0" w:left="20" w:right="20"/>
        <w:jc w:val="both"/>
        <w:rPr>
          <w:rFonts w:ascii="PT Astra Serif" w:hAnsi="PT Astra Serif"/>
          <w:sz w:val="24"/>
          <w:szCs w:val="24"/>
        </w:rPr>
      </w:pPr>
      <w:r>
        <w:rPr>
          <w:rFonts w:cs="Times New Roman"/>
          <w:b w:val="false"/>
          <w:i w:val="false"/>
          <w:strike w:val="false"/>
          <w:dstrike w:val="false"/>
          <w:sz w:val="24"/>
          <w:szCs w:val="24"/>
          <w:u w:val="none"/>
        </w:rPr>
        <w:tab/>
        <w:t>- юридическое или физическое лицо, отвечающее за подготовку документации по планируемой (намечаемой) хозяйственной и иной деятельности, в том числе в определенных Федеральным законом «Об экологической экспертизе» в случаях представляющее документацию по планируемой (намечаемой) хозяйственной и иной деятельности на экологическую экспертизу (далее- заказчик);</w:t>
      </w:r>
    </w:p>
    <w:p>
      <w:pPr>
        <w:pStyle w:val="Normal"/>
        <w:widowControl w:val="false"/>
        <w:numPr>
          <w:ilvl w:val="0"/>
          <w:numId w:val="0"/>
        </w:numPr>
        <w:tabs>
          <w:tab w:val="clear" w:pos="709"/>
          <w:tab w:val="left" w:pos="1140" w:leader="none"/>
        </w:tabs>
        <w:bidi w:val="0"/>
        <w:spacing w:lineRule="auto" w:line="240" w:before="0" w:after="0"/>
        <w:ind w:hanging="0" w:left="20" w:right="20"/>
        <w:jc w:val="both"/>
        <w:rPr>
          <w:rFonts w:ascii="PT Astra Serif" w:hAnsi="PT Astra Serif"/>
          <w:sz w:val="24"/>
          <w:szCs w:val="24"/>
        </w:rPr>
      </w:pPr>
      <w:r>
        <w:rPr>
          <w:rFonts w:cs="Times New Roman"/>
          <w:b w:val="false"/>
          <w:i w:val="false"/>
          <w:strike w:val="false"/>
          <w:dstrike w:val="false"/>
          <w:sz w:val="24"/>
          <w:szCs w:val="24"/>
          <w:u w:val="none"/>
        </w:rPr>
        <w:tab/>
        <w:t>- физическое или юридическое лицо, которому заказчик предоставил право на проведение работ по оценке воздействия на окружающую среду планируемой (намечаемой) хозяйственной и иной деятельности (далее-исполнитель);</w:t>
      </w:r>
    </w:p>
    <w:p>
      <w:pPr>
        <w:pStyle w:val="Normal"/>
        <w:widowControl w:val="false"/>
        <w:numPr>
          <w:ilvl w:val="0"/>
          <w:numId w:val="0"/>
        </w:numPr>
        <w:tabs>
          <w:tab w:val="clear" w:pos="709"/>
          <w:tab w:val="left" w:pos="1140" w:leader="none"/>
        </w:tabs>
        <w:bidi w:val="0"/>
        <w:spacing w:lineRule="auto" w:line="240" w:before="0" w:after="0"/>
        <w:ind w:hanging="0" w:left="20" w:right="20"/>
        <w:jc w:val="both"/>
        <w:rPr>
          <w:rFonts w:ascii="PT Astra Serif" w:hAnsi="PT Astra Serif"/>
          <w:sz w:val="24"/>
          <w:szCs w:val="24"/>
        </w:rPr>
      </w:pPr>
      <w:r>
        <w:rPr>
          <w:rFonts w:cs="Times New Roman"/>
          <w:b w:val="false"/>
          <w:i w:val="false"/>
          <w:strike w:val="false"/>
          <w:dstrike w:val="false"/>
          <w:sz w:val="24"/>
          <w:szCs w:val="24"/>
          <w:u w:val="none"/>
        </w:rPr>
        <w:tab/>
        <w:t>- юридические лица, индивидуальные предприниматели, общественные организации, объединения, интересы которых могут быть прямо или косвенно затронуты планируемой хозяйственной или иной деятельностью, подлежащей экологической экспертизе;</w:t>
      </w:r>
    </w:p>
    <w:p>
      <w:pPr>
        <w:pStyle w:val="Normal"/>
        <w:widowControl w:val="false"/>
        <w:numPr>
          <w:ilvl w:val="0"/>
          <w:numId w:val="0"/>
        </w:numPr>
        <w:tabs>
          <w:tab w:val="clear" w:pos="709"/>
          <w:tab w:val="left" w:pos="1140" w:leader="none"/>
        </w:tabs>
        <w:bidi w:val="0"/>
        <w:spacing w:lineRule="auto" w:line="240" w:before="0" w:after="0"/>
        <w:ind w:hanging="0" w:left="20" w:right="20"/>
        <w:jc w:val="both"/>
        <w:rPr>
          <w:rFonts w:ascii="PT Astra Serif" w:hAnsi="PT Astra Serif"/>
          <w:sz w:val="24"/>
          <w:szCs w:val="24"/>
        </w:rPr>
      </w:pPr>
      <w:r>
        <w:rPr>
          <w:rFonts w:cs="Times New Roman"/>
          <w:b w:val="false"/>
          <w:i w:val="false"/>
          <w:strike w:val="false"/>
          <w:dstrike w:val="false"/>
          <w:sz w:val="24"/>
          <w:szCs w:val="24"/>
          <w:u w:val="none"/>
        </w:rPr>
        <w:tab/>
        <w:t>- граждане, достигшие на день проведения общественных обсуждений 18-летнего возраста и зарегистрированные по месту жительства на территории Верхнеуслонского муниципального района.</w:t>
      </w:r>
    </w:p>
    <w:p>
      <w:pPr>
        <w:pStyle w:val="Normal"/>
        <w:widowControl w:val="false"/>
        <w:numPr>
          <w:ilvl w:val="0"/>
          <w:numId w:val="0"/>
        </w:numPr>
        <w:tabs>
          <w:tab w:val="clear" w:pos="709"/>
          <w:tab w:val="left" w:pos="680" w:leader="none"/>
        </w:tabs>
        <w:bidi w:val="0"/>
        <w:spacing w:lineRule="auto" w:line="240" w:before="0" w:after="0"/>
        <w:ind w:hanging="0" w:left="20" w:right="20"/>
        <w:jc w:val="both"/>
        <w:rPr>
          <w:rFonts w:ascii="PT Astra Serif" w:hAnsi="PT Astra Serif"/>
          <w:sz w:val="24"/>
          <w:szCs w:val="24"/>
        </w:rPr>
      </w:pPr>
      <w:r>
        <w:rPr>
          <w:rFonts w:cs="Times New Roman"/>
          <w:b w:val="false"/>
          <w:i w:val="false"/>
          <w:strike w:val="false"/>
          <w:dstrike w:val="false"/>
          <w:sz w:val="24"/>
          <w:szCs w:val="24"/>
          <w:u w:val="none"/>
        </w:rPr>
        <w:tab/>
        <w:t>1.6. Уполномоченным органом по организации общественных обсуждений является отдел архитектуры и градостроительства Исполнительного комитета Верхнеуслонского муниципального района (далее- уполномоченный орган).</w:t>
      </w:r>
    </w:p>
    <w:p>
      <w:pPr>
        <w:pStyle w:val="Normal"/>
        <w:widowControl w:val="false"/>
        <w:numPr>
          <w:ilvl w:val="0"/>
          <w:numId w:val="0"/>
        </w:numPr>
        <w:tabs>
          <w:tab w:val="clear" w:pos="709"/>
          <w:tab w:val="left" w:pos="680" w:leader="none"/>
        </w:tabs>
        <w:bidi w:val="0"/>
        <w:spacing w:lineRule="auto" w:line="240" w:before="0" w:after="0"/>
        <w:ind w:hanging="0" w:left="20" w:right="20"/>
        <w:jc w:val="both"/>
        <w:rPr>
          <w:rFonts w:ascii="PT Astra Serif" w:hAnsi="PT Astra Serif"/>
          <w:sz w:val="24"/>
          <w:szCs w:val="24"/>
        </w:rPr>
      </w:pPr>
      <w:r>
        <w:rPr>
          <w:rFonts w:cs="Times New Roman"/>
          <w:b w:val="false"/>
          <w:i w:val="false"/>
          <w:strike w:val="false"/>
          <w:dstrike w:val="false"/>
          <w:sz w:val="24"/>
          <w:szCs w:val="24"/>
          <w:u w:val="none"/>
        </w:rPr>
        <w:tab/>
        <w:t>Общественные обсуждения могут проводиться с использованием средств дистанционного взаимодействия (далее - СДВ) при наличии технической возможности.</w:t>
      </w:r>
    </w:p>
    <w:p>
      <w:pPr>
        <w:pStyle w:val="Normal"/>
        <w:widowControl w:val="false"/>
        <w:numPr>
          <w:ilvl w:val="0"/>
          <w:numId w:val="0"/>
        </w:numPr>
        <w:tabs>
          <w:tab w:val="clear" w:pos="709"/>
          <w:tab w:val="left" w:pos="680" w:leader="none"/>
        </w:tabs>
        <w:bidi w:val="0"/>
        <w:spacing w:lineRule="auto" w:line="240" w:before="0" w:after="0"/>
        <w:ind w:hanging="0" w:left="20" w:right="20"/>
        <w:jc w:val="both"/>
        <w:rPr>
          <w:rFonts w:ascii="PT Astra Serif" w:hAnsi="PT Astra Serif"/>
          <w:sz w:val="24"/>
          <w:szCs w:val="24"/>
        </w:rPr>
      </w:pPr>
      <w:r>
        <w:rPr>
          <w:rFonts w:cs="Times New Roman"/>
          <w:b w:val="false"/>
          <w:i w:val="false"/>
          <w:strike w:val="false"/>
          <w:dstrike w:val="false"/>
          <w:sz w:val="24"/>
          <w:szCs w:val="24"/>
          <w:u w:val="none"/>
        </w:rPr>
        <w:tab/>
        <w:t xml:space="preserve">1.7. </w:t>
      </w:r>
      <w:r>
        <w:rPr>
          <w:rFonts w:eastAsia="Sylfaen" w:cs="Times New Roman"/>
          <w:b w:val="false"/>
          <w:i w:val="false"/>
          <w:strike w:val="false"/>
          <w:dstrike w:val="false"/>
          <w:sz w:val="24"/>
          <w:szCs w:val="24"/>
          <w:u w:val="none"/>
        </w:rPr>
        <w:t>Общественные обсуждения проводятся в следующих формах:</w:t>
      </w:r>
    </w:p>
    <w:p>
      <w:pPr>
        <w:pStyle w:val="Formattext"/>
        <w:bidi w:val="0"/>
        <w:spacing w:beforeAutospacing="0" w:before="0" w:afterAutospacing="0" w:after="0"/>
        <w:ind w:firstLine="567"/>
        <w:jc w:val="both"/>
        <w:rPr>
          <w:rFonts w:ascii="PT Astra Serif" w:hAnsi="PT Astra Serif"/>
        </w:rPr>
      </w:pPr>
      <w:r>
        <w:rPr>
          <w:rFonts w:ascii="PT Astra Serif" w:hAnsi="PT Astra Serif"/>
          <w:sz w:val="24"/>
          <w:szCs w:val="24"/>
        </w:rPr>
        <w:t>- простое информирование (информирование общественности с указанием места размещения объекта общественного обсуждения и сбором замечаний, комментариев и предложений по адресу (адресам), в том числе электронной почты, согласно уведомлению);</w:t>
      </w:r>
    </w:p>
    <w:p>
      <w:pPr>
        <w:pStyle w:val="Normal"/>
        <w:widowControl w:val="false"/>
        <w:numPr>
          <w:ilvl w:val="0"/>
          <w:numId w:val="0"/>
        </w:numPr>
        <w:tabs>
          <w:tab w:val="clear" w:pos="709"/>
          <w:tab w:val="left" w:pos="68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 общественные слушания (информирование общественности с указанием места размещения для ознакомления объекта общественных обсуждений, даты, времени и места проведения общественных слушаний в очном формате. том числе с использованием СДВ и оформлением протокола общественных слушаний).</w:t>
      </w:r>
    </w:p>
    <w:p>
      <w:pPr>
        <w:pStyle w:val="Normal"/>
        <w:widowControl w:val="false"/>
        <w:numPr>
          <w:ilvl w:val="0"/>
          <w:numId w:val="0"/>
        </w:numPr>
        <w:tabs>
          <w:tab w:val="clear" w:pos="709"/>
          <w:tab w:val="left" w:pos="680" w:leader="none"/>
        </w:tabs>
        <w:bidi w:val="0"/>
        <w:spacing w:lineRule="auto" w:line="240" w:before="0" w:after="0"/>
        <w:ind w:hanging="0" w:left="20" w:right="20"/>
        <w:jc w:val="both"/>
        <w:rPr/>
      </w:pPr>
      <w:r>
        <w:rPr>
          <w:rFonts w:cs="Times New Roman"/>
          <w:b w:val="false"/>
          <w:i w:val="false"/>
          <w:strike w:val="false"/>
          <w:dstrike w:val="false"/>
          <w:u w:val="none"/>
        </w:rPr>
        <w:tab/>
        <w:t>Общественные обсуждения в форме общественных слушаний проводятся по инициативе граждан,а также уполномоченных органов, ответственных за организацию и проведение общественных обсуждений, за исключением общественных обсуждений по проекту технического задания.</w:t>
      </w:r>
    </w:p>
    <w:p>
      <w:pPr>
        <w:pStyle w:val="Normal"/>
        <w:widowControl w:val="false"/>
        <w:numPr>
          <w:ilvl w:val="0"/>
          <w:numId w:val="0"/>
        </w:numPr>
        <w:tabs>
          <w:tab w:val="clear" w:pos="709"/>
          <w:tab w:val="left" w:pos="680" w:leader="none"/>
        </w:tabs>
        <w:bidi w:val="0"/>
        <w:spacing w:lineRule="auto" w:line="240" w:before="0" w:after="0"/>
        <w:ind w:hanging="0" w:left="20" w:right="20"/>
        <w:jc w:val="both"/>
        <w:rPr/>
      </w:pPr>
      <w:r>
        <w:rPr>
          <w:rFonts w:cs="Times New Roman"/>
          <w:b w:val="false"/>
          <w:i w:val="false"/>
          <w:strike w:val="false"/>
          <w:dstrike w:val="false"/>
          <w:u w:val="none"/>
        </w:rPr>
        <w:tab/>
      </w:r>
    </w:p>
    <w:p>
      <w:pPr>
        <w:pStyle w:val="Normal"/>
        <w:widowControl w:val="false"/>
        <w:numPr>
          <w:ilvl w:val="0"/>
          <w:numId w:val="0"/>
        </w:numPr>
        <w:tabs>
          <w:tab w:val="clear" w:pos="709"/>
          <w:tab w:val="left" w:pos="680" w:leader="none"/>
        </w:tabs>
        <w:bidi w:val="0"/>
        <w:spacing w:lineRule="auto" w:line="240" w:before="0" w:after="0"/>
        <w:ind w:hanging="0" w:left="20" w:right="20"/>
        <w:jc w:val="center"/>
        <w:rPr/>
      </w:pPr>
      <w:r>
        <w:rPr>
          <w:rFonts w:cs="Times New Roman"/>
          <w:b w:val="false"/>
          <w:i w:val="false"/>
          <w:strike w:val="false"/>
          <w:dstrike w:val="false"/>
          <w:u w:val="none"/>
        </w:rPr>
        <w:t>2. Порядок проведения общественных обсуждений</w:t>
      </w:r>
    </w:p>
    <w:p>
      <w:pPr>
        <w:pStyle w:val="Normal"/>
        <w:widowControl w:val="false"/>
        <w:numPr>
          <w:ilvl w:val="0"/>
          <w:numId w:val="0"/>
        </w:numPr>
        <w:tabs>
          <w:tab w:val="clear" w:pos="709"/>
          <w:tab w:val="left" w:pos="680" w:leader="none"/>
        </w:tabs>
        <w:bidi w:val="0"/>
        <w:spacing w:lineRule="auto" w:line="240" w:before="0" w:after="0"/>
        <w:ind w:hanging="0" w:left="20" w:right="20"/>
        <w:jc w:val="center"/>
        <w:rPr>
          <w:rFonts w:ascii="PT Astra Serif" w:hAnsi="PT Astra Serif" w:cs="Times New Roman"/>
          <w:b w:val="false"/>
          <w:i w:val="false"/>
          <w:i w:val="false"/>
          <w:strike w:val="false"/>
          <w:dstrike w:val="false"/>
          <w:u w:val="none"/>
        </w:rPr>
      </w:pPr>
      <w:r>
        <w:rPr>
          <w:rFonts w:cs="Times New Roman"/>
          <w:b w:val="false"/>
          <w:i w:val="false"/>
          <w:strike w:val="false"/>
          <w:dstrike w:val="false"/>
          <w:u w:val="none"/>
        </w:rPr>
      </w:r>
    </w:p>
    <w:p>
      <w:pPr>
        <w:pStyle w:val="Normal"/>
        <w:widowControl w:val="false"/>
        <w:numPr>
          <w:ilvl w:val="0"/>
          <w:numId w:val="0"/>
        </w:numPr>
        <w:tabs>
          <w:tab w:val="clear" w:pos="709"/>
          <w:tab w:val="left" w:pos="740" w:leader="none"/>
        </w:tabs>
        <w:bidi w:val="0"/>
        <w:spacing w:lineRule="auto" w:line="240" w:before="0" w:after="0"/>
        <w:ind w:hanging="0" w:left="20" w:right="20"/>
        <w:jc w:val="both"/>
        <w:rPr/>
      </w:pPr>
      <w:r>
        <w:rPr>
          <w:rFonts w:cs="Times New Roman"/>
          <w:b w:val="false"/>
          <w:i w:val="false"/>
          <w:strike w:val="false"/>
          <w:dstrike w:val="false"/>
          <w:sz w:val="24"/>
          <w:szCs w:val="24"/>
          <w:u w:val="none"/>
        </w:rPr>
        <w:tab/>
        <w:t xml:space="preserve">2.1. Для организации и проведения общественных обсуждений заказчиком (исполнителем) не позднее чем 5 (пять) рабочих дней до планируемого для размещения объекта обсуждений представляется в форме электронного документа на адрес электронной почты в Исполнительный комитет Верхнеуслонского муниципального района  уведомление об общественных обсуждениях  (далее- уведомление об обсуждениях). </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Уведомление об обсуждении составляется заказчиком (исполнителем) и содержит информацию, указанную в приложении 1 к настоящему Положению.</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pPr>
      <w:r>
        <w:rPr>
          <w:rFonts w:cs="Times New Roman"/>
          <w:b w:val="false"/>
          <w:i w:val="false"/>
          <w:strike w:val="false"/>
          <w:dstrike w:val="false"/>
          <w:sz w:val="24"/>
          <w:szCs w:val="24"/>
          <w:u w:val="none"/>
        </w:rPr>
        <w:tab/>
        <w:t xml:space="preserve">2.2. Исполнительный комитет Верхнеуслонского муниципального района  </w:t>
      </w:r>
      <w:r>
        <w:rPr>
          <w:rFonts w:cs="Times New Roman"/>
          <w:b w:val="false"/>
          <w:i w:val="false"/>
          <w:strike w:val="false"/>
          <w:dstrike w:val="false"/>
          <w:sz w:val="24"/>
          <w:szCs w:val="24"/>
          <w:u w:val="none"/>
        </w:rPr>
        <w:t>дополнительно указывает в уведомлении об обсуждениях:</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pPr>
      <w:r>
        <w:rPr>
          <w:rFonts w:cs="Times New Roman"/>
          <w:b w:val="false"/>
          <w:i w:val="false"/>
          <w:strike w:val="false"/>
          <w:dstrike w:val="false"/>
          <w:sz w:val="24"/>
          <w:szCs w:val="24"/>
          <w:u w:val="none"/>
        </w:rPr>
        <w:tab/>
      </w:r>
      <w:r>
        <w:rPr>
          <w:b w:val="false"/>
        </w:rPr>
        <w:t xml:space="preserve">а) адрес в пределах места нахождения уполномоченного органа; </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pPr>
      <w:r>
        <w:rPr>
          <w:b w:val="false"/>
        </w:rPr>
        <w:tab/>
        <w:t xml:space="preserve">б) контактные данные (телефон и адрес электронной почты, факс (при наличии) ответственного лица (ответственных лиц) со стороны уполномоченного органа; </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pPr>
      <w:r>
        <w:rPr>
          <w:b w:val="false"/>
        </w:rPr>
        <w:tab/>
        <w:t xml:space="preserve">в) информацию о порядке, сроке и форме внесения участниками общественных обсуждений предложений и замечаний, касающихся объекта обсуждений; </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pPr>
      <w:r>
        <w:rPr>
          <w:b w:val="false"/>
        </w:rPr>
        <w:tab/>
        <w:t xml:space="preserve">г) порядок инициирования гражданами проведения слушаний  или в случае принятия по инициативе уполномоченного органа решения о проведении слушаний - дату, время и место проведения слушаний. </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pPr>
      <w:r>
        <w:rPr>
          <w:rFonts w:cs="Times New Roman"/>
          <w:b w:val="false"/>
          <w:i w:val="false"/>
          <w:strike w:val="false"/>
          <w:dstrike w:val="false"/>
          <w:sz w:val="24"/>
          <w:szCs w:val="24"/>
          <w:u w:val="none"/>
        </w:rPr>
        <w:tab/>
        <w:t>2.3. Исполнительный комитет Верхнеуслонского муниципального района в течение 2 (двух) рабочих дней со дня поступления в соответствии с пунктом 2.1 настоящего Положения уведомления об обсуждениях размещает его на официальном сайте Верхнеуслонского муниципального района, а также в федеральной государственной информационной системе состояния окружающей среды в соответствии с приложением № 28 к Положению о федеральной государственной информационной системе состояния окружающей среды, утвержденному постановлением Правительства Российской Федерации от 19.03.2024 № 329 «О федеральной государственной информационной системе состояния окружающей среды».</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Уведомление об обсуждениях может быть размещено на информационных стендах (при наличии), а также может распространяться иными способами, обеспечивающими доступ участников общественных обсуждений к указанной информации.</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2.4. Исполнительный комитет Верхнеуслонского муниципального района не несёт ответственности за достоверность и полноту размещаемой информации, полученной от заказчика (исполнителя) в уведомлении об обсуждениях.</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Уведомление об обсуждениях, направляемое заказчиком  (исполнителем), содержащее не нормативную лексику, не относящуюся к размещению информации о проведении общественных обсуждений, а также содержащее информацию или материалы, указанную в частях 6,7 статьи 10 Федерального закона от 27.07.2006 № 149-ФЗ «Об информации, информационных технологиях и о защите информации», регистрации не подлежит.</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2.5. В случае если объектом обсуждений является объект государственной экологической экспертизы, содержащий предварительные материалы оценки воздействия на окружающую среду, при принятии Исполнительным комитетом Верхнеуслонского муниципального района по собственной инициативе решения о проведении слушаний дата проведения таких слушаний назначается не ранее чем через 10 (десять) календарных дней со дня размещения заказчиком (исполнителем) для ознакомления общественности объекта обсуждений и не позднее чем за 10 (десять) календарных дней до даты завершения общественных обсуждений.</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2.6. Объект обсуждений размещается заказчиком (исполнителем) в сети Интернет, а также для очного ознакомления — согласно уведомлению об обсуждениях и в указанную в нем дату. Период размещения составляет:</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shd w:fill="auto" w:val="clear"/>
        </w:rPr>
        <w:tab/>
        <w:t>а) 10 (десять) календарных дней в случае проведения общественных обсуждений:</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shd w:fill="auto" w:val="clear"/>
        </w:rPr>
        <w:tab/>
        <w:t>- проекта технического задания;</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shd w:fill="auto" w:val="clear"/>
        </w:rPr>
        <w:tab/>
        <w:t>- предварительных материалов оценки воздействия на</w:t>
        <w:tab/>
        <w:t xml:space="preserve">окружающую среду в отношении планируемой хозяйственной и иной деятельности на объектах, оказывающих негативное воздействие на окружающую среду. В случае если указанные объекты не соответствуют критериям, на основании которых осуществляется отнесение объектов, оказывающих негативное воздействие на окружающую среду, к объектам </w:t>
      </w:r>
      <w:r>
        <w:rPr>
          <w:rFonts w:cs="Times New Roman"/>
          <w:b w:val="false"/>
          <w:i w:val="false"/>
          <w:strike w:val="false"/>
          <w:dstrike w:val="false"/>
          <w:sz w:val="24"/>
          <w:szCs w:val="24"/>
          <w:u w:val="none"/>
          <w:shd w:fill="auto" w:val="clear"/>
          <w:lang w:val="en-US"/>
        </w:rPr>
        <w:t xml:space="preserve">I-III </w:t>
      </w:r>
      <w:r>
        <w:rPr>
          <w:rFonts w:cs="Times New Roman"/>
          <w:b w:val="false"/>
          <w:i w:val="false"/>
          <w:strike w:val="false"/>
          <w:dstrike w:val="false"/>
          <w:sz w:val="24"/>
          <w:szCs w:val="24"/>
          <w:u w:val="none"/>
          <w:shd w:fill="auto" w:val="clear"/>
          <w:lang w:val="ru-RU"/>
        </w:rPr>
        <w:t>категорий, если такая деятельность не подлежит государственной экологической экспертизе в соответствии со статьями 11и 12 Федерального закона «Об экологической экспертизе»;</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lang w:val="ru-RU"/>
        </w:rPr>
        <w:tab/>
        <w:t>- предварительных материалов оценки воздействия на окружающую среду в отношении плана предупреждения и ликвидации разливов нефти и нефтепродуктов и (или) плана предупреждения и ликвидации разливов нефти и нефтепродуктов, в случае если указанный план является объектом государственной экологической экспертизы в соответствии со статьей 11 Федерального закона «Об экологической экспертизе»;</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lang w:val="ru-RU"/>
        </w:rPr>
        <w:tab/>
        <w:t>- предварительных материалов оценки воздействия на окружающую среду, объекта государственной экологической экспертизы или объекта государственной экологической экспертизы, содержащего предварительные материалы оценки воздействия на окружающую среду, переработанных в соответствии с отрицательным заключением государственной экологической экспертизы;</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lang w:val="ru-RU"/>
        </w:rPr>
        <w:tab/>
        <w:t xml:space="preserve">б) </w:t>
      </w:r>
      <w:r>
        <w:rPr>
          <w:rFonts w:cs="Times New Roman"/>
          <w:b w:val="false"/>
          <w:i w:val="false"/>
          <w:strike w:val="false"/>
          <w:dstrike w:val="false"/>
          <w:sz w:val="24"/>
          <w:szCs w:val="24"/>
          <w:u w:val="none"/>
        </w:rPr>
        <w:t>30 (тридцать) календарных дней в случае проведения общественных обсуждений объекта обсуждений, не указанного в подпункте «а» настоящего пункта.</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Датой завершения общественных обсуждений является дата окончания размещения объекта обсуждений заказчиком (исполнителем) в сети Интернет.</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2.6. Все участники общественных обсуждений имеют равный доступ к объекту обсуждений в соответствии с уведомлением об обсуждениях, в том числе путем предоставления при проведении общественных обсуждений доступа к месту размещения указанных материалов в сети Интернет, на котором заказчиком (исполнителем) размещен объект обсуждений.</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2.7. Проведение общественных обсуждений может быть инициировано гражданами в течение 7 (семи) календарных дней, а в случаях, предусмотренных абзацами 3 и 5 подпункта «а» пункта 2.6 настоящего Положения в течение 1 рабочего дня, с даты размещения заказчиком (исполнителем) для ознакомления общественности объекта обсуждений путем направления в указанный срок в адрес Исполнительного комитета Верхнеуслонского муниципального района соответствующей инициативы в письменной форме или в форме электронного документа по адресу (адресам), указанному в уведомлении об обсуждениях.</w:t>
        <w:tab/>
        <w:t>При внесении инициативы о проведении обсуждений гражданином указываются следующие сведения: фамилия, имя, отчество (при наличии), дата рождения, адрес места жительства (регистрации), телефон, адрес электронной почты (при наличии), согласие на обработку персональных данных в соответствии с законодательством Российской Федерации в области персональных данных.</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Уведомление об общественных обсуждениях размещается (опубликовывается) в течение 2 (двух)  рабочих дней с даты поступления такой инициативы.</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2.8. Общественные обсуждения проводятся в указанные в уведомлении  время и месте с возможностью участия в обсуждениях с использованием СДВ (при наличии технической возможности) и (или) без использования СДВ (при отсутствии технической возможности).</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2.9. В месте (местах) доступности объекта обсуждений для очного ознакомления Исполнительный комитет Верхнеуслонского муниципального района обеспечивает наличие журнала учета участников общественных обсуждений. Записи в указанный журнал вносятся участниками общественных обсуждений, очно ознакомляющимися с объектом обсуждений, собственноручно.</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2.10.  В течение всего периода размещения объекта обсуждений, указанного в уведомлении, участники общественных обсуждений имеют право вносить предложения и замечания, касающиеся такого объекта обсуждений:</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а) посредством официального сайта (при наличии технической возможности) или информационных систем (при наличии);</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 xml:space="preserve">б) в письменной или устной форме в ходе проведения обсуждений; </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в) в письменной форме или в форме электронного документа, направленного в адрес Исполнительного комитета Верхнеуслонского муниципального района;</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г) посредством записи в журнале учета участников общественных обсуждений, очно ознакомляющихся с объектом обсуждений, и их замечаний и предложений.</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2.11. При внесении предложений и замечаний участником общественных обсуждений указываются следующие сведения:</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для физических лиц - фамилия, имя, отчество (при наличии), дата рождения, адрес места жительства (регистрация), телефон, адрес электронной почты (при наличии);</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для юридических лиц - полное и сокращенное (при наличии) наименования, основной государственный регистрационный номер, адрес в пределах места нахождения, телефон, адрес электронной почты (при наличии), фамилия, имя, отчество (при наличии) участника общественных обсуждений, должность участника общественных обсуждений;</w:t>
      </w:r>
    </w:p>
    <w:p>
      <w:pPr>
        <w:pStyle w:val="Normal"/>
        <w:widowControl w:val="false"/>
        <w:numPr>
          <w:ilvl w:val="0"/>
          <w:numId w:val="0"/>
        </w:numPr>
        <w:tabs>
          <w:tab w:val="clear" w:pos="709"/>
          <w:tab w:val="left" w:pos="740" w:leader="none"/>
        </w:tabs>
        <w:bidi w:val="0"/>
        <w:spacing w:lineRule="auto" w:line="240" w:before="0" w:after="0"/>
        <w:ind w:hanging="0" w:left="20" w:right="20"/>
        <w:jc w:val="both"/>
        <w:rPr>
          <w:rFonts w:ascii="PT Astra Serif" w:hAnsi="PT Astra Serif"/>
        </w:rPr>
      </w:pPr>
      <w:r>
        <w:rPr>
          <w:rFonts w:cs="Times New Roman"/>
          <w:b w:val="false"/>
          <w:i w:val="false"/>
          <w:strike w:val="false"/>
          <w:dstrike w:val="false"/>
          <w:sz w:val="24"/>
          <w:szCs w:val="24"/>
          <w:u w:val="none"/>
        </w:rPr>
        <w:tab/>
        <w:t>согласие на обработку персональных данных в соответствии с законодательством Российской Федерации в области персональных данных;</w:t>
      </w:r>
    </w:p>
    <w:p>
      <w:pPr>
        <w:pStyle w:val="BodyText"/>
        <w:spacing w:lineRule="auto" w:line="240" w:before="0" w:after="0"/>
        <w:ind w:firstLine="540" w:left="0" w:right="0"/>
        <w:jc w:val="both"/>
        <w:rPr/>
      </w:pPr>
      <w:r>
        <w:rPr>
          <w:b w:val="false"/>
        </w:rPr>
        <w:t>согласие на участие в подписании протокола общественных обсуждений, способ направления и подписания указанного протокола.</w:t>
      </w:r>
    </w:p>
    <w:p>
      <w:pPr>
        <w:pStyle w:val="BodyText"/>
        <w:spacing w:lineRule="auto" w:line="240" w:before="0" w:after="0"/>
        <w:ind w:firstLine="540" w:left="0" w:right="0"/>
        <w:jc w:val="both"/>
        <w:rPr/>
      </w:pPr>
      <w:r>
        <w:rPr>
          <w:rFonts w:cs="Times New Roman"/>
          <w:b w:val="false"/>
          <w:i w:val="false"/>
          <w:strike w:val="false"/>
          <w:dstrike w:val="false"/>
          <w:sz w:val="24"/>
          <w:szCs w:val="24"/>
          <w:u w:val="none"/>
        </w:rPr>
        <w:t xml:space="preserve">2.12. Предложения и замечания, внесенные </w:t>
      </w:r>
      <w:r>
        <w:rPr>
          <w:rFonts w:cs="Times New Roman"/>
          <w:b w:val="false"/>
          <w:i w:val="false"/>
          <w:strike w:val="false"/>
          <w:dstrike w:val="false"/>
          <w:color w:val="000000"/>
          <w:sz w:val="24"/>
          <w:szCs w:val="24"/>
          <w:u w:val="none"/>
          <w:effect w:val="none"/>
        </w:rPr>
        <w:t>в отношении объекта обсуждения</w:t>
      </w:r>
      <w:r>
        <w:rPr>
          <w:rFonts w:cs="Times New Roman"/>
          <w:b w:val="false"/>
          <w:i w:val="false"/>
          <w:strike w:val="false"/>
          <w:dstrike w:val="false"/>
          <w:color w:val="000000"/>
          <w:sz w:val="24"/>
          <w:szCs w:val="24"/>
          <w:u w:val="none"/>
        </w:rPr>
        <w:t xml:space="preserve"> </w:t>
      </w:r>
      <w:r>
        <w:rPr>
          <w:rFonts w:cs="Times New Roman"/>
          <w:b w:val="false"/>
          <w:i w:val="false"/>
          <w:strike w:val="false"/>
          <w:dstrike w:val="false"/>
          <w:sz w:val="24"/>
          <w:szCs w:val="24"/>
          <w:u w:val="none"/>
        </w:rPr>
        <w:t>подлежат фиксации уполномоченным органом в журнале учета замечаний и предложений участников общественных обсуждений и передаче в течение 1 рабочего дня со дня их внесения заказчику (исполнителю) по контактным данным, указанным в уведомлении об обсуждениях, а также обязательному рассмотрению заказчиком (исполнителем).</w:t>
      </w:r>
    </w:p>
    <w:p>
      <w:pPr>
        <w:pStyle w:val="BodyText"/>
        <w:spacing w:lineRule="auto" w:line="240" w:before="0" w:after="0"/>
        <w:ind w:firstLine="540" w:left="0" w:right="0"/>
        <w:jc w:val="both"/>
        <w:rPr/>
      </w:pPr>
      <w:r>
        <w:rPr>
          <w:rFonts w:cs="Times New Roman"/>
          <w:b w:val="false"/>
          <w:i w:val="false"/>
          <w:strike w:val="false"/>
          <w:dstrike w:val="false"/>
          <w:sz w:val="24"/>
          <w:szCs w:val="24"/>
          <w:u w:val="none"/>
        </w:rPr>
        <w:t>В случае отказа участника общественных обсуждений в предоставлении сведений, указанных в пункте 2.11 настоящего Положения, в журнале замечаний и предложений участников общественных обсуждений  делается соответствующая отметка.</w:t>
      </w:r>
    </w:p>
    <w:p>
      <w:pPr>
        <w:pStyle w:val="BodyText"/>
        <w:spacing w:lineRule="auto" w:line="240" w:before="0" w:after="0"/>
        <w:ind w:firstLine="540" w:left="0" w:right="0"/>
        <w:jc w:val="both"/>
        <w:rPr/>
      </w:pPr>
      <w:r>
        <w:rPr>
          <w:rFonts w:cs="Times New Roman"/>
          <w:b w:val="false"/>
          <w:i w:val="false"/>
          <w:strike w:val="false"/>
          <w:dstrike w:val="false"/>
          <w:sz w:val="24"/>
          <w:szCs w:val="24"/>
          <w:u w:val="none"/>
        </w:rPr>
        <w:t>2.13. Уполномоченный орган Верхнеуслонского муниципального района подготавливает и в течение 5 (пяти) рабочих дней после даты завершения общественных обсуждений оформляет протокол общественных обсуждений, заверяется печатью Исполнительного комитета Верхнеуслонского муниципального района. В протоколе указываются:</w:t>
      </w:r>
    </w:p>
    <w:p>
      <w:pPr>
        <w:pStyle w:val="BodyText"/>
        <w:spacing w:lineRule="auto" w:line="240" w:before="0" w:after="0"/>
        <w:ind w:firstLine="540" w:left="0" w:right="0"/>
        <w:jc w:val="both"/>
        <w:rPr/>
      </w:pPr>
      <w:r>
        <w:rPr>
          <w:b w:val="false"/>
        </w:rPr>
        <w:t xml:space="preserve">а) наименование уполномоченного органа, дата оформления протокола общественных обсуждений; </w:t>
      </w:r>
    </w:p>
    <w:p>
      <w:pPr>
        <w:pStyle w:val="BodyText"/>
        <w:spacing w:lineRule="auto" w:line="240" w:before="0" w:after="0"/>
        <w:ind w:firstLine="540" w:left="0" w:right="0"/>
        <w:jc w:val="both"/>
        <w:rPr/>
      </w:pPr>
      <w:r>
        <w:rPr>
          <w:b w:val="false"/>
        </w:rPr>
        <w:t xml:space="preserve">б) объект общественных обсуждений, период проведения общественных обсуждений; </w:t>
      </w:r>
    </w:p>
    <w:p>
      <w:pPr>
        <w:pStyle w:val="BodyText"/>
        <w:spacing w:lineRule="auto" w:line="240" w:before="0" w:after="0"/>
        <w:ind w:firstLine="540" w:left="0" w:right="0"/>
        <w:jc w:val="both"/>
        <w:rPr/>
      </w:pPr>
      <w:r>
        <w:rPr>
          <w:b w:val="false"/>
        </w:rPr>
        <w:t xml:space="preserve">в) информация, содержащаяся в размещенном (опубликованном) уведомлении об обсуждениях (уведомлении о слушаниях в случае их проведения); </w:t>
      </w:r>
    </w:p>
    <w:p>
      <w:pPr>
        <w:pStyle w:val="BodyText"/>
        <w:spacing w:lineRule="auto" w:line="240" w:before="0" w:after="0"/>
        <w:ind w:firstLine="540" w:left="0" w:right="0"/>
        <w:jc w:val="both"/>
        <w:rPr/>
      </w:pPr>
      <w:r>
        <w:rPr>
          <w:b w:val="false"/>
        </w:rPr>
        <w:t xml:space="preserve">г) дата и источник размещения (опубликования) уведомления об обсуждениях (уведомления о слушаниях в случае их проведения), а также сведения о распространении указанной в уведомлении об обсуждениях (уведомлении о слушаниях в случае их проведения); </w:t>
      </w:r>
    </w:p>
    <w:p>
      <w:pPr>
        <w:pStyle w:val="BodyText"/>
        <w:spacing w:lineRule="auto" w:line="240" w:before="0" w:after="0"/>
        <w:ind w:firstLine="540" w:left="0" w:right="0"/>
        <w:jc w:val="both"/>
        <w:rPr/>
      </w:pPr>
      <w:r>
        <w:rPr>
          <w:b w:val="false"/>
        </w:rPr>
        <w:t xml:space="preserve">д) сведения о проведении слушаний (в случае их проведения) с указанием: </w:t>
      </w:r>
    </w:p>
    <w:p>
      <w:pPr>
        <w:pStyle w:val="BodyText"/>
        <w:spacing w:lineRule="auto" w:line="240" w:before="0" w:after="0"/>
        <w:ind w:firstLine="540" w:left="0" w:right="0"/>
        <w:jc w:val="both"/>
        <w:rPr/>
      </w:pPr>
      <w:r>
        <w:rPr>
          <w:b w:val="false"/>
        </w:rPr>
        <w:t xml:space="preserve">даты, времени и места проведения слушаний; </w:t>
      </w:r>
    </w:p>
    <w:p>
      <w:pPr>
        <w:pStyle w:val="BodyText"/>
        <w:spacing w:lineRule="auto" w:line="240" w:before="0" w:after="0"/>
        <w:ind w:firstLine="540" w:left="0" w:right="0"/>
        <w:jc w:val="both"/>
        <w:rPr/>
      </w:pPr>
      <w:r>
        <w:rPr>
          <w:b w:val="false"/>
        </w:rPr>
        <w:t xml:space="preserve">общего количества участников слушаний; </w:t>
      </w:r>
    </w:p>
    <w:p>
      <w:pPr>
        <w:pStyle w:val="BodyText"/>
        <w:spacing w:lineRule="auto" w:line="240" w:before="0" w:after="0"/>
        <w:ind w:firstLine="540" w:left="0" w:right="0"/>
        <w:jc w:val="both"/>
        <w:rPr/>
      </w:pPr>
      <w:r>
        <w:rPr>
          <w:b w:val="false"/>
        </w:rPr>
        <w:t xml:space="preserve">вопросов, обсуждаемых на слушаниях; </w:t>
      </w:r>
    </w:p>
    <w:p>
      <w:pPr>
        <w:pStyle w:val="BodyText"/>
        <w:spacing w:lineRule="auto" w:line="240" w:before="0" w:after="0"/>
        <w:ind w:firstLine="540" w:left="0" w:right="0"/>
        <w:jc w:val="both"/>
        <w:rPr/>
      </w:pPr>
      <w:r>
        <w:rPr>
          <w:b w:val="false"/>
        </w:rPr>
        <w:t xml:space="preserve">предмета разногласий между участниками слушаний и заказчиком (исполнителем) (в случае наличия такого предмета); </w:t>
      </w:r>
    </w:p>
    <w:p>
      <w:pPr>
        <w:pStyle w:val="BodyText"/>
        <w:spacing w:lineRule="auto" w:line="240" w:before="0" w:after="0"/>
        <w:ind w:firstLine="540" w:left="0" w:right="0"/>
        <w:jc w:val="both"/>
        <w:rPr/>
      </w:pPr>
      <w:r>
        <w:rPr>
          <w:b w:val="false"/>
        </w:rPr>
        <w:t xml:space="preserve">е) информация о сроке, в течение которого принимались предложения и замечания участников общественных обсуждений; </w:t>
      </w:r>
    </w:p>
    <w:p>
      <w:pPr>
        <w:pStyle w:val="BodyText"/>
        <w:spacing w:lineRule="auto" w:line="240" w:before="0" w:after="0"/>
        <w:ind w:firstLine="540" w:left="0" w:right="0"/>
        <w:jc w:val="both"/>
        <w:rPr/>
      </w:pPr>
      <w:r>
        <w:rPr>
          <w:b w:val="false"/>
        </w:rPr>
        <w:t xml:space="preserve">ж) иная информация, детализирующая учет общественного мнения; </w:t>
      </w:r>
    </w:p>
    <w:p>
      <w:pPr>
        <w:pStyle w:val="BodyText"/>
        <w:spacing w:lineRule="auto" w:line="240" w:before="0" w:after="0"/>
        <w:ind w:firstLine="540" w:left="0" w:right="0"/>
        <w:jc w:val="both"/>
        <w:rPr/>
      </w:pPr>
      <w:r>
        <w:rPr>
          <w:b w:val="false"/>
        </w:rPr>
        <w:t xml:space="preserve">з) приложения, содержащие: </w:t>
      </w:r>
    </w:p>
    <w:p>
      <w:pPr>
        <w:pStyle w:val="BodyText"/>
        <w:spacing w:lineRule="auto" w:line="240" w:before="0" w:after="0"/>
        <w:ind w:firstLine="540" w:left="0" w:right="0"/>
        <w:jc w:val="both"/>
        <w:rPr/>
      </w:pPr>
      <w:r>
        <w:rPr>
          <w:b w:val="false"/>
        </w:rPr>
        <w:t xml:space="preserve">перечни принявших участие в рассмотрении объекта обсуждений участников; </w:t>
      </w:r>
    </w:p>
    <w:p>
      <w:pPr>
        <w:pStyle w:val="BodyText"/>
        <w:spacing w:lineRule="auto" w:line="240" w:before="0" w:after="0"/>
        <w:ind w:firstLine="540" w:left="0" w:right="0"/>
        <w:jc w:val="both"/>
        <w:rPr/>
      </w:pPr>
      <w:r>
        <w:rPr>
          <w:b w:val="false"/>
        </w:rPr>
        <w:t xml:space="preserve">журнал учета замечаний и предложений участников общественных обсуждений, в котором  уполномоченным органом зафиксированы все предложения и замечания участников общественных обсуждений; </w:t>
      </w:r>
    </w:p>
    <w:p>
      <w:pPr>
        <w:pStyle w:val="BodyText"/>
        <w:spacing w:lineRule="auto" w:line="240" w:before="0" w:after="0"/>
        <w:ind w:firstLine="540" w:left="0" w:right="0"/>
        <w:jc w:val="both"/>
        <w:rPr/>
      </w:pPr>
      <w:r>
        <w:rPr>
          <w:b w:val="false"/>
        </w:rPr>
        <w:t>таблица учета замечаний и предложений.</w:t>
      </w:r>
    </w:p>
    <w:p>
      <w:pPr>
        <w:pStyle w:val="BodyText"/>
        <w:spacing w:lineRule="auto" w:line="240" w:before="0" w:after="0"/>
        <w:ind w:firstLine="540" w:left="0" w:right="0"/>
        <w:jc w:val="both"/>
        <w:rPr/>
      </w:pPr>
      <w:r>
        <w:rPr>
          <w:rFonts w:cs="Times New Roman"/>
          <w:b w:val="false"/>
          <w:i w:val="false"/>
          <w:strike w:val="false"/>
          <w:dstrike w:val="false"/>
          <w:sz w:val="24"/>
          <w:szCs w:val="24"/>
          <w:u w:val="none"/>
        </w:rPr>
        <w:t>2.13. Протокол общественных обсуждений в течение 3 (трех)  рабочих дней со дня оформления подписывается представителем Исполнительного комитета Верхнеуслонского муниципального района, представителем заказчика (исполнителя), участниками общественных обсуждений, указанными в пункте 2.11 настоящего Положения, на бумажном носителе или в форме электронного документа.</w:t>
      </w:r>
    </w:p>
    <w:p>
      <w:pPr>
        <w:pStyle w:val="BodyText"/>
        <w:spacing w:lineRule="auto" w:line="240" w:before="0" w:after="0"/>
        <w:ind w:firstLine="540" w:left="0" w:right="0"/>
        <w:jc w:val="both"/>
        <w:rPr/>
      </w:pPr>
      <w:r>
        <w:rPr>
          <w:rFonts w:cs="Times New Roman"/>
          <w:b w:val="false"/>
          <w:i w:val="false"/>
          <w:strike w:val="false"/>
          <w:dstrike w:val="false"/>
          <w:sz w:val="24"/>
          <w:szCs w:val="24"/>
          <w:u w:val="none"/>
        </w:rPr>
        <w:t>В случае подписания протокола общественных обсуждений на бумажном носителе подписи проставляются собственноручно. Подписание протокола общественных обсуждений в форме электронного документа осуществляется  любым видом электронной подписи.</w:t>
      </w:r>
    </w:p>
    <w:p>
      <w:pPr>
        <w:pStyle w:val="BodyText"/>
        <w:spacing w:lineRule="auto" w:line="240" w:before="0" w:after="0"/>
        <w:ind w:firstLine="540" w:left="0" w:right="0"/>
        <w:jc w:val="both"/>
        <w:rPr/>
      </w:pPr>
      <w:r>
        <w:rPr>
          <w:rFonts w:cs="Times New Roman"/>
          <w:b w:val="false"/>
          <w:i w:val="false"/>
          <w:strike w:val="false"/>
          <w:dstrike w:val="false"/>
          <w:sz w:val="24"/>
          <w:szCs w:val="24"/>
          <w:u w:val="none"/>
        </w:rPr>
        <w:t>2.14. Заказчик (исполнитель) передает в Исполнительный комитет Верхнеуслонского муниципального района таблицу учета замечаний и предложений, содержащую результаты рассмотрения замечаний и предложений не позднее 5-го рабочего дня после даты завершения общественных обсуждений в форме электронного документа, в том числе по адресу электронной почты, указанному в уведомлении об обсуждениях, по которому Исполнительным комитетом Верхнеуслонского муниципального района обеспечивался прием замечаний и предложений участников общественных обсуждений.</w:t>
      </w:r>
    </w:p>
    <w:p>
      <w:pPr>
        <w:pStyle w:val="BodyText"/>
        <w:spacing w:lineRule="auto" w:line="240" w:before="0" w:after="0"/>
        <w:ind w:firstLine="540" w:left="0" w:right="0"/>
        <w:jc w:val="both"/>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BodyText"/>
        <w:spacing w:lineRule="auto" w:line="240" w:before="0" w:after="0"/>
        <w:ind w:firstLine="540" w:left="0" w:right="0"/>
        <w:jc w:val="center"/>
        <w:rPr/>
      </w:pPr>
      <w:r>
        <w:rPr>
          <w:rFonts w:cs="Times New Roman"/>
          <w:b w:val="false"/>
          <w:i w:val="false"/>
          <w:strike w:val="false"/>
          <w:dstrike w:val="false"/>
          <w:sz w:val="24"/>
          <w:szCs w:val="24"/>
          <w:u w:val="none"/>
        </w:rPr>
        <w:t>3. Заключительные положения.</w:t>
      </w:r>
    </w:p>
    <w:p>
      <w:pPr>
        <w:pStyle w:val="BodyText"/>
        <w:spacing w:lineRule="auto" w:line="240" w:before="0" w:after="0"/>
        <w:ind w:firstLine="540" w:left="0" w:right="0"/>
        <w:jc w:val="both"/>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BodyText"/>
        <w:spacing w:lineRule="auto" w:line="240" w:before="0" w:after="0"/>
        <w:ind w:firstLine="540" w:left="0" w:right="0"/>
        <w:jc w:val="both"/>
        <w:rPr/>
      </w:pPr>
      <w:r>
        <w:rPr>
          <w:rFonts w:cs="Times New Roman"/>
          <w:b w:val="false"/>
          <w:i w:val="false"/>
          <w:strike w:val="false"/>
          <w:dstrike w:val="false"/>
          <w:sz w:val="24"/>
          <w:szCs w:val="24"/>
          <w:u w:val="none"/>
        </w:rPr>
        <w:t>3.1. Информация о результатах общественных обсуждений (протокол общественных обсуждений) размещается уполномоченным органом в течение 1 (одного) рабочего  дня с даты подписания указанного протокола всеми лицами на официальном сайте Верхнеуслонского муниципального района и в федеральной государственной информационной системе состояния окружающей среды в соответствии с приложением № 28 к Положению о федеральной государственной информационной системе состояния окружающей среды, утвержденному постановлением Правительства Российской Федерации от 19.03.2024 № 329 «О федеральной государственной информационной системе состояния окружающей среды».</w:t>
      </w:r>
    </w:p>
    <w:p>
      <w:pPr>
        <w:pStyle w:val="BodyText"/>
        <w:spacing w:lineRule="auto" w:line="240" w:before="0" w:after="0"/>
        <w:ind w:firstLine="540" w:left="0" w:right="0"/>
        <w:jc w:val="both"/>
        <w:rPr/>
      </w:pPr>
      <w:r>
        <w:rPr>
          <w:rFonts w:cs="Times New Roman"/>
          <w:b w:val="false"/>
          <w:i w:val="false"/>
          <w:strike w:val="false"/>
          <w:dstrike w:val="false"/>
          <w:sz w:val="24"/>
          <w:szCs w:val="24"/>
          <w:u w:val="none"/>
        </w:rPr>
        <w:t>3.2. Граждане, юридические лица и иные заинтересованные лица, чьи интересы затронуты  или могут быть затронуты по результатам проведения общественных обсуждений, имеют право обратиться с жалобой на действие или бездействие должностных лиц в соответствии  с действующим законодательством Российской Федерации.</w:t>
      </w:r>
    </w:p>
    <w:p>
      <w:pPr>
        <w:pStyle w:val="Normal"/>
        <w:numPr>
          <w:ilvl w:val="0"/>
          <w:numId w:val="0"/>
        </w:numPr>
        <w:spacing w:lineRule="auto" w:line="276" w:before="0" w:after="0"/>
        <w:ind w:hanging="0" w:left="510"/>
        <w:jc w:val="left"/>
        <w:rPr>
          <w:rFonts w:ascii="PT Astra Serif" w:hAnsi="PT Astra Serif"/>
          <w:sz w:val="24"/>
          <w:szCs w:val="24"/>
        </w:rPr>
      </w:pPr>
      <w:r>
        <w:rPr>
          <w:sz w:val="24"/>
          <w:szCs w:val="24"/>
        </w:rPr>
      </w:r>
    </w:p>
    <w:p>
      <w:pPr>
        <w:pStyle w:val="Normal"/>
        <w:numPr>
          <w:ilvl w:val="0"/>
          <w:numId w:val="0"/>
        </w:numPr>
        <w:spacing w:before="0" w:after="20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before="0" w:after="20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before="0" w:after="20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before="0" w:after="20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before="0" w:after="20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before="0" w:after="20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before="0" w:after="20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before="0" w:after="20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before="0" w:after="20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before="0" w:after="20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before="0" w:after="20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before="0" w:after="20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before="0" w:after="20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before="0" w:after="20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before="0" w:after="20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lineRule="auto" w:line="240" w:before="0" w:after="0"/>
        <w:ind w:hanging="0" w:left="4956"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t>Приложение 1</w:t>
      </w:r>
    </w:p>
    <w:p>
      <w:pPr>
        <w:pStyle w:val="Normal"/>
        <w:numPr>
          <w:ilvl w:val="0"/>
          <w:numId w:val="0"/>
        </w:numPr>
        <w:spacing w:lineRule="auto" w:line="240" w:before="0" w:after="0"/>
        <w:ind w:hanging="0" w:left="4956" w:right="0"/>
        <w:jc w:val="both"/>
        <w:outlineLvl w:val="0"/>
        <w:rPr>
          <w:rFonts w:ascii="PT Astra Serif" w:hAnsi="PT Astra Serif" w:cs="Times New Roman"/>
          <w:b w:val="false"/>
          <w:bCs w:val="false"/>
          <w:i w:val="false"/>
          <w:i w:val="false"/>
          <w:strike w:val="false"/>
          <w:dstrike w:val="false"/>
          <w:sz w:val="24"/>
          <w:szCs w:val="24"/>
          <w:u w:val="none"/>
        </w:rPr>
      </w:pPr>
      <w:r>
        <w:rPr>
          <w:rFonts w:cs="Times New Roman"/>
          <w:b w:val="false"/>
          <w:bCs w:val="false"/>
          <w:i w:val="false"/>
          <w:strike w:val="false"/>
          <w:dstrike w:val="false"/>
          <w:sz w:val="24"/>
          <w:szCs w:val="24"/>
          <w:u w:val="none"/>
        </w:rPr>
        <w:t xml:space="preserve">к </w:t>
      </w:r>
      <w:r>
        <w:rPr>
          <w:rFonts w:eastAsia="Sylfaen" w:cs="Times New Roman"/>
          <w:b w:val="false"/>
          <w:bCs w:val="false"/>
          <w:i w:val="false"/>
          <w:strike w:val="false"/>
          <w:dstrike w:val="false"/>
          <w:sz w:val="24"/>
          <w:szCs w:val="24"/>
          <w:u w:val="none"/>
        </w:rPr>
        <w:t>Положению о порядке организации и проведении общественных обсуждений по оценке воздействия на окружающую среду планируемой (намечаемой) хозяйственной и иной деятельности на территории Верхнеуслонского муниципального района Республики Татарстан</w:t>
      </w:r>
    </w:p>
    <w:p>
      <w:pPr>
        <w:pStyle w:val="Normal"/>
        <w:numPr>
          <w:ilvl w:val="0"/>
          <w:numId w:val="0"/>
        </w:numPr>
        <w:spacing w:before="0" w:after="20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lineRule="auto" w:line="240" w:before="0" w:after="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t>Информация,</w:t>
      </w:r>
    </w:p>
    <w:p>
      <w:pPr>
        <w:pStyle w:val="Normal"/>
        <w:numPr>
          <w:ilvl w:val="0"/>
          <w:numId w:val="0"/>
        </w:numPr>
        <w:spacing w:lineRule="auto" w:line="240" w:before="0" w:after="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t>предоставляемая заказчиком (исполнителем)</w:t>
      </w:r>
    </w:p>
    <w:p>
      <w:pPr>
        <w:pStyle w:val="Normal"/>
        <w:numPr>
          <w:ilvl w:val="0"/>
          <w:numId w:val="0"/>
        </w:numPr>
        <w:spacing w:lineRule="auto" w:line="240" w:before="0" w:after="0"/>
        <w:ind w:hanging="0" w:left="0" w:right="0"/>
        <w:jc w:val="center"/>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t>в уведомлении об обсуждениях</w:t>
      </w:r>
    </w:p>
    <w:p>
      <w:pPr>
        <w:pStyle w:val="Normal"/>
        <w:numPr>
          <w:ilvl w:val="0"/>
          <w:numId w:val="0"/>
        </w:numPr>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widowControl/>
        <w:numPr>
          <w:ilvl w:val="0"/>
          <w:numId w:val="0"/>
        </w:numPr>
        <w:suppressAutoHyphens w:val="true"/>
        <w:bidi w:val="0"/>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t xml:space="preserve">          </w:t>
      </w:r>
      <w:r>
        <w:rPr>
          <w:rFonts w:cs="Times New Roman"/>
          <w:b w:val="false"/>
          <w:i w:val="false"/>
          <w:strike w:val="false"/>
          <w:dstrike w:val="false"/>
          <w:sz w:val="24"/>
          <w:szCs w:val="24"/>
          <w:u w:val="none"/>
        </w:rPr>
        <w:t>1. Информация об объекте обсуждений, подлежащем рассмотрению на общественных обсуждениях, включая:</w:t>
      </w:r>
    </w:p>
    <w:p>
      <w:pPr>
        <w:pStyle w:val="Normal"/>
        <w:widowControl/>
        <w:numPr>
          <w:ilvl w:val="0"/>
          <w:numId w:val="0"/>
        </w:numPr>
        <w:suppressAutoHyphens w:val="true"/>
        <w:bidi w:val="0"/>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tab/>
        <w:t>- сведения о заказчике (исполнителе) (полное и сокращенное (при наличии) наименования - для юридических лиц, фамилия, имя и отчество (при наличии) - для индивидуальных предпринимателей, физических лиц, основной государственный регистрационный номер для основной государственный регистрационный номер индивидуального предпринимателя, идентификационный номер налогоплательщика для юридических лиц, место жительства -для индивидуальных предпринимателей, физических лиц, контактная информация (телефон, адрес электронной почты (при наличии), факс (при наличии);</w:t>
      </w:r>
    </w:p>
    <w:p>
      <w:pPr>
        <w:pStyle w:val="Normal"/>
        <w:widowControl/>
        <w:numPr>
          <w:ilvl w:val="0"/>
          <w:numId w:val="0"/>
        </w:numPr>
        <w:suppressAutoHyphens w:val="true"/>
        <w:bidi w:val="0"/>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tab/>
        <w:t>полное и сокращенное (при наличии) наименования уполномоченного органа, ответственного за проведение общественных обсуждений;</w:t>
      </w:r>
    </w:p>
    <w:p>
      <w:pPr>
        <w:pStyle w:val="Normal"/>
        <w:widowControl/>
        <w:numPr>
          <w:ilvl w:val="0"/>
          <w:numId w:val="0"/>
        </w:numPr>
        <w:suppressAutoHyphens w:val="true"/>
        <w:bidi w:val="0"/>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tab/>
        <w:t>наименование объекта обсуждений;</w:t>
      </w:r>
    </w:p>
    <w:p>
      <w:pPr>
        <w:pStyle w:val="Normal"/>
        <w:widowControl/>
        <w:numPr>
          <w:ilvl w:val="0"/>
          <w:numId w:val="0"/>
        </w:numPr>
        <w:suppressAutoHyphens w:val="true"/>
        <w:bidi w:val="0"/>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tab/>
        <w:t>наименование планируемой хозяйственной и иной деятельности;</w:t>
      </w:r>
    </w:p>
    <w:p>
      <w:pPr>
        <w:pStyle w:val="Normal"/>
        <w:widowControl/>
        <w:numPr>
          <w:ilvl w:val="0"/>
          <w:numId w:val="0"/>
        </w:numPr>
        <w:suppressAutoHyphens w:val="true"/>
        <w:bidi w:val="0"/>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tab/>
        <w:t>цель планируемой хозяйственной и иной деятельности;</w:t>
      </w:r>
    </w:p>
    <w:p>
      <w:pPr>
        <w:pStyle w:val="Normal"/>
        <w:widowControl/>
        <w:numPr>
          <w:ilvl w:val="0"/>
          <w:numId w:val="0"/>
        </w:numPr>
        <w:suppressAutoHyphens w:val="true"/>
        <w:bidi w:val="0"/>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tab/>
        <w:t>предварительное место реализации планируемой хозяйственной и иной деятельности;</w:t>
      </w:r>
    </w:p>
    <w:p>
      <w:pPr>
        <w:pStyle w:val="Normal"/>
        <w:widowControl/>
        <w:numPr>
          <w:ilvl w:val="0"/>
          <w:numId w:val="0"/>
        </w:numPr>
        <w:suppressAutoHyphens w:val="true"/>
        <w:bidi w:val="0"/>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tab/>
        <w:t>планируемые сроки проведения оценки воздействия на окружающую среду (указываются в случае проведения общественных  обсуждений по проекту технического задания);</w:t>
      </w:r>
    </w:p>
    <w:p>
      <w:pPr>
        <w:pStyle w:val="Normal"/>
        <w:widowControl/>
        <w:numPr>
          <w:ilvl w:val="0"/>
          <w:numId w:val="0"/>
        </w:numPr>
        <w:suppressAutoHyphens w:val="true"/>
        <w:bidi w:val="0"/>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tab/>
        <w:t>контактные данные, телефон и адрес электронной почты (при наличии) ответственных лиц со стороны заказчика (исполнителя);</w:t>
      </w:r>
    </w:p>
    <w:p>
      <w:pPr>
        <w:pStyle w:val="Normal"/>
        <w:widowControl/>
        <w:numPr>
          <w:ilvl w:val="0"/>
          <w:numId w:val="0"/>
        </w:numPr>
        <w:suppressAutoHyphens w:val="true"/>
        <w:bidi w:val="0"/>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tab/>
        <w:t>иная информация по желанию заказчика (исполнителя).</w:t>
      </w:r>
    </w:p>
    <w:p>
      <w:pPr>
        <w:pStyle w:val="Normal"/>
        <w:widowControl/>
        <w:numPr>
          <w:ilvl w:val="0"/>
          <w:numId w:val="0"/>
        </w:numPr>
        <w:suppressAutoHyphens w:val="true"/>
        <w:bidi w:val="0"/>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t xml:space="preserve">        </w:t>
      </w:r>
      <w:r>
        <w:rPr>
          <w:rFonts w:cs="Times New Roman"/>
          <w:b w:val="false"/>
          <w:i w:val="false"/>
          <w:strike w:val="false"/>
          <w:dstrike w:val="false"/>
          <w:sz w:val="24"/>
          <w:szCs w:val="24"/>
          <w:u w:val="none"/>
        </w:rPr>
        <w:t>2. Информацию о месте, в котором размещен и доступен для очного ознакомления объект обсуждений, дате открытия доступа, сроке доступности объекта обсуждений, днях и часах, в которые возможно ознакомление с объектом обсуждений;</w:t>
      </w:r>
    </w:p>
    <w:p>
      <w:pPr>
        <w:pStyle w:val="Normal"/>
        <w:widowControl/>
        <w:numPr>
          <w:ilvl w:val="0"/>
          <w:numId w:val="0"/>
        </w:numPr>
        <w:suppressAutoHyphens w:val="true"/>
        <w:bidi w:val="0"/>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tab/>
        <w:t>3. Информация о размещении объекта обсуждений в сети Интернет, содержащая электронную ссылку на место размещения указанных материалов в сети Интернет, о дате и сроке их размещения.</w:t>
      </w:r>
    </w:p>
    <w:p>
      <w:pPr>
        <w:pStyle w:val="Normal"/>
        <w:widowControl/>
        <w:numPr>
          <w:ilvl w:val="0"/>
          <w:numId w:val="0"/>
        </w:numPr>
        <w:suppressAutoHyphens w:val="true"/>
        <w:bidi w:val="0"/>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tab/>
        <w:t>4. Информация о возможности проведения по инициативе граждан обсуждений в соответствии с пунктом 1.6 настоящего Положения.</w:t>
      </w:r>
    </w:p>
    <w:p>
      <w:pPr>
        <w:pStyle w:val="Normal"/>
        <w:numPr>
          <w:ilvl w:val="0"/>
          <w:numId w:val="0"/>
        </w:numPr>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lineRule="auto" w:line="240" w:before="0" w:after="0"/>
        <w:ind w:hanging="0" w:left="0" w:right="0"/>
        <w:jc w:val="both"/>
        <w:outlineLvl w:val="0"/>
        <w:rPr>
          <w:rFonts w:ascii="PT Astra Serif" w:hAnsi="PT Astra Serif" w:cs="Times New Roman"/>
          <w:b w:val="false"/>
          <w:i w:val="false"/>
          <w:i w:val="false"/>
          <w:strike w:val="false"/>
          <w:dstrike w:val="false"/>
          <w:sz w:val="24"/>
          <w:szCs w:val="24"/>
          <w:u w:val="none"/>
        </w:rPr>
      </w:pPr>
      <w:r>
        <w:rPr>
          <w:rFonts w:cs="Times New Roman"/>
          <w:b w:val="false"/>
          <w:i w:val="false"/>
          <w:strike w:val="false"/>
          <w:dstrike w:val="false"/>
          <w:sz w:val="24"/>
          <w:szCs w:val="24"/>
          <w:u w:val="none"/>
        </w:rPr>
      </w:r>
    </w:p>
    <w:p>
      <w:pPr>
        <w:pStyle w:val="Normal"/>
        <w:numPr>
          <w:ilvl w:val="0"/>
          <w:numId w:val="0"/>
        </w:numPr>
        <w:spacing w:lineRule="auto" w:line="240" w:before="0" w:after="0"/>
        <w:ind w:hanging="0" w:left="4248" w:right="0"/>
        <w:jc w:val="both"/>
        <w:outlineLvl w:val="0"/>
        <w:rPr>
          <w:rFonts w:eastAsia="Sylfaen" w:cs="Times New Roman"/>
        </w:rPr>
      </w:pPr>
      <w:r>
        <w:rPr>
          <w:rFonts w:eastAsia="Sylfaen" w:cs="Times New Roman"/>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PT Astra Serif">
    <w:charset w:val="01"/>
    <w:family w:val="roman"/>
    <w:pitch w:val="default"/>
  </w:font>
  <w:font w:name="Times New Roman">
    <w:charset w:val="01"/>
    <w:family w:val="roman"/>
    <w:pitch w:val="default"/>
  </w:font>
</w:fonts>
</file>

<file path=word/settings.xml><?xml version="1.0" encoding="utf-8"?>
<w:settings xmlns:w="http://schemas.openxmlformats.org/wordprocessingml/2006/main">
  <w:zoom w:percent="75"/>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Astra Serif" w:hAnsi="PT Astra Serif" w:eastAsia="Tahoma"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PT Astra Serif" w:hAnsi="PT Astra Serif" w:eastAsia="Tahoma" w:cs="Noto Sans Devanagari"/>
      <w:color w:val="auto"/>
      <w:kern w:val="2"/>
      <w:sz w:val="24"/>
      <w:szCs w:val="24"/>
      <w:lang w:val="ru-RU" w:eastAsia="zh-CN" w:bidi="hi-IN"/>
    </w:rPr>
  </w:style>
  <w:style w:type="character" w:styleId="Hyperlink">
    <w:name w:val="Hyperlink"/>
    <w:rPr>
      <w:color w:val="000080"/>
      <w:u w:val="single"/>
      <w:lang w:val="zxx" w:eastAsia="zxx" w:bidi="zxx"/>
    </w:rPr>
  </w:style>
  <w:style w:type="character" w:styleId="FollowedHyperlink">
    <w:name w:val="FollowedHyperlink"/>
    <w:rPr>
      <w:color w:val="800000"/>
      <w:u w:val="single"/>
      <w:lang w:val="zxx" w:eastAsia="zxx" w:bidi="zxx"/>
    </w:rPr>
  </w:style>
  <w:style w:type="paragraph" w:styleId="Style14">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5">
    <w:name w:val="Указатель"/>
    <w:basedOn w:val="Normal"/>
    <w:qFormat/>
    <w:pPr>
      <w:suppressLineNumbers/>
    </w:pPr>
    <w:rPr>
      <w:rFonts w:ascii="PT Astra Serif" w:hAnsi="PT Astra Serif" w:cs="Noto Sans Devanagari"/>
    </w:rPr>
  </w:style>
  <w:style w:type="paragraph" w:styleId="ListParagraph">
    <w:name w:val="List Paragraph"/>
    <w:basedOn w:val="Normal"/>
    <w:qFormat/>
    <w:pPr>
      <w:spacing w:before="0" w:after="200"/>
      <w:ind w:hanging="0" w:left="720"/>
      <w:contextualSpacing/>
    </w:pPr>
    <w:rPr/>
  </w:style>
  <w:style w:type="paragraph" w:styleId="Formattext">
    <w:name w:val="formattext"/>
    <w:basedOn w:val="Normal"/>
    <w:qFormat/>
    <w:pPr>
      <w:spacing w:lineRule="auto" w:line="240" w:beforeAutospacing="1" w:afterAutospacing="1"/>
    </w:pPr>
    <w:rPr>
      <w:rFonts w:ascii="Times New Roman" w:hAnsi="Times New Roman" w:eastAsia="Times New Roman" w:cs="Times New Roman"/>
      <w:sz w:val="24"/>
      <w:szCs w:val="24"/>
      <w:lang w:eastAsia="ru-RU"/>
    </w:rPr>
  </w:style>
  <w:style w:type="paragraph" w:styleId="Style16">
    <w:name w:val="Содержимое врезки"/>
    <w:basedOn w:val="Normal"/>
    <w:qFormat/>
    <w:pPr/>
    <w:rPr/>
  </w:style>
  <w:style w:type="paragraph" w:styleId="Style17">
    <w:name w:val="Содержимое таблицы"/>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login.consultant.ru/link/?req=doc&amp;base=LAW&amp;n=511663&amp;dst=259&amp;field=134&amp;date=15.07.2026" TargetMode="External"/><Relationship Id="rId4" Type="http://schemas.openxmlformats.org/officeDocument/2006/relationships/hyperlink" Target="https://login.consultant.ru/link/?req=doc&amp;base=LAW&amp;n=511663&amp;dst=142&amp;field=134&amp;date=15.07.2026"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473</TotalTime>
  <Application>LibreOffice/7.6.7.2$Linux_X86_64 LibreOffice_project/60$Build-2</Application>
  <AppVersion>15.0000</AppVersion>
  <Pages>8</Pages>
  <Words>2694</Words>
  <Characters>20431</Characters>
  <CharactersWithSpaces>23231</CharactersWithSpaces>
  <Paragraphs>123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2026-07-13T15:36:37Z</dcterms:created>
  <dc:creator/>
  <dc:description/>
  <dc:language>ru-RU</dc:language>
  <cp:lastModifiedBy/>
  <cp:lastPrinted>2026-07-15T18:15:45Z</cp:lastPrinted>
  <dcterms:modified xsi:type="dcterms:W3CDTF">2026-07-15T18:15:54Z</dcterms:modified>
  <cp:revision>93</cp:revision>
  <dc:subject/>
  <dc:title/>
</cp:coreProperties>
</file>

<file path=docProps/custom.xml><?xml version="1.0" encoding="utf-8"?>
<Properties xmlns="http://schemas.openxmlformats.org/officeDocument/2006/custom-properties" xmlns:vt="http://schemas.openxmlformats.org/officeDocument/2006/docPropsVTypes"/>
</file>