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C" w:rsidRDefault="00E5319C" w:rsidP="00E531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15C63" wp14:editId="05421D62">
                <wp:simplePos x="0" y="0"/>
                <wp:positionH relativeFrom="column">
                  <wp:posOffset>451485</wp:posOffset>
                </wp:positionH>
                <wp:positionV relativeFrom="paragraph">
                  <wp:posOffset>1745615</wp:posOffset>
                </wp:positionV>
                <wp:extent cx="5238750" cy="314325"/>
                <wp:effectExtent l="0" t="0" r="0" b="0"/>
                <wp:wrapNone/>
                <wp:docPr id="4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319C" w:rsidRPr="00C12520" w:rsidRDefault="00E5319C" w:rsidP="00E5319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06.05.2019                                                                   418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015C63" id="_x0000_s1027" type="#_x0000_t202" style="position:absolute;margin-left:35.55pt;margin-top:137.45pt;width:412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" filled="f" stroked="f" strokeweight=".5pt">
                <v:textbox>
                  <w:txbxContent>
                    <w:p w:rsidR="00E5319C" w:rsidRPr="00C12520" w:rsidRDefault="00E5319C" w:rsidP="00E5319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06.05.2019                                                                   418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6DDCCA" wp14:editId="15BC2753">
            <wp:extent cx="6146165" cy="2329815"/>
            <wp:effectExtent l="0" t="0" r="0" b="0"/>
            <wp:docPr id="5" name="Рисунок 5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5319C" w:rsidRPr="00C12520" w:rsidTr="00F53EC6">
        <w:trPr>
          <w:trHeight w:val="1886"/>
        </w:trPr>
        <w:tc>
          <w:tcPr>
            <w:tcW w:w="5353" w:type="dxa"/>
          </w:tcPr>
          <w:p w:rsidR="00E5319C" w:rsidRPr="00C12520" w:rsidRDefault="007C6124" w:rsidP="007C6124">
            <w:pPr>
              <w:pStyle w:val="a5"/>
              <w:tabs>
                <w:tab w:val="left" w:pos="0"/>
              </w:tabs>
              <w:spacing w:line="276" w:lineRule="auto"/>
              <w:ind w:left="0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Югары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Ослан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муниципаль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районы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Б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ашкарма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комитеты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җитәкчесенең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А</w:t>
            </w:r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дминистратив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хокук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бозулар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турында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беркетмәләр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төзергә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вәкаләтле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вазыйфаи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затлар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исемлеген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билгеләү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турында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»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tt-RU"/>
              </w:rPr>
              <w:t xml:space="preserve"> </w:t>
            </w:r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2018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елның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30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гыйнварындагы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102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номерлы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карарына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үзгәрешләр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кертү</w:t>
            </w:r>
            <w:proofErr w:type="spellEnd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C61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турында</w:t>
            </w:r>
            <w:bookmarkEnd w:id="0"/>
            <w:proofErr w:type="spellEnd"/>
          </w:p>
        </w:tc>
      </w:tr>
    </w:tbl>
    <w:p w:rsidR="00E5319C" w:rsidRPr="00C12520" w:rsidRDefault="00E5319C" w:rsidP="00E5319C">
      <w:pPr>
        <w:pStyle w:val="11"/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C12520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   </w:t>
      </w:r>
    </w:p>
    <w:p w:rsidR="007C6124" w:rsidRDefault="007C6124" w:rsidP="00E5319C">
      <w:pPr>
        <w:keepNext/>
        <w:keepLines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үзидарә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органнары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вазыйфаи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затларының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вәкаләтл</w:t>
      </w:r>
      <w:r>
        <w:rPr>
          <w:rFonts w:ascii="Arial" w:eastAsia="Times New Roman" w:hAnsi="Arial" w:cs="Arial"/>
          <w:sz w:val="24"/>
          <w:szCs w:val="24"/>
          <w:lang w:eastAsia="ru-RU"/>
        </w:rPr>
        <w:t>әрен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киңәйтү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аларны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C6124">
        <w:rPr>
          <w:rFonts w:ascii="Arial" w:eastAsia="Times New Roman" w:hAnsi="Arial" w:cs="Arial"/>
          <w:sz w:val="24"/>
          <w:szCs w:val="24"/>
          <w:lang w:eastAsia="ru-RU"/>
        </w:rPr>
        <w:t>дминистратив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хокук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бозулар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кодексына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«Татарстан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Республикасында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берәмлекләрнең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үзидарә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органнарына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хокук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бозулар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беркетмәләр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төзергә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вәкаләтле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вазыйфаи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затлар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исемлеген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билгеләү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Законының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статьясына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үзгәрешләр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кертү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хакында</w:t>
      </w:r>
      <w:proofErr w:type="spellEnd"/>
      <w:r w:rsidRPr="007C6124">
        <w:t xml:space="preserve"> </w:t>
      </w:r>
      <w:r w:rsidRPr="007C6124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2018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7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ноябрендәге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87-ТРЗ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Законы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таләпләренә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туры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китерү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максатларын</w:t>
      </w:r>
      <w:r>
        <w:rPr>
          <w:rFonts w:ascii="Arial" w:eastAsia="Times New Roman" w:hAnsi="Arial" w:cs="Arial"/>
          <w:sz w:val="24"/>
          <w:szCs w:val="24"/>
          <w:lang w:eastAsia="ru-RU"/>
        </w:rPr>
        <w:t>да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, Татарстан </w:t>
      </w:r>
      <w:proofErr w:type="spellStart"/>
      <w:r w:rsidRPr="007C6124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7C6124">
        <w:rPr>
          <w:rFonts w:ascii="Arial" w:eastAsia="Times New Roman" w:hAnsi="Arial" w:cs="Arial"/>
          <w:sz w:val="24"/>
          <w:szCs w:val="24"/>
          <w:lang w:eastAsia="ru-RU"/>
        </w:rPr>
        <w:t>ашкарма</w:t>
      </w:r>
      <w:proofErr w:type="spellEnd"/>
      <w:r w:rsidRPr="007C6124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КАРАР БИРӘ:</w:t>
      </w:r>
    </w:p>
    <w:p w:rsidR="007C6124" w:rsidRPr="007C6124" w:rsidRDefault="007C6124" w:rsidP="007C6124">
      <w:pPr>
        <w:pStyle w:val="a5"/>
        <w:tabs>
          <w:tab w:val="left" w:pos="540"/>
        </w:tabs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</w:t>
      </w:r>
      <w:r w:rsidR="00BE3A4D"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1.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Югары Ослан муниципаль районы Башкарма комитеты җитәкчесенең «Административ хокук бозулар турында беркетмәләр төзергә вәкаләтле вазыйфаи затлар исемлеген билгеләү турында</w:t>
      </w:r>
      <w:r w:rsidRPr="007C6124">
        <w:rPr>
          <w:rFonts w:ascii="Arial" w:hAnsi="Arial" w:cs="Arial"/>
          <w:sz w:val="24"/>
          <w:szCs w:val="24"/>
          <w:lang w:val="tt-RU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2018 елның 30 гыйнварындагы 102 номерлы карарына (аңа 2018 елның 7 мартындагы 233 номерлы карар белән кертелгән үзгәрешләрне исәпкә алып) түбәндәге үзгәрешләрне кертергә:</w:t>
      </w:r>
    </w:p>
    <w:p w:rsidR="007C6124" w:rsidRDefault="007C6124" w:rsidP="007C6124">
      <w:pPr>
        <w:pStyle w:val="a5"/>
        <w:tabs>
          <w:tab w:val="left" w:pos="540"/>
        </w:tabs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1.1.</w:t>
      </w:r>
      <w:r w:rsidR="00BE3A4D"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А</w:t>
      </w:r>
      <w:r w:rsidR="00931994" w:rsidRPr="00931994">
        <w:rPr>
          <w:rFonts w:ascii="Arial" w:hAnsi="Arial" w:cs="Arial"/>
          <w:b w:val="0"/>
          <w:bCs w:val="0"/>
          <w:sz w:val="24"/>
          <w:szCs w:val="24"/>
          <w:lang w:val="tt-RU"/>
        </w:rPr>
        <w:t>дминистратив хокук бозулар турында Татарстан Республикасы кодексының 15 нче пункты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r w:rsidR="00931994" w:rsidRPr="00931994">
        <w:rPr>
          <w:rFonts w:ascii="Arial" w:hAnsi="Arial" w:cs="Arial"/>
          <w:b w:val="0"/>
          <w:bCs w:val="0"/>
          <w:sz w:val="24"/>
          <w:szCs w:val="24"/>
          <w:lang w:val="tt-RU"/>
        </w:rPr>
        <w:t>2 статья</w:t>
      </w:r>
      <w:r w:rsidR="00931994">
        <w:rPr>
          <w:rFonts w:ascii="Arial" w:hAnsi="Arial" w:cs="Arial"/>
          <w:b w:val="0"/>
          <w:bCs w:val="0"/>
          <w:sz w:val="24"/>
          <w:szCs w:val="24"/>
          <w:lang w:val="tt-RU"/>
        </w:rPr>
        <w:t>сы, ә</w:t>
      </w:r>
      <w:r w:rsidR="00931994" w:rsidRPr="00931994">
        <w:rPr>
          <w:rFonts w:ascii="Arial" w:hAnsi="Arial" w:cs="Arial"/>
          <w:b w:val="0"/>
          <w:bCs w:val="0"/>
          <w:sz w:val="24"/>
          <w:szCs w:val="24"/>
          <w:lang w:val="tt-RU"/>
        </w:rPr>
        <w:t>леге карар нигезендә административ хокук бозулар турында беркетмәләр төзергә вәкаләтле вазыйфаи затлар исемлеген билгеләргә.</w:t>
      </w:r>
    </w:p>
    <w:p w:rsidR="007C6124" w:rsidRPr="007C6124" w:rsidRDefault="007C6124" w:rsidP="007C6124">
      <w:pPr>
        <w:pStyle w:val="a5"/>
        <w:tabs>
          <w:tab w:val="left" w:pos="540"/>
        </w:tabs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2. Административ хокук бозулар турында беркетмәләр төзергә вәкаләтле вазыйфаи затлар ис</w:t>
      </w:r>
      <w:r w:rsidR="00BE3A4D"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емлеген яңа редакциядә расларга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(1нче кушымта).</w:t>
      </w:r>
    </w:p>
    <w:p w:rsidR="007C6124" w:rsidRPr="007C6124" w:rsidRDefault="007C6124" w:rsidP="007C6124">
      <w:pPr>
        <w:pStyle w:val="a5"/>
        <w:tabs>
          <w:tab w:val="left" w:pos="540"/>
        </w:tabs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 </w:t>
      </w:r>
      <w:r w:rsidRPr="007C6124">
        <w:rPr>
          <w:rFonts w:ascii="Arial" w:hAnsi="Arial" w:cs="Arial"/>
          <w:b w:val="0"/>
          <w:bCs w:val="0"/>
          <w:sz w:val="24"/>
          <w:szCs w:val="24"/>
        </w:rPr>
        <w:t>3.</w:t>
      </w:r>
      <w:r w:rsidR="00931994"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Әлеге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карарны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Татарстан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Югары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Ослан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муниципаль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районының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рәсми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сайтында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урнаштырырга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E5319C" w:rsidRDefault="00BE3A4D" w:rsidP="007C6124">
      <w:pPr>
        <w:pStyle w:val="a5"/>
        <w:tabs>
          <w:tab w:val="left" w:pos="540"/>
        </w:tabs>
        <w:spacing w:line="276" w:lineRule="auto"/>
        <w:ind w:left="0" w:right="-143"/>
        <w:jc w:val="both"/>
        <w:rPr>
          <w:b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</w:t>
      </w:r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>4.</w:t>
      </w:r>
      <w:r w:rsidR="00931994"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proofErr w:type="spellStart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>Әлеге</w:t>
      </w:r>
      <w:proofErr w:type="spellEnd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>карарның</w:t>
      </w:r>
      <w:proofErr w:type="spellEnd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931994">
        <w:rPr>
          <w:rFonts w:ascii="Arial" w:hAnsi="Arial" w:cs="Arial"/>
          <w:b w:val="0"/>
          <w:bCs w:val="0"/>
          <w:sz w:val="24"/>
          <w:szCs w:val="24"/>
        </w:rPr>
        <w:t>үтәлешен</w:t>
      </w:r>
      <w:proofErr w:type="spellEnd"/>
      <w:r w:rsidR="0093199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931994">
        <w:rPr>
          <w:rFonts w:ascii="Arial" w:hAnsi="Arial" w:cs="Arial"/>
          <w:b w:val="0"/>
          <w:bCs w:val="0"/>
          <w:sz w:val="24"/>
          <w:szCs w:val="24"/>
        </w:rPr>
        <w:t>контрольдә</w:t>
      </w:r>
      <w:proofErr w:type="spellEnd"/>
      <w:r w:rsidR="0093199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931994">
        <w:rPr>
          <w:rFonts w:ascii="Arial" w:hAnsi="Arial" w:cs="Arial"/>
          <w:b w:val="0"/>
          <w:bCs w:val="0"/>
          <w:sz w:val="24"/>
          <w:szCs w:val="24"/>
        </w:rPr>
        <w:t>тотуны</w:t>
      </w:r>
      <w:proofErr w:type="spellEnd"/>
      <w:r w:rsidR="0093199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931994">
        <w:rPr>
          <w:rFonts w:ascii="Arial" w:hAnsi="Arial" w:cs="Arial"/>
          <w:b w:val="0"/>
          <w:bCs w:val="0"/>
          <w:sz w:val="24"/>
          <w:szCs w:val="24"/>
        </w:rPr>
        <w:t>үземә</w:t>
      </w:r>
      <w:proofErr w:type="spellEnd"/>
      <w:r w:rsidR="0093199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>калдырам</w:t>
      </w:r>
      <w:proofErr w:type="spellEnd"/>
      <w:r w:rsidR="007C6124" w:rsidRPr="007C6124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E5319C" w:rsidRDefault="00E5319C" w:rsidP="00E5319C">
      <w:pPr>
        <w:pStyle w:val="a5"/>
        <w:spacing w:line="276" w:lineRule="auto"/>
        <w:ind w:left="0" w:right="184"/>
        <w:jc w:val="both"/>
        <w:rPr>
          <w:b w:val="0"/>
        </w:rPr>
      </w:pPr>
    </w:p>
    <w:p w:rsidR="00E5319C" w:rsidRDefault="00E5319C" w:rsidP="00E5319C">
      <w:pPr>
        <w:pStyle w:val="a5"/>
        <w:spacing w:line="276" w:lineRule="auto"/>
        <w:ind w:left="0" w:right="184"/>
        <w:jc w:val="both"/>
        <w:rPr>
          <w:b w:val="0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931994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E5319C" w:rsidRPr="00BC37A6" w:rsidRDefault="00931994" w:rsidP="00931994">
      <w:pPr>
        <w:pStyle w:val="a5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931994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931994"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Pr="00931994">
        <w:rPr>
          <w:rFonts w:ascii="Arial" w:hAnsi="Arial" w:cs="Arial"/>
          <w:b w:val="0"/>
          <w:sz w:val="24"/>
          <w:szCs w:val="24"/>
        </w:rPr>
        <w:t>җитәкчесе</w:t>
      </w:r>
      <w:proofErr w:type="spellEnd"/>
      <w:r w:rsidRPr="0093199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</w:t>
      </w:r>
      <w:r w:rsidR="00E5319C" w:rsidRPr="00BC37A6">
        <w:rPr>
          <w:rFonts w:ascii="Arial" w:hAnsi="Arial" w:cs="Arial"/>
          <w:b w:val="0"/>
          <w:sz w:val="24"/>
          <w:szCs w:val="24"/>
        </w:rPr>
        <w:t xml:space="preserve">В.С. </w:t>
      </w:r>
      <w:proofErr w:type="spellStart"/>
      <w:r w:rsidR="00E5319C" w:rsidRPr="00BC37A6">
        <w:rPr>
          <w:rFonts w:ascii="Arial" w:hAnsi="Arial" w:cs="Arial"/>
          <w:b w:val="0"/>
          <w:sz w:val="24"/>
          <w:szCs w:val="24"/>
        </w:rPr>
        <w:t>Тимиряев</w:t>
      </w:r>
      <w:proofErr w:type="spellEnd"/>
    </w:p>
    <w:p w:rsidR="00E5319C" w:rsidRDefault="00E5319C" w:rsidP="00E5319C">
      <w:pPr>
        <w:pStyle w:val="a5"/>
        <w:spacing w:line="276" w:lineRule="auto"/>
        <w:ind w:left="0" w:right="184"/>
        <w:jc w:val="both"/>
        <w:rPr>
          <w:b w:val="0"/>
          <w:sz w:val="16"/>
          <w:lang w:val="tt-RU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</w:p>
    <w:p w:rsidR="00E5319C" w:rsidRPr="00931994" w:rsidRDefault="00931994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  <w:lang w:val="tt-RU"/>
        </w:rPr>
      </w:pPr>
      <w:r>
        <w:rPr>
          <w:rFonts w:ascii="Arial" w:hAnsi="Arial" w:cs="Arial"/>
          <w:b w:val="0"/>
          <w:sz w:val="14"/>
          <w:lang w:val="tt-RU"/>
        </w:rPr>
        <w:t>Әзерләде һәм бастырды:</w:t>
      </w:r>
    </w:p>
    <w:p w:rsidR="00E5319C" w:rsidRPr="00BC37A6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  <w:proofErr w:type="spellStart"/>
      <w:r w:rsidRPr="00BC37A6">
        <w:rPr>
          <w:rFonts w:ascii="Arial" w:hAnsi="Arial" w:cs="Arial"/>
          <w:b w:val="0"/>
          <w:sz w:val="14"/>
        </w:rPr>
        <w:t>Христанова</w:t>
      </w:r>
      <w:proofErr w:type="spellEnd"/>
      <w:r w:rsidRPr="00BC37A6">
        <w:rPr>
          <w:rFonts w:ascii="Arial" w:hAnsi="Arial" w:cs="Arial"/>
          <w:b w:val="0"/>
          <w:sz w:val="14"/>
        </w:rPr>
        <w:t xml:space="preserve"> С.И.</w:t>
      </w:r>
    </w:p>
    <w:p w:rsidR="00E5319C" w:rsidRPr="00931994" w:rsidRDefault="00E5319C" w:rsidP="00E5319C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  <w:lang w:val="tt-RU"/>
        </w:rPr>
      </w:pPr>
      <w:r w:rsidRPr="00BC37A6">
        <w:rPr>
          <w:rFonts w:ascii="Arial" w:hAnsi="Arial" w:cs="Arial"/>
          <w:b w:val="0"/>
          <w:sz w:val="16"/>
          <w:szCs w:val="16"/>
        </w:rPr>
        <w:t xml:space="preserve">3 </w:t>
      </w:r>
      <w:r w:rsidR="00931994">
        <w:rPr>
          <w:rFonts w:ascii="Arial" w:hAnsi="Arial" w:cs="Arial"/>
          <w:b w:val="0"/>
          <w:sz w:val="16"/>
          <w:szCs w:val="16"/>
          <w:lang w:val="tt-RU"/>
        </w:rPr>
        <w:t>нөсхәдә</w:t>
      </w:r>
    </w:p>
    <w:p w:rsidR="00931994" w:rsidRDefault="00931994" w:rsidP="00E5319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94" w:rsidRDefault="00931994" w:rsidP="0093199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3199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931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3199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931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3199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31994">
        <w:rPr>
          <w:rFonts w:ascii="Arial" w:eastAsia="Times New Roman" w:hAnsi="Arial" w:cs="Arial"/>
          <w:sz w:val="24"/>
          <w:szCs w:val="24"/>
          <w:lang w:eastAsia="ru-RU"/>
        </w:rPr>
        <w:t xml:space="preserve"> районы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E5319C" w:rsidRPr="00BC37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1994" w:rsidRDefault="00931994" w:rsidP="009319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</w:t>
      </w:r>
      <w:proofErr w:type="spellStart"/>
      <w:r w:rsidRPr="00931994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931994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ының</w:t>
      </w:r>
      <w:r w:rsidRPr="00BC37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1994" w:rsidRPr="002A6319" w:rsidRDefault="00931994" w:rsidP="009319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</w:t>
      </w:r>
      <w:r w:rsidRPr="002A631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«06» 05.2019 ел №418 карарына </w:t>
      </w:r>
    </w:p>
    <w:p w:rsidR="00931994" w:rsidRPr="002A6319" w:rsidRDefault="00931994" w:rsidP="0093199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A6319">
        <w:rPr>
          <w:rFonts w:ascii="Arial" w:eastAsia="Times New Roman" w:hAnsi="Arial" w:cs="Arial"/>
          <w:sz w:val="24"/>
          <w:szCs w:val="24"/>
          <w:lang w:val="tt-RU" w:eastAsia="ru-RU"/>
        </w:rPr>
        <w:t>1 нче кушымта</w:t>
      </w:r>
    </w:p>
    <w:p w:rsidR="00E5319C" w:rsidRPr="002A6319" w:rsidRDefault="00E5319C" w:rsidP="0093199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E5319C" w:rsidRPr="002A6319" w:rsidRDefault="00E5319C" w:rsidP="00E531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E5319C" w:rsidRPr="002A6319" w:rsidRDefault="00931994" w:rsidP="00E53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A6319">
        <w:rPr>
          <w:rFonts w:ascii="Arial" w:eastAsia="Times New Roman" w:hAnsi="Arial" w:cs="Arial"/>
          <w:sz w:val="24"/>
          <w:szCs w:val="24"/>
          <w:lang w:val="tt-RU" w:eastAsia="ru-RU"/>
        </w:rPr>
        <w:t>Административ хокук бозулар турында беркетмәләр төзергә вәкаләтле вазыйфаи затлар исемлеге</w:t>
      </w: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E5319C" w:rsidRPr="00BC37A6" w:rsidTr="00F53EC6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BE3A4D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5C2053" w:rsidRDefault="005C2053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Биләгән вазифа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КоАП РТ</w:t>
            </w:r>
          </w:p>
        </w:tc>
      </w:tr>
      <w:tr w:rsidR="00E5319C" w:rsidRPr="00BC37A6" w:rsidTr="00F53EC6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2A6319">
              <w:rPr>
                <w:rFonts w:ascii="Arial" w:hAnsi="Arial" w:cs="Arial"/>
                <w:sz w:val="24"/>
                <w:szCs w:val="24"/>
                <w:lang w:val="tt-RU" w:eastAsia="ru-RU"/>
              </w:rPr>
              <w:t>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милли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методисты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2.1.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Телләр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турында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Татарстан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законнарын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5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2.6.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Җирле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үзидарә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органнарының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хокукый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актларын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</w:p>
        </w:tc>
      </w:tr>
      <w:tr w:rsidR="00E5319C" w:rsidRPr="00BC37A6" w:rsidTr="00F53EC6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319C" w:rsidRPr="00BC37A6" w:rsidRDefault="00BE3A4D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Ст.2.7.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берәмлекләрнең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рәсми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символларыннан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файдалану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BE3A4D">
        <w:trPr>
          <w:trHeight w:val="10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319" w:rsidRPr="002A6319" w:rsidRDefault="002A6319" w:rsidP="002A6319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3.2.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Урам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сәүдәсен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оештыру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Ст.3.3.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Җир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асты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коммуникацияләрен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карап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тоту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3.4.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Квартал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эчендәге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урамнарны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яктырту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3.5.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Тышкы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мәгълүматны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урнаштыру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11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319" w:rsidRPr="002A6319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1.Югары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хуҗалык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  <w:p w:rsidR="002A6319" w:rsidRPr="002A6319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2.Югары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хуҗалыгы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Ст. 3.6.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Җирлекләр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округлары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территорияләрен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төзекләндерүнең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калдыклар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белән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эш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итүнең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="00E5319C" w:rsidRPr="00BC37A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Ст.3.7. КоАП РТ</w:t>
            </w:r>
          </w:p>
          <w:p w:rsidR="00E5319C" w:rsidRPr="00BC37A6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Этләрне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урамда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йөртү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30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социаль-икътисадый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Ст.5.1 КоАП РТ</w:t>
            </w:r>
          </w:p>
          <w:p w:rsidR="00931994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Билетсыз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йөрү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5.2 КоАП РТ</w:t>
            </w:r>
          </w:p>
          <w:p w:rsidR="00931994" w:rsidRDefault="00931994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Багаж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ташу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Ст.5.6. КоАП РТ</w:t>
            </w:r>
          </w:p>
          <w:p w:rsidR="00E5319C" w:rsidRPr="00BC37A6" w:rsidRDefault="00931994" w:rsidP="006A2C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Пассажирны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йөртүдән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тарту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гамәлгә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ашырыла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торган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6A2C8E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ташуга </w:t>
            </w:r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карата)</w:t>
            </w:r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Мөлкәт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мөнәсәбәтләре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палатасы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рәисе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Ст.4.4.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милектә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торак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булмаган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фонд объекты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белән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эш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итү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күрсәтелгән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объектны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куллану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2.4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дәүләт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символларына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карата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гамәлләр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2.5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дәүләт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бүләкләрен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әзерләү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яки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йөртү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319" w:rsidRPr="002A6319" w:rsidRDefault="002A6319" w:rsidP="002A6319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Ст.2.8.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Этил спирты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йорт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продукциясен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(яки)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максатларында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җитештерү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319" w:rsidRPr="002A6319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5319C" w:rsidRPr="00BC37A6" w:rsidRDefault="00E5319C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2.14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тәмәке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әйберләрен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күпләп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ваклап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тыюны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 w:rsidR="002A6319"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җитәкчесенең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торак-коммуналь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хуҗалык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элемтә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энергетика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r w:rsidR="002A6319" w:rsidRPr="00BC37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.</w:t>
            </w:r>
            <w:r w:rsidR="002A6319"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яшьләр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3.8 КоАП РТ</w:t>
            </w: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Төнлә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гражданнарның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тынычлыгын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тынлыкны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 w:rsidR="002A6319"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җитәкчесенең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төзелеш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торак-коммуналь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хуҗалык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элемтә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энергетика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r w:rsidR="002A6319"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яшьләр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Ст. 3.10 КоАП РТ</w:t>
            </w: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объектларында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кешеләр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тормышын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саклау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E5319C" w:rsidRPr="00BC37A6" w:rsidTr="00F53EC6">
        <w:trPr>
          <w:trHeight w:val="5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МКУ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3.11 КоАП РТ</w:t>
            </w: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Балаларның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сәламәтлегенә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аларның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үсешенә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зыян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китерүне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кисәтү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тәэмин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итүгә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таләпләрне</w:t>
            </w:r>
            <w:proofErr w:type="spellEnd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2C8E" w:rsidRPr="006A2C8E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МКУ 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мәдәният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әйдәп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баручы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3.14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Мәдәни-тамаша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булганда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җәмәгать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3.15 КоАП РТ</w:t>
            </w:r>
          </w:p>
          <w:p w:rsidR="00E5319C" w:rsidRPr="006A2C8E" w:rsidRDefault="006A2C8E" w:rsidP="006A2C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Җәмәгать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гражданнарга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бәйләнү</w:t>
            </w:r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3.16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түләүле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парковкада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(парковка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урна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штыру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түләмәү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319" w:rsidRPr="002A6319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1.Иннополис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  <w:p w:rsidR="002A6319" w:rsidRPr="002A6319" w:rsidRDefault="002A6319" w:rsidP="002A6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эксплуатацияләү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белгечләр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  <w:p w:rsidR="00E5319C" w:rsidRPr="00BC37A6" w:rsidRDefault="002A6319" w:rsidP="002A63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-техник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инспекциясе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идарәсе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казна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учреждениесе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Статья 3.2.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Урам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сәүдәсен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оештыру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Статья 3.4 КоАП РТ</w:t>
            </w:r>
          </w:p>
          <w:p w:rsidR="006A2C8E" w:rsidRPr="00BC37A6" w:rsidRDefault="006A2C8E" w:rsidP="006A2C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Урам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квартал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эчендәге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яктырту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Статья 3.6 КоАП РТ</w:t>
            </w:r>
          </w:p>
          <w:p w:rsidR="006A2C8E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Җирлекләр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шәһәр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округлары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территорияләрен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төзекләндерүнең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калдыклар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белән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эш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итүнең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Статья 3.7 КоАП РТ</w:t>
            </w:r>
          </w:p>
          <w:p w:rsidR="00E5319C" w:rsidRPr="00BC37A6" w:rsidRDefault="006A2C8E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Этләрне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урамда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йөртү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E5319C" w:rsidRPr="00BC37A6" w:rsidTr="00F53EC6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2A6319" w:rsidP="00F53E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Мобилизация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җитәкчесе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ярдәмчесе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Ст.2.15 КоАП РТ </w:t>
            </w:r>
          </w:p>
          <w:p w:rsidR="00E5319C" w:rsidRPr="00BC37A6" w:rsidRDefault="00E5319C" w:rsidP="00F53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Терроризмны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профилактикалау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аның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чагылышлары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нәтиҗәләрен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минимальләштерү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(яки) юкка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чыгару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коллегиаль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карарын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яисә</w:t>
            </w:r>
            <w:proofErr w:type="spellEnd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6319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E5319C" w:rsidRPr="00BC37A6" w:rsidRDefault="00E5319C" w:rsidP="00E5319C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C2053" w:rsidRDefault="005C2053" w:rsidP="00E5319C">
      <w:pPr>
        <w:keepNext/>
        <w:keepLine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Башкарма комитетнын</w:t>
      </w:r>
    </w:p>
    <w:p w:rsidR="00E5319C" w:rsidRPr="005C2053" w:rsidRDefault="005C2053" w:rsidP="00E5319C">
      <w:pPr>
        <w:keepNext/>
        <w:keepLine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эшләр белән идарә итүче</w:t>
      </w:r>
      <w:r w:rsidR="00E5319C" w:rsidRPr="005C205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А.К. Мингазова</w:t>
      </w:r>
    </w:p>
    <w:p w:rsidR="00BF0DCD" w:rsidRPr="005C2053" w:rsidRDefault="00BF0DCD" w:rsidP="00E5319C">
      <w:pPr>
        <w:rPr>
          <w:lang w:val="tt-RU"/>
        </w:rPr>
      </w:pPr>
    </w:p>
    <w:sectPr w:rsidR="00BF0DCD" w:rsidRPr="005C2053" w:rsidSect="00D07CDB">
      <w:pgSz w:w="11906" w:h="16838"/>
      <w:pgMar w:top="851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36223"/>
    <w:rsid w:val="00042121"/>
    <w:rsid w:val="00062438"/>
    <w:rsid w:val="0008716A"/>
    <w:rsid w:val="00095090"/>
    <w:rsid w:val="000C70D2"/>
    <w:rsid w:val="000D4A6C"/>
    <w:rsid w:val="000E3847"/>
    <w:rsid w:val="00100600"/>
    <w:rsid w:val="00103671"/>
    <w:rsid w:val="00123CDD"/>
    <w:rsid w:val="001431E2"/>
    <w:rsid w:val="0016000E"/>
    <w:rsid w:val="00162CCB"/>
    <w:rsid w:val="0016755D"/>
    <w:rsid w:val="00181F61"/>
    <w:rsid w:val="00195F11"/>
    <w:rsid w:val="00204FF7"/>
    <w:rsid w:val="002061F5"/>
    <w:rsid w:val="00230391"/>
    <w:rsid w:val="00236C42"/>
    <w:rsid w:val="00242539"/>
    <w:rsid w:val="00256844"/>
    <w:rsid w:val="002933D7"/>
    <w:rsid w:val="002A0963"/>
    <w:rsid w:val="002A6319"/>
    <w:rsid w:val="002D7A05"/>
    <w:rsid w:val="002E2963"/>
    <w:rsid w:val="002F1D67"/>
    <w:rsid w:val="002F296D"/>
    <w:rsid w:val="00315E2A"/>
    <w:rsid w:val="00322E44"/>
    <w:rsid w:val="00333FBE"/>
    <w:rsid w:val="00334059"/>
    <w:rsid w:val="00372520"/>
    <w:rsid w:val="00372DEB"/>
    <w:rsid w:val="00377BB5"/>
    <w:rsid w:val="003979C1"/>
    <w:rsid w:val="003A1220"/>
    <w:rsid w:val="003B0B91"/>
    <w:rsid w:val="003C4A25"/>
    <w:rsid w:val="003E468F"/>
    <w:rsid w:val="003F1C36"/>
    <w:rsid w:val="00403770"/>
    <w:rsid w:val="00422F61"/>
    <w:rsid w:val="00437719"/>
    <w:rsid w:val="00450D7D"/>
    <w:rsid w:val="00464AF0"/>
    <w:rsid w:val="00491DE4"/>
    <w:rsid w:val="004A2BBA"/>
    <w:rsid w:val="004A7B2F"/>
    <w:rsid w:val="004D058B"/>
    <w:rsid w:val="004E5537"/>
    <w:rsid w:val="00521505"/>
    <w:rsid w:val="00547152"/>
    <w:rsid w:val="005510F9"/>
    <w:rsid w:val="005600E1"/>
    <w:rsid w:val="005779D5"/>
    <w:rsid w:val="005A316B"/>
    <w:rsid w:val="005C2053"/>
    <w:rsid w:val="005F119D"/>
    <w:rsid w:val="00617BD2"/>
    <w:rsid w:val="006372D3"/>
    <w:rsid w:val="00647A57"/>
    <w:rsid w:val="006560FB"/>
    <w:rsid w:val="00696612"/>
    <w:rsid w:val="006A2C8E"/>
    <w:rsid w:val="006D277A"/>
    <w:rsid w:val="006D6276"/>
    <w:rsid w:val="006E0958"/>
    <w:rsid w:val="006E1EA0"/>
    <w:rsid w:val="007002C9"/>
    <w:rsid w:val="00712E44"/>
    <w:rsid w:val="007248AF"/>
    <w:rsid w:val="007264B3"/>
    <w:rsid w:val="00734DE7"/>
    <w:rsid w:val="00750759"/>
    <w:rsid w:val="00752AB4"/>
    <w:rsid w:val="0076318D"/>
    <w:rsid w:val="00765A59"/>
    <w:rsid w:val="00776754"/>
    <w:rsid w:val="007A2FAC"/>
    <w:rsid w:val="007B4C00"/>
    <w:rsid w:val="007B4FAF"/>
    <w:rsid w:val="007C0D40"/>
    <w:rsid w:val="007C6124"/>
    <w:rsid w:val="007D086E"/>
    <w:rsid w:val="007E5038"/>
    <w:rsid w:val="00825782"/>
    <w:rsid w:val="00842C00"/>
    <w:rsid w:val="00857645"/>
    <w:rsid w:val="00863B91"/>
    <w:rsid w:val="008674E4"/>
    <w:rsid w:val="00875331"/>
    <w:rsid w:val="00875FC4"/>
    <w:rsid w:val="00883AF2"/>
    <w:rsid w:val="00890BFE"/>
    <w:rsid w:val="008E4410"/>
    <w:rsid w:val="008F6397"/>
    <w:rsid w:val="00931994"/>
    <w:rsid w:val="00944BCA"/>
    <w:rsid w:val="00951980"/>
    <w:rsid w:val="009712A1"/>
    <w:rsid w:val="00973B10"/>
    <w:rsid w:val="009A08AE"/>
    <w:rsid w:val="009A78CB"/>
    <w:rsid w:val="009B29E4"/>
    <w:rsid w:val="009B2D96"/>
    <w:rsid w:val="009B69B0"/>
    <w:rsid w:val="009F430A"/>
    <w:rsid w:val="00A00789"/>
    <w:rsid w:val="00A02FB2"/>
    <w:rsid w:val="00A205E9"/>
    <w:rsid w:val="00A56564"/>
    <w:rsid w:val="00A71C08"/>
    <w:rsid w:val="00A802F8"/>
    <w:rsid w:val="00A816AD"/>
    <w:rsid w:val="00A82523"/>
    <w:rsid w:val="00A83BFC"/>
    <w:rsid w:val="00A847E2"/>
    <w:rsid w:val="00A84B29"/>
    <w:rsid w:val="00A94716"/>
    <w:rsid w:val="00A95F4A"/>
    <w:rsid w:val="00AA11E8"/>
    <w:rsid w:val="00AF7F8F"/>
    <w:rsid w:val="00B13D9A"/>
    <w:rsid w:val="00B17AEB"/>
    <w:rsid w:val="00B277C8"/>
    <w:rsid w:val="00B277DE"/>
    <w:rsid w:val="00B54EA2"/>
    <w:rsid w:val="00B645E5"/>
    <w:rsid w:val="00B74634"/>
    <w:rsid w:val="00BA1AC5"/>
    <w:rsid w:val="00BB1CDD"/>
    <w:rsid w:val="00BB34AC"/>
    <w:rsid w:val="00BC37A6"/>
    <w:rsid w:val="00BD47E8"/>
    <w:rsid w:val="00BE0446"/>
    <w:rsid w:val="00BE3A4D"/>
    <w:rsid w:val="00BF0DCD"/>
    <w:rsid w:val="00BF4199"/>
    <w:rsid w:val="00BF6E35"/>
    <w:rsid w:val="00C03A72"/>
    <w:rsid w:val="00C047C4"/>
    <w:rsid w:val="00C12520"/>
    <w:rsid w:val="00C53D35"/>
    <w:rsid w:val="00C733B6"/>
    <w:rsid w:val="00C84582"/>
    <w:rsid w:val="00C87A05"/>
    <w:rsid w:val="00C91047"/>
    <w:rsid w:val="00C91219"/>
    <w:rsid w:val="00C9505F"/>
    <w:rsid w:val="00CA047E"/>
    <w:rsid w:val="00CA4D93"/>
    <w:rsid w:val="00CD5E32"/>
    <w:rsid w:val="00CD621A"/>
    <w:rsid w:val="00CE685D"/>
    <w:rsid w:val="00CF320A"/>
    <w:rsid w:val="00CF416B"/>
    <w:rsid w:val="00CF5EA2"/>
    <w:rsid w:val="00D07CDB"/>
    <w:rsid w:val="00D143D1"/>
    <w:rsid w:val="00D208D1"/>
    <w:rsid w:val="00D22624"/>
    <w:rsid w:val="00D54E7A"/>
    <w:rsid w:val="00D57C72"/>
    <w:rsid w:val="00D727AB"/>
    <w:rsid w:val="00D94915"/>
    <w:rsid w:val="00DD3B6D"/>
    <w:rsid w:val="00DD753B"/>
    <w:rsid w:val="00DE4C6F"/>
    <w:rsid w:val="00DE7A27"/>
    <w:rsid w:val="00E04B10"/>
    <w:rsid w:val="00E0563C"/>
    <w:rsid w:val="00E12D8F"/>
    <w:rsid w:val="00E3258A"/>
    <w:rsid w:val="00E5319C"/>
    <w:rsid w:val="00E56567"/>
    <w:rsid w:val="00E62860"/>
    <w:rsid w:val="00E64C11"/>
    <w:rsid w:val="00E67132"/>
    <w:rsid w:val="00E67916"/>
    <w:rsid w:val="00E777EB"/>
    <w:rsid w:val="00ED318C"/>
    <w:rsid w:val="00ED4D0B"/>
    <w:rsid w:val="00F07E2D"/>
    <w:rsid w:val="00F12DDF"/>
    <w:rsid w:val="00F2007B"/>
    <w:rsid w:val="00F42E16"/>
    <w:rsid w:val="00F471F0"/>
    <w:rsid w:val="00F5404C"/>
    <w:rsid w:val="00F55DBD"/>
    <w:rsid w:val="00F83A0C"/>
    <w:rsid w:val="00F92374"/>
    <w:rsid w:val="00FB4458"/>
    <w:rsid w:val="00FE4930"/>
    <w:rsid w:val="00FF0F07"/>
    <w:rsid w:val="00FF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FEDB-567A-4B26-83AE-C52B9F1A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2019-05-08T08:29:00Z</cp:lastPrinted>
  <dcterms:created xsi:type="dcterms:W3CDTF">2019-05-15T13:54:00Z</dcterms:created>
  <dcterms:modified xsi:type="dcterms:W3CDTF">2019-05-15T13:54:00Z</dcterms:modified>
</cp:coreProperties>
</file>