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9E" w:rsidRPr="00CE4448" w:rsidRDefault="009569A0" w:rsidP="00A950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44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1499235</wp:posOffset>
                </wp:positionV>
                <wp:extent cx="4762500" cy="36195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09E" w:rsidRPr="00933E2E" w:rsidRDefault="009569A0" w:rsidP="00A9509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26.07.2021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№ 12-139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55.2pt;margin-top:118.05pt;width:3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" fillcolor="window" stroked="f" strokeweight=".5pt">
                <v:fill opacity="0"/>
                <v:textbox>
                  <w:txbxContent>
                    <w:p w:rsidR="00A9509E" w:rsidRPr="00933E2E" w:rsidRDefault="009569A0" w:rsidP="00A9509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26.07.2021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 № 12-139</w:t>
                      </w:r>
                    </w:p>
                  </w:txbxContent>
                </v:textbox>
              </v:shape>
            </w:pict>
          </mc:Fallback>
        </mc:AlternateContent>
      </w:r>
      <w:r w:rsidRPr="00CE444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131695"/>
            <wp:effectExtent l="0" t="0" r="3175" b="0"/>
            <wp:docPr id="2" name="Рисунок 2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82885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9E" w:rsidRPr="00A2513F" w:rsidRDefault="009569A0" w:rsidP="00A9509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2021 елга Татарстан Республикасы Югары Ослан муниципаль районы милкендә булган, өченче затлар хокукларыннан азат булган һәм кече һәм урта эшмәкәрлек субъектларына бирү өчен билгеләнгән мөлкәт исемлегенә үзгәрешләр кертү турында </w:t>
      </w:r>
    </w:p>
    <w:p w:rsidR="00A9509E" w:rsidRPr="00A2513F" w:rsidRDefault="009569A0" w:rsidP="00A95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9509E" w:rsidRPr="00A2513F" w:rsidRDefault="00A2513F" w:rsidP="00A9509E">
      <w:pPr>
        <w:tabs>
          <w:tab w:val="left" w:pos="9781"/>
        </w:tabs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 xml:space="preserve">  </w:t>
      </w:r>
      <w:r w:rsidR="009569A0" w:rsidRPr="00A2513F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>Татарстан Республикас</w:t>
      </w:r>
      <w:r w:rsidR="009569A0" w:rsidRPr="00A2513F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>ы Президенты Р. Н.Миңнехановның  «Татарстан Республикасы территориясендә кече һәм урта эшкуарлык субъектларына мөлкәти ярдәм күрсәтү» мәсьәләсе буенча видеоконференция режимында республика киңәшмәсенең 2019 елның 23 декабрендәге ПР-315 номерлы күрсәтмәләре</w:t>
      </w:r>
      <w:r w:rsidR="009569A0" w:rsidRPr="00A2513F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 xml:space="preserve"> исемлегенең 4.5 пунктын үтәү йөзеннән, "Кече һәм урта эшкуарлык субъектларына мөлкәти ярдәм күрсәтүне киңәйтү максатларында Россия Федерациясенең аерым закон актларына үзгәрешләр кертү турында" 2018 елның 3 июлендәге 185-ФЗ номерлы Федераль законга таянып</w:t>
      </w:r>
      <w:r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 xml:space="preserve">, </w:t>
      </w:r>
      <w:r w:rsidR="009569A0"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A9509E" w:rsidRPr="00A2513F" w:rsidRDefault="009569A0" w:rsidP="00A2513F">
      <w:pPr>
        <w:tabs>
          <w:tab w:val="left" w:pos="9781"/>
        </w:tabs>
        <w:spacing w:after="0" w:line="240" w:lineRule="auto"/>
        <w:ind w:firstLine="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A9509E" w:rsidRPr="00A2513F" w:rsidRDefault="009569A0" w:rsidP="00A9509E">
      <w:pPr>
        <w:tabs>
          <w:tab w:val="left" w:pos="9781"/>
        </w:tabs>
        <w:spacing w:after="0" w:line="240" w:lineRule="auto"/>
        <w:ind w:firstLine="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>карар итте:</w:t>
      </w:r>
    </w:p>
    <w:p w:rsidR="00A9509E" w:rsidRPr="00A2513F" w:rsidRDefault="009569A0" w:rsidP="00A9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Татарстан Республикасы Югары Ослан муниципаль районы милкендә булган һәм 2021 елга кече һәм урта эшмәкәрлек субъектларына бирү өчен билгеләнгән өченче затларның хокукларыннан азат булган мөлкәт </w:t>
      </w: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>исемлегенә Югары Ослан муниципаль районы Советының 2020 елның 21 октябрендәге 2-26 номерлы карары белән расланган түбәндәге өстәмәләр кертергә:</w:t>
      </w:r>
    </w:p>
    <w:p w:rsidR="00A9509E" w:rsidRPr="00A2513F" w:rsidRDefault="009569A0" w:rsidP="00A9509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Calibri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7CCF3" wp14:editId="7ABE8162">
                <wp:simplePos x="0" y="0"/>
                <wp:positionH relativeFrom="column">
                  <wp:posOffset>688280</wp:posOffset>
                </wp:positionH>
                <wp:positionV relativeFrom="paragraph">
                  <wp:posOffset>564324</wp:posOffset>
                </wp:positionV>
                <wp:extent cx="5164455" cy="77638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164455" cy="7763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09E" w:rsidRPr="00D545B6" w:rsidRDefault="00A9509E" w:rsidP="00A9509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4.2pt;margin-top:44.45pt;width:406.65pt;height:6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" fillcolor="window" stroked="f" strokeweight=".5pt">
                <v:fill opacity="0"/>
                <v:textbox>
                  <w:txbxContent>
                    <w:p w:rsidR="00A9509E" w:rsidRPr="00D545B6" w:rsidRDefault="00A9509E" w:rsidP="00A9509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>1.1. Муниципаль</w:t>
      </w:r>
      <w:r w:rsid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 милек белән түбәндәге эчтәлек</w:t>
      </w: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 өстәргә: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4"/>
        <w:gridCol w:w="2693"/>
        <w:gridCol w:w="1134"/>
        <w:gridCol w:w="1134"/>
      </w:tblGrid>
      <w:tr w:rsidR="00FA052D" w:rsidRPr="00A2513F" w:rsidTr="00824E7B">
        <w:tc>
          <w:tcPr>
            <w:tcW w:w="568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№ 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т/б</w:t>
            </w:r>
          </w:p>
        </w:tc>
        <w:tc>
          <w:tcPr>
            <w:tcW w:w="2126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Кадастр 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номеры</w:t>
            </w:r>
          </w:p>
        </w:tc>
        <w:tc>
          <w:tcPr>
            <w:tcW w:w="2694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Милек атамасы</w:t>
            </w:r>
          </w:p>
          <w:p w:rsidR="00A9509E" w:rsidRPr="00A2513F" w:rsidRDefault="00A2513F" w:rsidP="00824E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Урнашу </w:t>
            </w: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урыны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төнге сәгатьләрдә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(адрес)</w:t>
            </w:r>
          </w:p>
        </w:tc>
        <w:tc>
          <w:tcPr>
            <w:tcW w:w="1134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Объектның мәйданы</w:t>
            </w:r>
          </w:p>
          <w:p w:rsidR="00A9509E" w:rsidRPr="00A2513F" w:rsidRDefault="009569A0" w:rsidP="0082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кв. м.</w:t>
            </w:r>
          </w:p>
        </w:tc>
        <w:tc>
          <w:tcPr>
            <w:tcW w:w="1134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ind w:left="-250" w:firstLine="2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Кадастр бәясе</w:t>
            </w:r>
          </w:p>
          <w:p w:rsidR="00A9509E" w:rsidRPr="00A2513F" w:rsidRDefault="009569A0" w:rsidP="0082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объект мең сум.</w:t>
            </w:r>
          </w:p>
        </w:tc>
      </w:tr>
      <w:tr w:rsidR="00FA052D" w:rsidRPr="00A2513F" w:rsidTr="00824E7B">
        <w:trPr>
          <w:trHeight w:val="1259"/>
        </w:trPr>
        <w:tc>
          <w:tcPr>
            <w:tcW w:w="568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16:15:14021:352</w:t>
            </w:r>
          </w:p>
        </w:tc>
        <w:tc>
          <w:tcPr>
            <w:tcW w:w="2694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Бина ябык ток, литера А, металлоконструкция</w:t>
            </w:r>
          </w:p>
        </w:tc>
        <w:tc>
          <w:tcPr>
            <w:tcW w:w="2693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422589,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МР,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Иске Рус Мәмәтхуҗасы авылы</w:t>
            </w:r>
          </w:p>
        </w:tc>
        <w:tc>
          <w:tcPr>
            <w:tcW w:w="1134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1640,0</w:t>
            </w:r>
          </w:p>
        </w:tc>
        <w:tc>
          <w:tcPr>
            <w:tcW w:w="1134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6079168,4</w:t>
            </w:r>
          </w:p>
        </w:tc>
      </w:tr>
      <w:tr w:rsidR="00FA052D" w:rsidRPr="00A2513F" w:rsidTr="00824E7B">
        <w:trPr>
          <w:trHeight w:val="1418"/>
        </w:trPr>
        <w:tc>
          <w:tcPr>
            <w:tcW w:w="568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16:15:14021:340</w:t>
            </w:r>
          </w:p>
        </w:tc>
        <w:tc>
          <w:tcPr>
            <w:tcW w:w="2694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Гараж бинасы,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литера А,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одноэтажное кирпичное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пыяла профильле</w:t>
            </w:r>
          </w:p>
        </w:tc>
        <w:tc>
          <w:tcPr>
            <w:tcW w:w="2693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422589,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МР,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Иске Рус Мәмәтхуҗасы авылы</w:t>
            </w:r>
          </w:p>
        </w:tc>
        <w:tc>
          <w:tcPr>
            <w:tcW w:w="1134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631,4 </w:t>
            </w:r>
          </w:p>
        </w:tc>
        <w:tc>
          <w:tcPr>
            <w:tcW w:w="1134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2340479,83</w:t>
            </w:r>
          </w:p>
        </w:tc>
      </w:tr>
    </w:tbl>
    <w:p w:rsidR="00A9509E" w:rsidRPr="00A2513F" w:rsidRDefault="00A9509E" w:rsidP="00A9509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09E" w:rsidRPr="00A2513F" w:rsidRDefault="009569A0" w:rsidP="00A9509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2. Татарстан Республикасы Югары Ослан муниципаль районы милкендә булган һәм 2021 елга кече һәм урта эшмәкәрлек субъектларына бирү өчен </w:t>
      </w: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билгеләнгән </w:t>
      </w: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өченче затлар хокукларыннан азат булган мөлкәт исемлеген яңа редакциядә расларга (1нче кушымта)</w:t>
      </w:r>
    </w:p>
    <w:p w:rsidR="00A9509E" w:rsidRPr="00A2513F" w:rsidRDefault="009569A0" w:rsidP="00A9509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3. Әлеге карарны Татарстан Республикасының хокукый мәгълүмат рәсми порталында һәм Югары Ослан муниципаль районының рәсми сайтында урнаштырырга. </w:t>
      </w:r>
    </w:p>
    <w:p w:rsidR="00A9509E" w:rsidRPr="00A2513F" w:rsidRDefault="009569A0" w:rsidP="00A9509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   </w:t>
      </w: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>4. Әлеге карарның үтәлешен тикшереп торуны Югары Ослан муниципаль районы Советының икътисади үсеш, экология, табигый ресурслар һәм җир мәсьәләләре буенча даими комиссиясенә йөкләргә.</w:t>
      </w:r>
    </w:p>
    <w:p w:rsidR="00A9509E" w:rsidRPr="00A2513F" w:rsidRDefault="00A9509E" w:rsidP="00A9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A9509E" w:rsidRPr="00A2513F" w:rsidRDefault="009569A0" w:rsidP="00A9509E">
      <w:pPr>
        <w:tabs>
          <w:tab w:val="center" w:pos="-14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</w:t>
      </w:r>
    </w:p>
    <w:p w:rsidR="00A9509E" w:rsidRPr="00A2513F" w:rsidRDefault="00A9509E" w:rsidP="00A9509E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A9509E" w:rsidRPr="00A2513F" w:rsidRDefault="009569A0" w:rsidP="00A9509E">
      <w:pPr>
        <w:spacing w:after="0" w:line="240" w:lineRule="auto"/>
        <w:ind w:firstLine="284"/>
        <w:rPr>
          <w:rFonts w:ascii="Arial" w:eastAsia="Calibri" w:hAnsi="Arial" w:cs="Arial"/>
          <w:sz w:val="24"/>
          <w:szCs w:val="24"/>
        </w:rPr>
      </w:pPr>
      <w:r w:rsidRPr="00A2513F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A9509E" w:rsidRPr="00A2513F" w:rsidRDefault="009569A0" w:rsidP="00A2513F">
      <w:pPr>
        <w:spacing w:after="0" w:line="240" w:lineRule="auto"/>
        <w:ind w:firstLine="284"/>
        <w:rPr>
          <w:rFonts w:ascii="Arial" w:eastAsia="Calibri" w:hAnsi="Arial" w:cs="Arial"/>
          <w:sz w:val="24"/>
          <w:szCs w:val="24"/>
        </w:rPr>
      </w:pPr>
      <w:r w:rsidRPr="00A2513F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районы Башлыгы </w:t>
      </w:r>
      <w:r w:rsidR="00A2513F">
        <w:rPr>
          <w:rFonts w:ascii="Arial" w:eastAsia="Calibri" w:hAnsi="Arial" w:cs="Arial"/>
          <w:sz w:val="24"/>
          <w:szCs w:val="24"/>
        </w:rPr>
        <w:t xml:space="preserve">                              </w:t>
      </w:r>
      <w:bookmarkStart w:id="0" w:name="_GoBack"/>
      <w:bookmarkEnd w:id="0"/>
      <w:r w:rsidRPr="00A2513F">
        <w:rPr>
          <w:rFonts w:ascii="Arial" w:eastAsia="Calibri" w:hAnsi="Arial" w:cs="Arial"/>
          <w:sz w:val="24"/>
          <w:szCs w:val="24"/>
          <w:lang w:val="tt"/>
        </w:rPr>
        <w:t xml:space="preserve">       М. Г. Зиятдинов</w:t>
      </w:r>
    </w:p>
    <w:p w:rsidR="00A9509E" w:rsidRPr="00A2513F" w:rsidRDefault="00A9509E" w:rsidP="00A9509E">
      <w:pPr>
        <w:rPr>
          <w:rFonts w:ascii="Arial" w:eastAsia="Calibri" w:hAnsi="Arial" w:cs="Arial"/>
          <w:sz w:val="24"/>
          <w:szCs w:val="24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A9509E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A9509E" w:rsidRPr="00A2513F" w:rsidRDefault="009569A0" w:rsidP="00A9509E">
      <w:pPr>
        <w:spacing w:after="0" w:line="240" w:lineRule="auto"/>
        <w:ind w:left="5670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  <w:r w:rsidRPr="00A2513F">
        <w:rPr>
          <w:rFonts w:ascii="Arial" w:eastAsia="Calibri" w:hAnsi="Arial" w:cs="Arial"/>
          <w:noProof/>
          <w:sz w:val="24"/>
          <w:szCs w:val="24"/>
          <w:lang w:val="tt" w:eastAsia="ru-RU"/>
        </w:rPr>
        <w:t xml:space="preserve">Кушымта </w:t>
      </w:r>
    </w:p>
    <w:p w:rsidR="00A9509E" w:rsidRPr="00A2513F" w:rsidRDefault="009569A0" w:rsidP="00A9509E">
      <w:pPr>
        <w:keepNext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sub_100"/>
      <w:r w:rsidRPr="00A2513F">
        <w:rPr>
          <w:rFonts w:ascii="Arial" w:eastAsia="Times New Roman" w:hAnsi="Arial" w:cs="Arial"/>
          <w:sz w:val="24"/>
          <w:szCs w:val="24"/>
          <w:lang w:val="tt" w:eastAsia="zh-CN"/>
        </w:rPr>
        <w:lastRenderedPageBreak/>
        <w:t xml:space="preserve">Татарстан Республикасы Югары Ослан муниципаль районы Советының  2021 елның 26 июле, № 12-139 карарына </w:t>
      </w:r>
    </w:p>
    <w:p w:rsidR="00A9509E" w:rsidRPr="00A2513F" w:rsidRDefault="009569A0" w:rsidP="00A9509E">
      <w:pPr>
        <w:keepNext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zh-CN"/>
        </w:rPr>
        <w:t xml:space="preserve">- </w:t>
      </w:r>
    </w:p>
    <w:p w:rsidR="00A9509E" w:rsidRPr="00A2513F" w:rsidRDefault="009569A0" w:rsidP="00A9509E">
      <w:pPr>
        <w:keepNext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zh-CN"/>
        </w:rPr>
        <w:t>-</w:t>
      </w:r>
    </w:p>
    <w:p w:rsidR="00A9509E" w:rsidRPr="00A2513F" w:rsidRDefault="009569A0" w:rsidP="00A9509E">
      <w:pPr>
        <w:keepNext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zh-CN"/>
        </w:rPr>
        <w:t>-</w:t>
      </w:r>
    </w:p>
    <w:p w:rsidR="00A9509E" w:rsidRPr="00A2513F" w:rsidRDefault="009569A0" w:rsidP="00A9509E">
      <w:pPr>
        <w:keepNext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zh-CN"/>
        </w:rPr>
        <w:t>-</w:t>
      </w:r>
    </w:p>
    <w:p w:rsidR="00A9509E" w:rsidRPr="00A2513F" w:rsidRDefault="00A9509E" w:rsidP="00A9509E">
      <w:pPr>
        <w:keepNext/>
        <w:spacing w:after="0" w:line="240" w:lineRule="auto"/>
        <w:ind w:left="5664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509E" w:rsidRPr="00A2513F" w:rsidRDefault="00A9509E" w:rsidP="00A9509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1"/>
    <w:p w:rsidR="00A9509E" w:rsidRPr="00A2513F" w:rsidRDefault="009569A0" w:rsidP="00A9509E">
      <w:pPr>
        <w:tabs>
          <w:tab w:val="left" w:pos="993"/>
        </w:tabs>
        <w:spacing w:after="0" w:line="240" w:lineRule="auto"/>
        <w:ind w:right="-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- </w:t>
      </w:r>
    </w:p>
    <w:p w:rsidR="00A9509E" w:rsidRPr="00A2513F" w:rsidRDefault="009569A0" w:rsidP="00A9509E">
      <w:pPr>
        <w:tabs>
          <w:tab w:val="left" w:pos="993"/>
        </w:tabs>
        <w:spacing w:after="0" w:line="240" w:lineRule="auto"/>
        <w:ind w:right="-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 xml:space="preserve">Татарстан Республикасы Югары Ослан </w:t>
      </w:r>
      <w:r w:rsidRPr="00A2513F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районы милкендәге, өченче затларның хокукларыннан азат ителгән һәм 2021 елга кече һәм урта эшмәкәрлек субъектларына бирү өчен билгеләнгән мөлкәт исемлеге.</w:t>
      </w:r>
    </w:p>
    <w:p w:rsidR="00A9509E" w:rsidRPr="00A2513F" w:rsidRDefault="00A9509E" w:rsidP="00A9509E">
      <w:pPr>
        <w:tabs>
          <w:tab w:val="left" w:pos="993"/>
        </w:tabs>
        <w:spacing w:after="0" w:line="240" w:lineRule="auto"/>
        <w:ind w:right="-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2835"/>
        <w:gridCol w:w="2410"/>
        <w:gridCol w:w="4111"/>
      </w:tblGrid>
      <w:tr w:rsidR="00FA052D" w:rsidRPr="00A2513F" w:rsidTr="00824E7B">
        <w:trPr>
          <w:gridBefore w:val="1"/>
          <w:wBefore w:w="34" w:type="dxa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№ 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т/б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Милек исеме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характеристикалар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(мәйданы, озынлыгы һ. б.)</w:t>
            </w:r>
          </w:p>
        </w:tc>
        <w:tc>
          <w:tcPr>
            <w:tcW w:w="4111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Урнашу урыны 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(адрес)</w:t>
            </w:r>
          </w:p>
        </w:tc>
      </w:tr>
      <w:tr w:rsidR="00FA052D" w:rsidRPr="00A2513F" w:rsidTr="00824E7B">
        <w:trPr>
          <w:gridBefore w:val="1"/>
          <w:wBefore w:w="34" w:type="dxa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- </w:t>
            </w:r>
          </w:p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Бәрәңге саклагычлары бинасы</w:t>
            </w:r>
          </w:p>
          <w:p w:rsidR="00A9509E" w:rsidRPr="00A2513F" w:rsidRDefault="00A9509E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мәйданы 951,6 кв. м.</w:t>
            </w:r>
          </w:p>
        </w:tc>
        <w:tc>
          <w:tcPr>
            <w:tcW w:w="4111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  <w:trHeight w:val="1158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Җәйге</w:t>
            </w: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йорт (ашханә) бинасы 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мәйданы-36,5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  <w:trHeight w:val="268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Чатырлы ангар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мәйданы-378,9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- </w:t>
            </w:r>
          </w:p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Ашлык саклау бинасы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мәйданы-611,0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Аркалы склад бинасы 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мәйданы-376,3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- </w:t>
            </w:r>
          </w:p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Арка тибындагы бина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мәйданы-588,0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- </w:t>
            </w:r>
          </w:p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Ашлык саклау бинасы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мәйданы-611,0 кв. </w:t>
            </w: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Автомашиналарны ремонтлау өчен бина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мәйданы-721,9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Автогараж бинасы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мәйданы-708,0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 Килди авыл җирлеге, Харино авылы</w:t>
            </w:r>
          </w:p>
        </w:tc>
      </w:tr>
      <w:tr w:rsidR="00FA052D" w:rsidRPr="00A2513F" w:rsidTr="00824E7B">
        <w:trPr>
          <w:gridBefore w:val="1"/>
          <w:wBefore w:w="34" w:type="dxa"/>
          <w:trHeight w:val="1220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Җир</w:t>
            </w: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кишәрлеге</w:t>
            </w:r>
          </w:p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16:15:050401:1477</w:t>
            </w:r>
          </w:p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мәйданы-54 772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муниципаль районы,</w:t>
            </w:r>
          </w:p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Югары Ослан авыл җирлеге</w:t>
            </w:r>
          </w:p>
        </w:tc>
      </w:tr>
      <w:tr w:rsidR="00FA052D" w:rsidRPr="00A2513F" w:rsidTr="00824E7B">
        <w:trPr>
          <w:gridBefore w:val="1"/>
          <w:wBefore w:w="34" w:type="dxa"/>
          <w:trHeight w:val="1220"/>
        </w:trPr>
        <w:tc>
          <w:tcPr>
            <w:tcW w:w="67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11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Бина (торак булмаган бина)</w:t>
            </w:r>
          </w:p>
          <w:p w:rsidR="00A9509E" w:rsidRPr="00A2513F" w:rsidRDefault="009569A0" w:rsidP="00824E7B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Балалар бакчасы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мәйданы-150,4</w:t>
            </w: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кв. м.</w:t>
            </w:r>
          </w:p>
        </w:tc>
        <w:tc>
          <w:tcPr>
            <w:tcW w:w="4111" w:type="dxa"/>
          </w:tcPr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422570, Югары Ослан муниципаль районы, Килди авылы, </w:t>
            </w:r>
          </w:p>
          <w:p w:rsidR="00A9509E" w:rsidRPr="00A2513F" w:rsidRDefault="009569A0" w:rsidP="00824E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Үзәк</w:t>
            </w: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урам, 75а  бинасы</w:t>
            </w:r>
          </w:p>
        </w:tc>
      </w:tr>
      <w:tr w:rsidR="00FA052D" w:rsidRPr="00A2513F" w:rsidTr="00824E7B">
        <w:trPr>
          <w:trHeight w:val="1259"/>
        </w:trPr>
        <w:tc>
          <w:tcPr>
            <w:tcW w:w="709" w:type="dxa"/>
            <w:gridSpan w:val="2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12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513F">
              <w:rPr>
                <w:rFonts w:ascii="Arial" w:eastAsia="Calibri" w:hAnsi="Arial" w:cs="Arial"/>
                <w:sz w:val="24"/>
                <w:szCs w:val="24"/>
                <w:lang w:val="tt"/>
              </w:rPr>
              <w:t>Бина ябык ток, литера А, металлоконструкция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мәйданы-1640,0 кв. м</w:t>
            </w:r>
          </w:p>
          <w:p w:rsidR="00A9509E" w:rsidRPr="00A2513F" w:rsidRDefault="00A9509E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422589,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МР,</w:t>
            </w:r>
          </w:p>
          <w:p w:rsidR="00A9509E" w:rsidRPr="00A2513F" w:rsidRDefault="009569A0" w:rsidP="00824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Иске Рус Мәмәтхуҗасы авылы</w:t>
            </w:r>
          </w:p>
        </w:tc>
      </w:tr>
      <w:tr w:rsidR="00FA052D" w:rsidRPr="00A2513F" w:rsidTr="00824E7B">
        <w:trPr>
          <w:trHeight w:val="1418"/>
        </w:trPr>
        <w:tc>
          <w:tcPr>
            <w:tcW w:w="709" w:type="dxa"/>
            <w:gridSpan w:val="2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Гараж бинасы,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литера А,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одноэтажное кирпичное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пыяла профильле</w:t>
            </w:r>
          </w:p>
        </w:tc>
        <w:tc>
          <w:tcPr>
            <w:tcW w:w="2410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мәйданы-631,4 кв. м.</w:t>
            </w:r>
          </w:p>
          <w:p w:rsidR="00A9509E" w:rsidRPr="00A2513F" w:rsidRDefault="00A9509E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422589,</w:t>
            </w:r>
          </w:p>
          <w:p w:rsidR="00A9509E" w:rsidRPr="00A2513F" w:rsidRDefault="009569A0" w:rsidP="00824E7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МР,</w:t>
            </w:r>
          </w:p>
          <w:p w:rsidR="00A9509E" w:rsidRPr="00A2513F" w:rsidRDefault="009569A0" w:rsidP="00824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3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Иске Рус Мәмәтхуҗасы авылы</w:t>
            </w:r>
          </w:p>
        </w:tc>
      </w:tr>
    </w:tbl>
    <w:p w:rsidR="00FE2038" w:rsidRPr="00A2513F" w:rsidRDefault="00FE2038"/>
    <w:sectPr w:rsidR="00FE2038" w:rsidRPr="00A2513F" w:rsidSect="00A251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9E"/>
    <w:rsid w:val="00025670"/>
    <w:rsid w:val="00824E7B"/>
    <w:rsid w:val="00933E2E"/>
    <w:rsid w:val="009569A0"/>
    <w:rsid w:val="00A2513F"/>
    <w:rsid w:val="00A9509E"/>
    <w:rsid w:val="00CE4448"/>
    <w:rsid w:val="00D545B6"/>
    <w:rsid w:val="00FA052D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2021-08-11T05:39:00Z</cp:lastPrinted>
  <dcterms:created xsi:type="dcterms:W3CDTF">2021-07-27T06:43:00Z</dcterms:created>
  <dcterms:modified xsi:type="dcterms:W3CDTF">2021-08-11T05:39:00Z</dcterms:modified>
</cp:coreProperties>
</file>