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3E" w:rsidRPr="00476163" w:rsidRDefault="00FE6160" w:rsidP="00171E3E">
      <w:pPr>
        <w:jc w:val="center"/>
      </w:pPr>
      <w:r w:rsidRPr="00476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1551305</wp:posOffset>
                </wp:positionV>
                <wp:extent cx="1104900" cy="424180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3E" w:rsidRPr="00733ED4" w:rsidRDefault="00FE6160" w:rsidP="00171E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>25-339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7" o:spid="_x0000_s1026" type="#_x0000_t202" style="position:absolute;left:0;text-align:left;margin-left:332.2pt;margin-top:122.15pt;width:87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" filled="f" stroked="f">
                <v:textbox>
                  <w:txbxContent>
                    <w:p w:rsidR="00171E3E" w:rsidRPr="00733ED4" w:rsidRDefault="00FE6160" w:rsidP="00171E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val="tt"/>
                        </w:rPr>
                        <w:t>25-339</w:t>
                      </w:r>
                    </w:p>
                  </w:txbxContent>
                </v:textbox>
              </v:shape>
            </w:pict>
          </mc:Fallback>
        </mc:AlternateContent>
      </w:r>
      <w:r w:rsidRPr="00476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1551305</wp:posOffset>
                </wp:positionV>
                <wp:extent cx="1171575" cy="290830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3E" w:rsidRPr="005D6C92" w:rsidRDefault="00FE6160" w:rsidP="00171E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>08.08.2022</w:t>
                            </w: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27" type="#_x0000_t202" style="position:absolute;left:0;text-align:left;margin-left:68.95pt;margin-top:122.15pt;width:9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" filled="f" stroked="f">
                <v:textbox>
                  <w:txbxContent>
                    <w:p w:rsidR="00171E3E" w:rsidRPr="005D6C92" w:rsidRDefault="00FE6160" w:rsidP="00171E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val="tt"/>
                        </w:rPr>
                        <w:t>08.08.2022</w:t>
                      </w:r>
                      <w:r>
                        <w:rPr>
                          <w:sz w:val="26"/>
                          <w:szCs w:val="26"/>
                          <w:lang w:val="tt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tt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tt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tt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tt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t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76163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45277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3E" w:rsidRPr="00FE6160" w:rsidRDefault="00FE6160" w:rsidP="00171E3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районының 2022 елның 1 яртыеллыгында бюджеты үтәлеше турында  </w:t>
      </w:r>
    </w:p>
    <w:p w:rsidR="00171E3E" w:rsidRPr="00FE6160" w:rsidRDefault="00FE6160" w:rsidP="00171E3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171E3E" w:rsidRPr="00FE6160" w:rsidRDefault="00171E3E" w:rsidP="00171E3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171E3E" w:rsidRPr="00FE6160" w:rsidRDefault="00FE6160" w:rsidP="00171E3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районының Финанс-бюджет Палатасы рәисе Колесова Е.Е. Югары Ослан муниципаль районының 2022 елның беренче яртыеллыгында бюджеты үтәлеше турында мәгълүматларын тыңлап фикер алышканнан соң,  </w:t>
      </w:r>
    </w:p>
    <w:p w:rsidR="00171E3E" w:rsidRPr="00FE6160" w:rsidRDefault="00FE6160" w:rsidP="00171E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Советы </w:t>
      </w:r>
    </w:p>
    <w:p w:rsidR="00171E3E" w:rsidRPr="00FE6160" w:rsidRDefault="00FE6160" w:rsidP="00171E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bCs/>
          <w:sz w:val="24"/>
          <w:szCs w:val="24"/>
          <w:lang w:val="tt" w:eastAsia="ru-RU"/>
        </w:rPr>
        <w:t>ка</w:t>
      </w:r>
      <w:r w:rsidRPr="00FE6160">
        <w:rPr>
          <w:rFonts w:ascii="Arial" w:eastAsia="Times New Roman" w:hAnsi="Arial" w:cs="Arial"/>
          <w:bCs/>
          <w:sz w:val="24"/>
          <w:szCs w:val="24"/>
          <w:lang w:val="tt" w:eastAsia="ru-RU"/>
        </w:rPr>
        <w:t>рар итте:</w:t>
      </w:r>
    </w:p>
    <w:p w:rsidR="00171E3E" w:rsidRPr="00FE6160" w:rsidRDefault="00FE6160" w:rsidP="0017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>2022 елның беренче яртыеллыгында Югары Ослан муниципаль районы бюджеты үтәлеше турындагы мәгълүматны игътибарга алырга (1 нче кушымта).</w:t>
      </w:r>
    </w:p>
    <w:p w:rsidR="00171E3E" w:rsidRPr="00FE6160" w:rsidRDefault="00FE6160" w:rsidP="0017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>Муниципаль берәмлекләрнең башкарма комитетларына Финанс-бюджет Палатасы, Мөлкәт һәм җир мөнәсәбәтләре палатасы белән берлектә бюджетның барлык дәрәҗәләренә керемнәрне мобилизацияләү чараларын күрергә һәм салым һәм салым булмаган керемнәр буенча план бурычл</w:t>
      </w: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арын максималь үтәүне тәэмин итәргә тәкъдим итәргә. </w:t>
      </w:r>
    </w:p>
    <w:p w:rsidR="00171E3E" w:rsidRPr="00FE6160" w:rsidRDefault="00FE6160" w:rsidP="0017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Салым бурычларын һәм салым булмаган керемнәр буенча бурычларны каплау эшен көчәйтергә. </w:t>
      </w:r>
    </w:p>
    <w:p w:rsidR="00171E3E" w:rsidRPr="00FE6160" w:rsidRDefault="00FE6160" w:rsidP="0017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Бюджетларның беренче чираттагы һәм социаль әһәмиятле чыгымнары буенча чыгым йөкләмәләрен тулы күләмдә үтәүне тәэмин итәргә, бюджет акчаларын сакчыл, экономияле тоту чараларын үткәрергә. </w:t>
      </w:r>
    </w:p>
    <w:p w:rsidR="00171E3E" w:rsidRPr="00FE6160" w:rsidRDefault="00FE6160" w:rsidP="0017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>Бюджет акчаларының калган өлешләрен юнәлешкә җитди контроль тәэмин ит</w:t>
      </w: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 xml:space="preserve">әргә, чыганаклар булуга карамастан, яңа чыгым йөкләмәләрен кабул итмәскә. </w:t>
      </w:r>
    </w:p>
    <w:p w:rsidR="00171E3E" w:rsidRPr="00FE6160" w:rsidRDefault="00FE6160" w:rsidP="0017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6160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171E3E" w:rsidRPr="00FE6160" w:rsidRDefault="00171E3E" w:rsidP="00171E3E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171E3E" w:rsidRPr="00FE6160" w:rsidRDefault="00171E3E" w:rsidP="00171E3E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171E3E" w:rsidRPr="00FE6160" w:rsidRDefault="00171E3E" w:rsidP="00171E3E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171E3E" w:rsidRPr="00FE6160" w:rsidRDefault="00171E3E" w:rsidP="00171E3E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171E3E" w:rsidRPr="00FE6160" w:rsidRDefault="00FE6160" w:rsidP="00171E3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E6160">
        <w:rPr>
          <w:rFonts w:ascii="Arial" w:eastAsia="Calibri" w:hAnsi="Arial" w:cs="Arial"/>
          <w:sz w:val="24"/>
          <w:szCs w:val="24"/>
          <w:lang w:val="tt" w:eastAsia="ru-RU"/>
        </w:rPr>
        <w:t xml:space="preserve">Совет рәисе,  </w:t>
      </w:r>
    </w:p>
    <w:p w:rsidR="00171E3E" w:rsidRPr="00FE6160" w:rsidRDefault="00FE6160" w:rsidP="00171E3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E6160">
        <w:rPr>
          <w:rFonts w:ascii="Arial" w:eastAsia="Calibri" w:hAnsi="Arial" w:cs="Arial"/>
          <w:sz w:val="24"/>
          <w:szCs w:val="24"/>
          <w:lang w:val="tt" w:eastAsia="ru-RU"/>
        </w:rPr>
        <w:t>Югары Ослан  муници</w:t>
      </w:r>
      <w:r w:rsidRPr="00FE6160">
        <w:rPr>
          <w:rFonts w:ascii="Arial" w:eastAsia="Calibri" w:hAnsi="Arial" w:cs="Arial"/>
          <w:sz w:val="24"/>
          <w:szCs w:val="24"/>
          <w:lang w:val="tt" w:eastAsia="ru-RU"/>
        </w:rPr>
        <w:t xml:space="preserve">паль районы  Башлыгы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</w:t>
      </w:r>
      <w:r w:rsidRPr="00FE6160">
        <w:rPr>
          <w:rFonts w:ascii="Arial" w:eastAsia="Calibri" w:hAnsi="Arial" w:cs="Arial"/>
          <w:sz w:val="24"/>
          <w:szCs w:val="24"/>
          <w:lang w:val="tt" w:eastAsia="ru-RU"/>
        </w:rPr>
        <w:t>М. Г.  Зиятдинов</w:t>
      </w:r>
    </w:p>
    <w:p w:rsidR="00171E3E" w:rsidRPr="00FE6160" w:rsidRDefault="00171E3E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171E3E" w:rsidRPr="00FE6160" w:rsidRDefault="00171E3E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171E3E" w:rsidRPr="00FE6160" w:rsidRDefault="00171E3E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171E3E" w:rsidRPr="00FE6160" w:rsidRDefault="00171E3E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171E3E" w:rsidRPr="00FE6160" w:rsidRDefault="00171E3E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FE6160" w:rsidRDefault="00FE6160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FE6160">
        <w:rPr>
          <w:rFonts w:ascii="Arial" w:hAnsi="Arial" w:cs="Arial"/>
          <w:sz w:val="24"/>
          <w:szCs w:val="24"/>
          <w:lang w:val="tt"/>
        </w:rPr>
        <w:t>Югары Ослан муниципа</w:t>
      </w:r>
      <w:r>
        <w:rPr>
          <w:rFonts w:ascii="Arial" w:hAnsi="Arial" w:cs="Arial"/>
          <w:sz w:val="24"/>
          <w:szCs w:val="24"/>
          <w:lang w:val="tt"/>
        </w:rPr>
        <w:t xml:space="preserve">ль районы Советының 2022 елның </w:t>
      </w:r>
    </w:p>
    <w:p w:rsidR="00171E3E" w:rsidRPr="00FE6160" w:rsidRDefault="00FE6160" w:rsidP="00171E3E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  <w:r w:rsidRPr="00FE6160">
        <w:rPr>
          <w:rFonts w:ascii="Arial" w:hAnsi="Arial" w:cs="Arial"/>
          <w:sz w:val="24"/>
          <w:szCs w:val="24"/>
          <w:lang w:val="tt"/>
        </w:rPr>
        <w:t xml:space="preserve">8 августыннан 25-339 номерлы Карарына  </w:t>
      </w:r>
    </w:p>
    <w:p w:rsidR="00FE6160" w:rsidRPr="00FE6160" w:rsidRDefault="00FE6160" w:rsidP="00FE6160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  <w:r w:rsidRPr="00FE6160">
        <w:rPr>
          <w:rFonts w:ascii="Arial" w:hAnsi="Arial" w:cs="Arial"/>
          <w:sz w:val="24"/>
          <w:szCs w:val="24"/>
          <w:lang w:val="tt"/>
        </w:rPr>
        <w:t xml:space="preserve">1 нче кушымта </w:t>
      </w:r>
    </w:p>
    <w:p w:rsidR="00171E3E" w:rsidRPr="00FE6160" w:rsidRDefault="00171E3E" w:rsidP="00171E3E">
      <w:pPr>
        <w:tabs>
          <w:tab w:val="left" w:pos="7965"/>
        </w:tabs>
        <w:spacing w:after="0" w:line="240" w:lineRule="auto"/>
        <w:ind w:left="5670" w:right="-1"/>
        <w:rPr>
          <w:rFonts w:ascii="Arial" w:eastAsia="Calibri" w:hAnsi="Arial" w:cs="Arial"/>
          <w:sz w:val="24"/>
          <w:szCs w:val="24"/>
        </w:rPr>
      </w:pPr>
    </w:p>
    <w:p w:rsidR="00171E3E" w:rsidRPr="00FE6160" w:rsidRDefault="00FE6160" w:rsidP="00171E3E">
      <w:pPr>
        <w:jc w:val="center"/>
        <w:rPr>
          <w:rFonts w:ascii="Arial" w:eastAsia="Calibri" w:hAnsi="Arial" w:cs="Arial"/>
          <w:sz w:val="24"/>
          <w:szCs w:val="24"/>
        </w:rPr>
      </w:pPr>
      <w:r w:rsidRPr="00FE6160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районының  2022 елның беренче яртыеллыгында берләштерелгән бюджетын үтәү, </w:t>
      </w:r>
      <w:r w:rsidRPr="00FE6160">
        <w:rPr>
          <w:rFonts w:ascii="Arial" w:eastAsia="Calibri" w:hAnsi="Arial" w:cs="Arial"/>
          <w:sz w:val="24"/>
          <w:szCs w:val="24"/>
          <w:lang w:val="tt"/>
        </w:rPr>
        <w:t>мең сум.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1636"/>
        <w:gridCol w:w="2043"/>
      </w:tblGrid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 атамасы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2022нче елга план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2022 елның 1 яртыеллыгы факты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үтәлеш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%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керемнәре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764064,9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444995,6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58,2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70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 Салым керемнәре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ab/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384839,1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208186,8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54,1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1.1 физик затлар кеременә салым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240154,1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121324,4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50,5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1.2 акцизлар түләүдән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кергән керемнәр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37300,0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20968,3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56,2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1.3 салым салуның гадиләштерелгән системасын куллануга бәйле рәвештә алына торган салым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22020,0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22860,3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103,8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1.4 эшчәнлекнең аерым төрләре өчен кертелгән керемгә бердәм салым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48,2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1.5 бердәм авыл хуҗалыгы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салымы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523,0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556,7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106,4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1.6 салым салуның патент системасын куллануга бәйле рәвештә алына торган салым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3955,0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3028,6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76,6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1.7 физик затлар милкенә салым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6338,0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547,7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8,6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1.8 җир салымы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69000,0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36646,7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53,1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1.9 файдалы казылмалар чыгаруга салым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3462,0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1078,8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31,2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1.10 дәүләт пошлинасы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2087,0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1127,1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54,0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2. Салым булмаган керемнәр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24486,9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22402,5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91,5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2.1 дәүләт һәм муниципаль милектәге мөлкәтне файдаланудан керемнәр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13038,0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10378,4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79,6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2.2 әйләнә-тирә мохиткә тискәре йогынты ясаган өчен түләү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798,0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150,3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18,8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2.3 башка керемнәр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10650,9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11873,8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111,5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 К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ире кайтарылмый торган кертемнәр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354738,9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214406,3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60,4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FE6160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3.1 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б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ашка дәрәҗәдәге бюджетлардан кире кайтарылмый торган керемнәр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354663,9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215637,1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60,8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3.1.1 дотацияләр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34333,1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17166,0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50,0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3.1.2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субвенцияләр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153795,5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98759,1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64,2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3.1.3 субсидияләр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143145,0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90475,4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63,2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3.1.4 башка бюджетара трансфертлар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23390,3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9236,6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39,5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3.2 Дәүләт (муниципаль) оешмаларыннан кире кайтарылмый торган кертемнәр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48,2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3.3 Дәүләтнеке булмаган оешмалардан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кире кайтарылмый торган кертемнәр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75,0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100,0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133,3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3.4 Башка кире кайтарылмый торган кертемнәр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4,5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3.5 Узган елларның максатчан билгеләнеше булган субсидияләр, субвенцияләр һәм бюджетара трансфертларның калдыкларын кире кайтару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-1383,5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чыгымнары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843305,7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485384,2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57,6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bookmarkStart w:id="0" w:name="_GoBack"/>
            <w:bookmarkEnd w:id="0"/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Г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омумдәүләт мәсьәләләре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121387,5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66648,4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54,9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Милли оборона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1972,0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986,0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50,0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М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илли иминлек һәм хокук саклау эшчәнлеге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5021,8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1959,1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39,1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М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илли икътисад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88842,4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17888,0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20,1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5.Т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орак коммуналь хуҗалык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41533,0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14366,1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34,6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6. Әйләнә-тирә мохитне саклау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4439,0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7.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М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әгариф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440258,4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291325,4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66,2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8.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М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әдәният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, кинематография һәм массакүләм мәгълүмат чаралары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90409,6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58095,9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64,3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Сәламәтлек саклау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272,1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99,0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36,4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10.С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оциаль сәясәт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14714,9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6603,8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44,9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11.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Физик культура һәм спорт 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29831,0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24819,1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83,2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12.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Бюджетара трансфертлар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4624,0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2593,4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56,1</w:t>
            </w:r>
          </w:p>
        </w:tc>
      </w:tr>
      <w:tr w:rsidR="00E44E40" w:rsidRPr="00FE6160" w:rsidTr="009A1FA5">
        <w:tc>
          <w:tcPr>
            <w:tcW w:w="4702" w:type="dxa"/>
          </w:tcPr>
          <w:p w:rsidR="00171E3E" w:rsidRPr="00FE6160" w:rsidRDefault="00FE6160" w:rsidP="009A1FA5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Профицит ( + ), дефицит (-)</w:t>
            </w:r>
          </w:p>
        </w:tc>
        <w:tc>
          <w:tcPr>
            <w:tcW w:w="1508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-79240,9</w:t>
            </w:r>
          </w:p>
        </w:tc>
        <w:tc>
          <w:tcPr>
            <w:tcW w:w="1636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-40388,6</w:t>
            </w:r>
          </w:p>
        </w:tc>
        <w:tc>
          <w:tcPr>
            <w:tcW w:w="2043" w:type="dxa"/>
          </w:tcPr>
          <w:p w:rsidR="00171E3E" w:rsidRPr="00FE6160" w:rsidRDefault="00FE6160" w:rsidP="009A1FA5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E6160">
              <w:rPr>
                <w:rFonts w:ascii="Arial" w:eastAsia="Calibri" w:hAnsi="Arial" w:cs="Arial"/>
                <w:sz w:val="24"/>
                <w:szCs w:val="24"/>
                <w:lang w:val="tt"/>
              </w:rPr>
              <w:t>51,0</w:t>
            </w:r>
          </w:p>
        </w:tc>
      </w:tr>
    </w:tbl>
    <w:p w:rsidR="00171E3E" w:rsidRPr="00FE6160" w:rsidRDefault="00171E3E" w:rsidP="00171E3E">
      <w:pPr>
        <w:tabs>
          <w:tab w:val="left" w:pos="1470"/>
        </w:tabs>
        <w:rPr>
          <w:rFonts w:ascii="Arial" w:eastAsia="Calibri" w:hAnsi="Arial" w:cs="Arial"/>
          <w:sz w:val="24"/>
          <w:szCs w:val="24"/>
        </w:rPr>
      </w:pPr>
    </w:p>
    <w:p w:rsidR="00171E3E" w:rsidRPr="00FE6160" w:rsidRDefault="00171E3E" w:rsidP="00171E3E">
      <w:pPr>
        <w:rPr>
          <w:rFonts w:ascii="Arial" w:hAnsi="Arial" w:cs="Arial"/>
          <w:sz w:val="24"/>
          <w:szCs w:val="24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E3E" w:rsidRPr="00FE6160" w:rsidRDefault="00171E3E" w:rsidP="00171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AF8" w:rsidRPr="00FE6160" w:rsidRDefault="00A62AF8"/>
    <w:sectPr w:rsidR="00A62AF8" w:rsidRPr="00FE6160" w:rsidSect="00FE61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5393"/>
    <w:multiLevelType w:val="hybridMultilevel"/>
    <w:tmpl w:val="0B62F908"/>
    <w:lvl w:ilvl="0" w:tplc="D7880E3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CB2A9AC0" w:tentative="1">
      <w:start w:val="1"/>
      <w:numFmt w:val="lowerLetter"/>
      <w:lvlText w:val="%2."/>
      <w:lvlJc w:val="left"/>
      <w:pPr>
        <w:ind w:left="1080" w:hanging="360"/>
      </w:pPr>
    </w:lvl>
    <w:lvl w:ilvl="2" w:tplc="48068CAA" w:tentative="1">
      <w:start w:val="1"/>
      <w:numFmt w:val="lowerRoman"/>
      <w:lvlText w:val="%3."/>
      <w:lvlJc w:val="right"/>
      <w:pPr>
        <w:ind w:left="1800" w:hanging="180"/>
      </w:pPr>
    </w:lvl>
    <w:lvl w:ilvl="3" w:tplc="C8F64300" w:tentative="1">
      <w:start w:val="1"/>
      <w:numFmt w:val="decimal"/>
      <w:lvlText w:val="%4."/>
      <w:lvlJc w:val="left"/>
      <w:pPr>
        <w:ind w:left="2520" w:hanging="360"/>
      </w:pPr>
    </w:lvl>
    <w:lvl w:ilvl="4" w:tplc="B7A4C82C" w:tentative="1">
      <w:start w:val="1"/>
      <w:numFmt w:val="lowerLetter"/>
      <w:lvlText w:val="%5."/>
      <w:lvlJc w:val="left"/>
      <w:pPr>
        <w:ind w:left="3240" w:hanging="360"/>
      </w:pPr>
    </w:lvl>
    <w:lvl w:ilvl="5" w:tplc="DE701134" w:tentative="1">
      <w:start w:val="1"/>
      <w:numFmt w:val="lowerRoman"/>
      <w:lvlText w:val="%6."/>
      <w:lvlJc w:val="right"/>
      <w:pPr>
        <w:ind w:left="3960" w:hanging="180"/>
      </w:pPr>
    </w:lvl>
    <w:lvl w:ilvl="6" w:tplc="5888E74C" w:tentative="1">
      <w:start w:val="1"/>
      <w:numFmt w:val="decimal"/>
      <w:lvlText w:val="%7."/>
      <w:lvlJc w:val="left"/>
      <w:pPr>
        <w:ind w:left="4680" w:hanging="360"/>
      </w:pPr>
    </w:lvl>
    <w:lvl w:ilvl="7" w:tplc="FEF23174" w:tentative="1">
      <w:start w:val="1"/>
      <w:numFmt w:val="lowerLetter"/>
      <w:lvlText w:val="%8."/>
      <w:lvlJc w:val="left"/>
      <w:pPr>
        <w:ind w:left="5400" w:hanging="360"/>
      </w:pPr>
    </w:lvl>
    <w:lvl w:ilvl="8" w:tplc="A96874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3E"/>
    <w:rsid w:val="00171E3E"/>
    <w:rsid w:val="00476163"/>
    <w:rsid w:val="005D6C92"/>
    <w:rsid w:val="00733ED4"/>
    <w:rsid w:val="009A1FA5"/>
    <w:rsid w:val="00A62AF8"/>
    <w:rsid w:val="00B02B49"/>
    <w:rsid w:val="00E44E40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1E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1E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2022-08-12T05:20:00Z</cp:lastPrinted>
  <dcterms:created xsi:type="dcterms:W3CDTF">2022-08-08T10:29:00Z</dcterms:created>
  <dcterms:modified xsi:type="dcterms:W3CDTF">2022-08-12T05:20:00Z</dcterms:modified>
</cp:coreProperties>
</file>